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9ABCAF">
      <w:pPr>
        <w:spacing w:line="360" w:lineRule="auto"/>
        <w:jc w:val="center"/>
        <w:rPr>
          <w:rStyle w:val="83"/>
          <w:rFonts w:hint="eastAsia"/>
          <w:color w:val="auto"/>
        </w:rPr>
      </w:pPr>
    </w:p>
    <w:p w14:paraId="740BCDA8">
      <w:pPr>
        <w:spacing w:line="360" w:lineRule="auto"/>
        <w:jc w:val="center"/>
        <w:rPr>
          <w:rFonts w:ascii="宋体" w:hAnsi="宋体" w:cs="宋体"/>
          <w:b/>
          <w:bCs/>
          <w:color w:val="auto"/>
          <w:sz w:val="52"/>
          <w:szCs w:val="52"/>
        </w:rPr>
      </w:pPr>
    </w:p>
    <w:p w14:paraId="28C6FBB1">
      <w:pPr>
        <w:spacing w:line="360" w:lineRule="auto"/>
        <w:jc w:val="center"/>
        <w:rPr>
          <w:rFonts w:ascii="方正小标宋简体" w:hAnsi="方正小标宋简体" w:eastAsia="方正小标宋简体" w:cs="方正小标宋简体"/>
          <w:color w:val="auto"/>
          <w:sz w:val="52"/>
          <w:szCs w:val="52"/>
        </w:rPr>
      </w:pPr>
      <w:r>
        <w:rPr>
          <w:rFonts w:hint="eastAsia" w:ascii="宋体" w:hAnsi="宋体" w:cs="宋体"/>
          <w:b/>
          <w:bCs/>
          <w:color w:val="auto"/>
          <w:sz w:val="52"/>
          <w:szCs w:val="52"/>
        </w:rPr>
        <w:t>欧邦工程管理集团有限公司</w:t>
      </w:r>
    </w:p>
    <w:p w14:paraId="0F9E0FF1">
      <w:pPr>
        <w:spacing w:line="360" w:lineRule="auto"/>
        <w:jc w:val="center"/>
        <w:rPr>
          <w:rFonts w:ascii="方正小标宋简体" w:hAnsi="方正小标宋简体" w:eastAsia="方正小标宋简体" w:cs="方正小标宋简体"/>
          <w:b/>
          <w:color w:val="auto"/>
          <w:sz w:val="44"/>
          <w:szCs w:val="44"/>
        </w:rPr>
      </w:pPr>
    </w:p>
    <w:p w14:paraId="440BCD97">
      <w:pPr>
        <w:spacing w:line="360" w:lineRule="auto"/>
        <w:jc w:val="center"/>
        <w:rPr>
          <w:rFonts w:ascii="方正小标宋简体" w:hAnsi="方正小标宋简体" w:eastAsia="方正小标宋简体" w:cs="方正小标宋简体"/>
          <w:b/>
          <w:color w:val="auto"/>
          <w:sz w:val="44"/>
          <w:szCs w:val="44"/>
        </w:rPr>
      </w:pPr>
    </w:p>
    <w:p w14:paraId="60372CA6">
      <w:pPr>
        <w:snapToGrid w:val="0"/>
        <w:spacing w:before="120" w:beforeLines="50" w:line="360" w:lineRule="auto"/>
        <w:jc w:val="center"/>
        <w:rPr>
          <w:rFonts w:ascii="华文新魏" w:hAnsi="宋体" w:eastAsia="华文新魏"/>
          <w:color w:val="auto"/>
          <w:sz w:val="120"/>
          <w:szCs w:val="120"/>
        </w:rPr>
      </w:pPr>
      <w:r>
        <w:rPr>
          <w:rFonts w:hint="eastAsia" w:ascii="华文新魏" w:hAnsi="宋体" w:eastAsia="华文新魏"/>
          <w:color w:val="auto"/>
          <w:sz w:val="120"/>
          <w:szCs w:val="120"/>
        </w:rPr>
        <w:t>竞争性磋商文件</w:t>
      </w:r>
    </w:p>
    <w:p w14:paraId="0C4E1AA3">
      <w:pPr>
        <w:snapToGrid w:val="0"/>
        <w:spacing w:before="120" w:beforeLines="50" w:line="360" w:lineRule="auto"/>
        <w:jc w:val="center"/>
        <w:rPr>
          <w:rFonts w:ascii="仿宋_GB2312" w:hAnsi="仿宋" w:eastAsia="仿宋_GB2312"/>
          <w:b/>
          <w:color w:val="auto"/>
          <w:sz w:val="30"/>
          <w:szCs w:val="72"/>
        </w:rPr>
      </w:pPr>
    </w:p>
    <w:p w14:paraId="7E4D122C">
      <w:pPr>
        <w:snapToGrid w:val="0"/>
        <w:spacing w:before="120" w:beforeLines="50" w:line="360" w:lineRule="auto"/>
        <w:jc w:val="center"/>
        <w:rPr>
          <w:rFonts w:ascii="仿宋_GB2312" w:hAnsi="仿宋" w:eastAsia="仿宋_GB2312"/>
          <w:b/>
          <w:color w:val="auto"/>
          <w:sz w:val="30"/>
          <w:szCs w:val="72"/>
        </w:rPr>
      </w:pPr>
    </w:p>
    <w:p w14:paraId="424D268B">
      <w:pPr>
        <w:snapToGrid w:val="0"/>
        <w:spacing w:before="120" w:beforeLines="50" w:line="360" w:lineRule="auto"/>
        <w:jc w:val="center"/>
        <w:rPr>
          <w:rFonts w:ascii="仿宋_GB2312" w:hAnsi="仿宋" w:eastAsia="仿宋_GB2312"/>
          <w:b/>
          <w:color w:val="auto"/>
          <w:sz w:val="30"/>
          <w:szCs w:val="72"/>
        </w:rPr>
      </w:pPr>
    </w:p>
    <w:p w14:paraId="3397D17F">
      <w:pPr>
        <w:pStyle w:val="17"/>
        <w:snapToGrid w:val="0"/>
        <w:spacing w:line="360" w:lineRule="auto"/>
        <w:ind w:firstLine="673" w:firstLineChars="235"/>
        <w:rPr>
          <w:rFonts w:hint="eastAsia" w:hAnsi="宋体" w:eastAsia="宋体" w:cs="宋体"/>
          <w:b/>
          <w:bCs/>
          <w:color w:val="auto"/>
          <w:w w:val="95"/>
          <w:sz w:val="30"/>
          <w:szCs w:val="30"/>
          <w:lang w:val="en-US" w:eastAsia="zh-CN"/>
        </w:rPr>
      </w:pPr>
      <w:r>
        <w:rPr>
          <w:rFonts w:hint="eastAsia" w:hAnsi="宋体" w:cs="宋体"/>
          <w:b/>
          <w:bCs/>
          <w:color w:val="auto"/>
          <w:w w:val="95"/>
          <w:sz w:val="30"/>
          <w:szCs w:val="30"/>
        </w:rPr>
        <w:t>项目名称：</w:t>
      </w:r>
      <w:r>
        <w:rPr>
          <w:rFonts w:hint="eastAsia" w:hAnsi="宋体" w:cs="宋体"/>
          <w:b/>
          <w:bCs/>
          <w:color w:val="auto"/>
          <w:w w:val="95"/>
          <w:sz w:val="30"/>
          <w:szCs w:val="30"/>
          <w:lang w:eastAsia="zh-CN"/>
        </w:rPr>
        <w:t>直线加速器维保</w:t>
      </w:r>
    </w:p>
    <w:p w14:paraId="0EB4C6B4">
      <w:pPr>
        <w:pStyle w:val="17"/>
        <w:snapToGrid w:val="0"/>
        <w:spacing w:line="360" w:lineRule="auto"/>
        <w:ind w:firstLine="673" w:firstLineChars="235"/>
        <w:rPr>
          <w:rFonts w:hint="eastAsia" w:hAnsi="宋体" w:eastAsia="宋体" w:cs="宋体"/>
          <w:b/>
          <w:bCs/>
          <w:color w:val="auto"/>
          <w:w w:val="95"/>
          <w:sz w:val="30"/>
          <w:szCs w:val="30"/>
          <w:lang w:eastAsia="zh-CN"/>
        </w:rPr>
      </w:pPr>
      <w:r>
        <w:rPr>
          <w:rFonts w:hint="eastAsia" w:hAnsi="宋体" w:cs="宋体"/>
          <w:b/>
          <w:bCs/>
          <w:color w:val="auto"/>
          <w:w w:val="95"/>
          <w:sz w:val="30"/>
          <w:szCs w:val="30"/>
        </w:rPr>
        <w:t>项目编号：</w:t>
      </w:r>
      <w:r>
        <w:rPr>
          <w:rFonts w:hint="eastAsia" w:hAnsi="宋体" w:cs="宋体"/>
          <w:b/>
          <w:bCs/>
          <w:color w:val="auto"/>
          <w:w w:val="95"/>
          <w:sz w:val="30"/>
          <w:szCs w:val="30"/>
          <w:lang w:eastAsia="zh-CN"/>
        </w:rPr>
        <w:t>GXZC2026-C3-003417-OBGC</w:t>
      </w:r>
    </w:p>
    <w:p w14:paraId="30B7CE7B">
      <w:pPr>
        <w:pStyle w:val="17"/>
        <w:snapToGrid w:val="0"/>
        <w:spacing w:line="360" w:lineRule="auto"/>
        <w:ind w:firstLine="673" w:firstLineChars="235"/>
        <w:rPr>
          <w:rFonts w:hint="eastAsia" w:hAnsi="宋体" w:eastAsia="宋体" w:cs="宋体"/>
          <w:b/>
          <w:bCs/>
          <w:color w:val="auto"/>
          <w:w w:val="95"/>
          <w:sz w:val="30"/>
          <w:szCs w:val="30"/>
          <w:lang w:eastAsia="zh-CN"/>
        </w:rPr>
      </w:pPr>
      <w:r>
        <w:rPr>
          <w:rFonts w:hint="eastAsia" w:hAnsi="宋体" w:cs="宋体"/>
          <w:b/>
          <w:bCs/>
          <w:color w:val="auto"/>
          <w:w w:val="95"/>
          <w:sz w:val="30"/>
          <w:szCs w:val="30"/>
        </w:rPr>
        <w:t xml:space="preserve">采购人： </w:t>
      </w:r>
      <w:r>
        <w:rPr>
          <w:rFonts w:hint="eastAsia" w:hAnsi="宋体" w:cs="宋体"/>
          <w:b/>
          <w:bCs/>
          <w:color w:val="auto"/>
          <w:w w:val="95"/>
          <w:sz w:val="30"/>
          <w:szCs w:val="30"/>
          <w:lang w:eastAsia="zh-CN"/>
        </w:rPr>
        <w:t>桂林医科大学第一附属医院</w:t>
      </w:r>
    </w:p>
    <w:p w14:paraId="09B70AA0">
      <w:pPr>
        <w:pStyle w:val="17"/>
        <w:snapToGrid w:val="0"/>
        <w:spacing w:line="360" w:lineRule="auto"/>
        <w:ind w:firstLine="673" w:firstLineChars="235"/>
        <w:rPr>
          <w:rFonts w:hAnsi="宋体" w:cs="宋体"/>
          <w:b/>
          <w:bCs/>
          <w:color w:val="auto"/>
          <w:w w:val="95"/>
          <w:sz w:val="30"/>
          <w:szCs w:val="30"/>
        </w:rPr>
      </w:pPr>
      <w:r>
        <w:rPr>
          <w:rFonts w:hint="eastAsia" w:hAnsi="宋体" w:cs="宋体"/>
          <w:b/>
          <w:bCs/>
          <w:color w:val="auto"/>
          <w:w w:val="95"/>
          <w:sz w:val="30"/>
          <w:szCs w:val="30"/>
        </w:rPr>
        <w:t>采购代理机构：欧邦工程管理集团有限公司</w:t>
      </w:r>
    </w:p>
    <w:p w14:paraId="2CB50AE6">
      <w:pPr>
        <w:pStyle w:val="17"/>
        <w:snapToGrid w:val="0"/>
        <w:spacing w:line="360" w:lineRule="auto"/>
        <w:ind w:firstLine="673" w:firstLineChars="235"/>
        <w:rPr>
          <w:rFonts w:hAnsi="宋体" w:cs="宋体"/>
          <w:b/>
          <w:bCs/>
          <w:color w:val="auto"/>
          <w:w w:val="95"/>
          <w:sz w:val="30"/>
          <w:szCs w:val="30"/>
        </w:rPr>
      </w:pPr>
    </w:p>
    <w:p w14:paraId="783CE55F">
      <w:pPr>
        <w:pStyle w:val="17"/>
        <w:snapToGrid w:val="0"/>
        <w:spacing w:line="360" w:lineRule="auto"/>
        <w:ind w:firstLine="673" w:firstLineChars="235"/>
        <w:rPr>
          <w:rFonts w:ascii="仿宋_GB2312" w:hAnsi="仿宋" w:eastAsia="仿宋_GB2312"/>
          <w:b/>
          <w:bCs/>
          <w:color w:val="auto"/>
          <w:w w:val="95"/>
          <w:sz w:val="30"/>
          <w:szCs w:val="30"/>
        </w:rPr>
      </w:pPr>
    </w:p>
    <w:p w14:paraId="6CCCEC67">
      <w:pPr>
        <w:pStyle w:val="17"/>
        <w:snapToGrid w:val="0"/>
        <w:spacing w:line="360" w:lineRule="auto"/>
        <w:ind w:firstLine="673" w:firstLineChars="235"/>
        <w:jc w:val="center"/>
        <w:rPr>
          <w:rFonts w:hAnsi="宋体" w:cs="宋体"/>
          <w:b/>
          <w:bCs/>
          <w:color w:val="auto"/>
          <w:w w:val="95"/>
          <w:sz w:val="30"/>
          <w:szCs w:val="30"/>
        </w:rPr>
      </w:pPr>
    </w:p>
    <w:p w14:paraId="2B9C5150">
      <w:pPr>
        <w:spacing w:line="360" w:lineRule="auto"/>
        <w:jc w:val="center"/>
        <w:rPr>
          <w:rFonts w:ascii="宋体" w:hAnsi="宋体"/>
          <w:b/>
          <w:color w:val="auto"/>
          <w:sz w:val="44"/>
          <w:szCs w:val="44"/>
        </w:rPr>
      </w:pPr>
    </w:p>
    <w:p w14:paraId="372C3544">
      <w:pPr>
        <w:spacing w:line="360" w:lineRule="auto"/>
        <w:jc w:val="center"/>
        <w:rPr>
          <w:rFonts w:ascii="宋体" w:hAnsi="宋体"/>
          <w:b/>
          <w:color w:val="auto"/>
          <w:sz w:val="44"/>
          <w:szCs w:val="44"/>
        </w:rPr>
      </w:pPr>
      <w:r>
        <w:rPr>
          <w:rFonts w:ascii="宋体" w:hAnsi="宋体"/>
          <w:b/>
          <w:color w:val="auto"/>
          <w:sz w:val="44"/>
          <w:szCs w:val="44"/>
        </w:rPr>
        <w:br w:type="page"/>
      </w:r>
      <w:r>
        <w:rPr>
          <w:rFonts w:hint="eastAsia" w:ascii="宋体" w:hAnsi="宋体"/>
          <w:b/>
          <w:color w:val="auto"/>
          <w:sz w:val="44"/>
          <w:szCs w:val="44"/>
        </w:rPr>
        <w:t>目  录</w:t>
      </w:r>
    </w:p>
    <w:p w14:paraId="6441E2B1">
      <w:pPr>
        <w:spacing w:line="400" w:lineRule="exact"/>
        <w:rPr>
          <w:rFonts w:ascii="宋体" w:hAnsi="宋体"/>
          <w:b/>
          <w:color w:val="auto"/>
          <w:sz w:val="44"/>
          <w:szCs w:val="44"/>
        </w:rPr>
      </w:pPr>
    </w:p>
    <w:p w14:paraId="11034658">
      <w:pPr>
        <w:tabs>
          <w:tab w:val="right" w:leader="dot" w:pos="8869"/>
        </w:tabs>
        <w:snapToGrid w:val="0"/>
        <w:spacing w:line="460" w:lineRule="exact"/>
        <w:rPr>
          <w:rFonts w:ascii="宋体" w:hAnsi="宋体"/>
          <w:b/>
          <w:color w:val="auto"/>
          <w:sz w:val="24"/>
        </w:rPr>
      </w:pPr>
      <w:r>
        <w:rPr>
          <w:rStyle w:val="33"/>
          <w:rFonts w:hint="eastAsia" w:ascii="宋体" w:hAnsi="宋体"/>
          <w:b/>
          <w:color w:val="auto"/>
          <w:sz w:val="24"/>
          <w:u w:val="none"/>
        </w:rPr>
        <w:t>第一章</w:t>
      </w:r>
      <w:r>
        <w:rPr>
          <w:rStyle w:val="33"/>
          <w:rFonts w:ascii="宋体" w:hAnsi="宋体"/>
          <w:b/>
          <w:color w:val="auto"/>
          <w:sz w:val="24"/>
          <w:u w:val="none"/>
        </w:rPr>
        <w:t xml:space="preserve"> </w:t>
      </w:r>
      <w:r>
        <w:rPr>
          <w:rStyle w:val="33"/>
          <w:rFonts w:hint="eastAsia" w:ascii="宋体" w:hAnsi="宋体"/>
          <w:b/>
          <w:color w:val="auto"/>
          <w:sz w:val="24"/>
          <w:u w:val="none"/>
        </w:rPr>
        <w:t>竞争性磋商公告</w:t>
      </w:r>
      <w:r>
        <w:rPr>
          <w:rFonts w:ascii="宋体" w:hAnsi="宋体"/>
          <w:b/>
          <w:color w:val="auto"/>
          <w:sz w:val="24"/>
        </w:rPr>
        <w:tab/>
      </w:r>
      <w:r>
        <w:rPr>
          <w:rFonts w:ascii="宋体" w:hAnsi="宋体"/>
          <w:b/>
          <w:color w:val="auto"/>
          <w:sz w:val="24"/>
        </w:rPr>
        <w:t>2</w:t>
      </w:r>
    </w:p>
    <w:p w14:paraId="05B11759">
      <w:pPr>
        <w:pStyle w:val="78"/>
        <w:tabs>
          <w:tab w:val="right" w:leader="dot" w:pos="8869"/>
        </w:tabs>
        <w:snapToGrid w:val="0"/>
        <w:spacing w:line="460" w:lineRule="exact"/>
        <w:rPr>
          <w:rFonts w:ascii="宋体" w:hAnsi="宋体"/>
          <w:b/>
          <w:color w:val="auto"/>
          <w:sz w:val="24"/>
        </w:rPr>
      </w:pPr>
      <w:r>
        <w:rPr>
          <w:rStyle w:val="33"/>
          <w:rFonts w:hint="eastAsia" w:ascii="宋体" w:hAnsi="宋体"/>
          <w:b/>
          <w:color w:val="auto"/>
          <w:sz w:val="24"/>
          <w:u w:val="none"/>
        </w:rPr>
        <w:t>第二章</w:t>
      </w:r>
      <w:r>
        <w:rPr>
          <w:rStyle w:val="33"/>
          <w:rFonts w:ascii="宋体" w:hAnsi="宋体"/>
          <w:b/>
          <w:color w:val="auto"/>
          <w:sz w:val="24"/>
          <w:u w:val="none"/>
        </w:rPr>
        <w:t xml:space="preserve"> </w:t>
      </w:r>
      <w:r>
        <w:rPr>
          <w:rStyle w:val="33"/>
          <w:rFonts w:hint="eastAsia" w:ascii="宋体" w:hAnsi="宋体"/>
          <w:b/>
          <w:color w:val="auto"/>
          <w:sz w:val="24"/>
          <w:u w:val="none"/>
        </w:rPr>
        <w:t>供应商须知</w:t>
      </w:r>
      <w:r>
        <w:rPr>
          <w:rFonts w:ascii="宋体" w:hAnsi="宋体"/>
          <w:b/>
          <w:color w:val="auto"/>
          <w:sz w:val="24"/>
        </w:rPr>
        <w:tab/>
      </w:r>
      <w:r>
        <w:rPr>
          <w:rFonts w:ascii="宋体" w:hAnsi="宋体"/>
          <w:b/>
          <w:color w:val="auto"/>
          <w:sz w:val="24"/>
        </w:rPr>
        <w:t>5</w:t>
      </w:r>
    </w:p>
    <w:p w14:paraId="5C93AF5D">
      <w:pPr>
        <w:pStyle w:val="78"/>
        <w:tabs>
          <w:tab w:val="right" w:leader="dot" w:pos="8869"/>
        </w:tabs>
        <w:snapToGrid w:val="0"/>
        <w:spacing w:line="460" w:lineRule="exact"/>
        <w:rPr>
          <w:rFonts w:hint="eastAsia" w:ascii="宋体" w:hAnsi="宋体" w:eastAsia="宋体"/>
          <w:b/>
          <w:color w:val="auto"/>
          <w:sz w:val="24"/>
          <w:lang w:val="en-US" w:eastAsia="zh-CN"/>
        </w:rPr>
      </w:pPr>
      <w:r>
        <w:rPr>
          <w:rStyle w:val="33"/>
          <w:rFonts w:hint="eastAsia" w:ascii="宋体" w:hAnsi="宋体"/>
          <w:b/>
          <w:color w:val="auto"/>
          <w:sz w:val="24"/>
          <w:u w:val="none"/>
        </w:rPr>
        <w:t>第三章</w:t>
      </w:r>
      <w:r>
        <w:rPr>
          <w:rStyle w:val="33"/>
          <w:rFonts w:ascii="宋体" w:hAnsi="宋体"/>
          <w:b/>
          <w:color w:val="auto"/>
          <w:sz w:val="24"/>
          <w:u w:val="none"/>
        </w:rPr>
        <w:t xml:space="preserve"> </w:t>
      </w:r>
      <w:r>
        <w:rPr>
          <w:rStyle w:val="33"/>
          <w:rFonts w:hint="eastAsia" w:ascii="宋体" w:hAnsi="宋体"/>
          <w:b/>
          <w:color w:val="auto"/>
          <w:sz w:val="24"/>
          <w:u w:val="none"/>
        </w:rPr>
        <w:t>采购需求</w:t>
      </w:r>
      <w:r>
        <w:rPr>
          <w:rFonts w:ascii="宋体" w:hAnsi="宋体"/>
          <w:b/>
          <w:color w:val="auto"/>
          <w:sz w:val="24"/>
        </w:rPr>
        <w:tab/>
      </w:r>
      <w:r>
        <w:rPr>
          <w:rFonts w:ascii="宋体" w:hAnsi="宋体"/>
          <w:b/>
          <w:color w:val="auto"/>
          <w:sz w:val="24"/>
        </w:rPr>
        <w:t>2</w:t>
      </w:r>
      <w:r>
        <w:rPr>
          <w:rFonts w:hint="eastAsia" w:ascii="宋体" w:hAnsi="宋体"/>
          <w:b/>
          <w:color w:val="auto"/>
          <w:sz w:val="24"/>
          <w:lang w:val="en-US" w:eastAsia="zh-CN"/>
        </w:rPr>
        <w:t>1</w:t>
      </w:r>
    </w:p>
    <w:p w14:paraId="6FABDB8E">
      <w:pPr>
        <w:pStyle w:val="78"/>
        <w:tabs>
          <w:tab w:val="right" w:leader="dot" w:pos="8869"/>
        </w:tabs>
        <w:snapToGrid w:val="0"/>
        <w:spacing w:line="460" w:lineRule="exact"/>
        <w:rPr>
          <w:rFonts w:ascii="宋体" w:hAnsi="宋体"/>
          <w:b/>
          <w:color w:val="auto"/>
          <w:sz w:val="24"/>
        </w:rPr>
      </w:pPr>
      <w:r>
        <w:rPr>
          <w:rStyle w:val="33"/>
          <w:rFonts w:hint="eastAsia" w:ascii="宋体" w:hAnsi="宋体"/>
          <w:b/>
          <w:color w:val="auto"/>
          <w:sz w:val="24"/>
          <w:u w:val="none"/>
        </w:rPr>
        <w:t>第四章</w:t>
      </w:r>
      <w:r>
        <w:rPr>
          <w:rStyle w:val="33"/>
          <w:rFonts w:ascii="宋体" w:hAnsi="宋体"/>
          <w:b/>
          <w:color w:val="auto"/>
          <w:sz w:val="24"/>
          <w:u w:val="none"/>
        </w:rPr>
        <w:t xml:space="preserve"> </w:t>
      </w:r>
      <w:r>
        <w:rPr>
          <w:rStyle w:val="33"/>
          <w:rFonts w:hint="eastAsia" w:ascii="宋体" w:hAnsi="宋体"/>
          <w:b/>
          <w:color w:val="auto"/>
          <w:sz w:val="24"/>
          <w:u w:val="none"/>
        </w:rPr>
        <w:t>评审程序、评审</w:t>
      </w:r>
      <w:bookmarkStart w:id="0" w:name="_Hlt115339271"/>
      <w:bookmarkStart w:id="1" w:name="_Hlt115339272"/>
      <w:r>
        <w:rPr>
          <w:rStyle w:val="33"/>
          <w:rFonts w:hint="eastAsia" w:ascii="宋体" w:hAnsi="宋体"/>
          <w:b/>
          <w:color w:val="auto"/>
          <w:sz w:val="24"/>
          <w:u w:val="none"/>
        </w:rPr>
        <w:t>方</w:t>
      </w:r>
      <w:bookmarkEnd w:id="0"/>
      <w:bookmarkEnd w:id="1"/>
      <w:r>
        <w:rPr>
          <w:rStyle w:val="33"/>
          <w:rFonts w:hint="eastAsia" w:ascii="宋体" w:hAnsi="宋体"/>
          <w:b/>
          <w:color w:val="auto"/>
          <w:sz w:val="24"/>
          <w:u w:val="none"/>
        </w:rPr>
        <w:t>法和评审标准</w:t>
      </w:r>
      <w:bookmarkStart w:id="2" w:name="_Hlt115276853"/>
      <w:r>
        <w:rPr>
          <w:rFonts w:ascii="宋体" w:hAnsi="宋体"/>
          <w:b/>
          <w:color w:val="auto"/>
          <w:sz w:val="24"/>
        </w:rPr>
        <w:tab/>
      </w:r>
      <w:bookmarkEnd w:id="2"/>
      <w:r>
        <w:rPr>
          <w:rFonts w:hint="eastAsia" w:ascii="宋体" w:hAnsi="宋体"/>
          <w:b/>
          <w:color w:val="auto"/>
          <w:sz w:val="24"/>
        </w:rPr>
        <w:t>29</w:t>
      </w:r>
    </w:p>
    <w:p w14:paraId="45766FCC">
      <w:pPr>
        <w:pStyle w:val="78"/>
        <w:tabs>
          <w:tab w:val="right" w:leader="dot" w:pos="8869"/>
        </w:tabs>
        <w:snapToGrid w:val="0"/>
        <w:spacing w:line="460" w:lineRule="exact"/>
        <w:rPr>
          <w:rFonts w:hint="default" w:ascii="宋体" w:hAnsi="宋体" w:eastAsia="宋体"/>
          <w:b/>
          <w:color w:val="auto"/>
          <w:sz w:val="24"/>
          <w:lang w:val="en-US" w:eastAsia="zh-CN"/>
        </w:rPr>
      </w:pPr>
      <w:r>
        <w:rPr>
          <w:rStyle w:val="33"/>
          <w:rFonts w:hint="eastAsia" w:ascii="宋体" w:hAnsi="宋体"/>
          <w:b/>
          <w:color w:val="auto"/>
          <w:sz w:val="24"/>
          <w:u w:val="none"/>
        </w:rPr>
        <w:t>第五章</w:t>
      </w:r>
      <w:r>
        <w:rPr>
          <w:rStyle w:val="33"/>
          <w:rFonts w:ascii="宋体" w:hAnsi="宋体"/>
          <w:b/>
          <w:color w:val="auto"/>
          <w:sz w:val="24"/>
          <w:u w:val="none"/>
        </w:rPr>
        <w:t xml:space="preserve"> </w:t>
      </w:r>
      <w:r>
        <w:rPr>
          <w:rStyle w:val="33"/>
          <w:rFonts w:hint="eastAsia" w:ascii="宋体" w:hAnsi="宋体"/>
          <w:b/>
          <w:color w:val="auto"/>
          <w:sz w:val="24"/>
          <w:u w:val="none"/>
        </w:rPr>
        <w:t>响应文件格式</w:t>
      </w:r>
      <w:r>
        <w:rPr>
          <w:rFonts w:ascii="宋体" w:hAnsi="宋体"/>
          <w:b/>
          <w:color w:val="auto"/>
          <w:sz w:val="24"/>
        </w:rPr>
        <w:tab/>
      </w:r>
      <w:r>
        <w:rPr>
          <w:rFonts w:hint="eastAsia" w:ascii="宋体" w:hAnsi="宋体"/>
          <w:b/>
          <w:color w:val="auto"/>
          <w:sz w:val="24"/>
          <w:lang w:val="en-US" w:eastAsia="zh-CN"/>
        </w:rPr>
        <w:t>38</w:t>
      </w:r>
    </w:p>
    <w:p w14:paraId="53CF98A7">
      <w:pPr>
        <w:pStyle w:val="78"/>
        <w:tabs>
          <w:tab w:val="right" w:leader="dot" w:pos="8869"/>
        </w:tabs>
        <w:snapToGrid w:val="0"/>
        <w:spacing w:after="120" w:line="460" w:lineRule="exact"/>
        <w:rPr>
          <w:rFonts w:hint="default" w:ascii="宋体" w:hAnsi="宋体" w:eastAsia="宋体"/>
          <w:b/>
          <w:color w:val="auto"/>
          <w:sz w:val="24"/>
          <w:lang w:val="en-US" w:eastAsia="zh-CN"/>
        </w:rPr>
      </w:pPr>
      <w:r>
        <w:rPr>
          <w:rStyle w:val="33"/>
          <w:rFonts w:hint="eastAsia" w:ascii="宋体" w:hAnsi="宋体"/>
          <w:b/>
          <w:color w:val="auto"/>
          <w:sz w:val="24"/>
          <w:u w:val="none"/>
        </w:rPr>
        <w:t>第六章</w:t>
      </w:r>
      <w:r>
        <w:rPr>
          <w:rStyle w:val="33"/>
          <w:rFonts w:ascii="宋体" w:hAnsi="宋体"/>
          <w:b/>
          <w:color w:val="auto"/>
          <w:sz w:val="24"/>
          <w:u w:val="none"/>
        </w:rPr>
        <w:t xml:space="preserve"> </w:t>
      </w:r>
      <w:r>
        <w:rPr>
          <w:rStyle w:val="33"/>
          <w:rFonts w:hint="eastAsia" w:ascii="宋体" w:hAnsi="宋体"/>
          <w:b/>
          <w:color w:val="auto"/>
          <w:sz w:val="24"/>
          <w:u w:val="none"/>
        </w:rPr>
        <w:t>合同文本</w:t>
      </w:r>
      <w:r>
        <w:rPr>
          <w:rFonts w:ascii="宋体" w:hAnsi="宋体"/>
          <w:b/>
          <w:color w:val="auto"/>
          <w:sz w:val="24"/>
        </w:rPr>
        <w:tab/>
      </w:r>
      <w:r>
        <w:rPr>
          <w:rFonts w:hint="eastAsia" w:ascii="宋体" w:hAnsi="宋体"/>
          <w:b/>
          <w:color w:val="auto"/>
          <w:sz w:val="24"/>
          <w:lang w:val="en-US" w:eastAsia="zh-CN"/>
        </w:rPr>
        <w:t>66</w:t>
      </w:r>
    </w:p>
    <w:p w14:paraId="798ACD7F">
      <w:pPr>
        <w:pStyle w:val="24"/>
        <w:snapToGrid w:val="0"/>
        <w:spacing w:line="500" w:lineRule="atLeast"/>
        <w:rPr>
          <w:rFonts w:ascii="宋体" w:hAnsi="宋体"/>
          <w:b/>
          <w:color w:val="auto"/>
          <w:sz w:val="24"/>
        </w:rPr>
      </w:pPr>
    </w:p>
    <w:p w14:paraId="4B8E949F">
      <w:pPr>
        <w:spacing w:line="400" w:lineRule="exact"/>
        <w:rPr>
          <w:rFonts w:ascii="宋体" w:hAnsi="宋体"/>
          <w:b/>
          <w:color w:val="auto"/>
          <w:sz w:val="32"/>
          <w:szCs w:val="32"/>
        </w:rPr>
        <w:sectPr>
          <w:headerReference r:id="rId4" w:type="first"/>
          <w:headerReference r:id="rId3" w:type="default"/>
          <w:footerReference r:id="rId5" w:type="default"/>
          <w:pgSz w:w="11906" w:h="16838"/>
          <w:pgMar w:top="1440" w:right="1440" w:bottom="1440" w:left="1587" w:header="851" w:footer="992" w:gutter="0"/>
          <w:pgNumType w:start="0"/>
          <w:cols w:space="720" w:num="1"/>
          <w:titlePg/>
          <w:docGrid w:linePitch="312" w:charSpace="0"/>
        </w:sectPr>
      </w:pPr>
    </w:p>
    <w:p w14:paraId="7D7BD17F">
      <w:pPr>
        <w:pStyle w:val="3"/>
        <w:spacing w:line="240" w:lineRule="auto"/>
        <w:jc w:val="center"/>
        <w:rPr>
          <w:color w:val="auto"/>
        </w:rPr>
      </w:pPr>
      <w:bookmarkStart w:id="3" w:name="_Toc74322605"/>
      <w:r>
        <w:rPr>
          <w:rFonts w:hint="eastAsia"/>
          <w:color w:val="auto"/>
        </w:rPr>
        <w:t>第一章 竞争性磋商公告</w:t>
      </w:r>
      <w:bookmarkEnd w:id="3"/>
    </w:p>
    <w:p w14:paraId="66A1EA9A">
      <w:pPr>
        <w:keepNext w:val="0"/>
        <w:keepLines w:val="0"/>
        <w:pageBreakBefore w:val="0"/>
        <w:pBdr>
          <w:top w:val="single" w:color="auto" w:sz="4" w:space="1"/>
          <w:left w:val="single" w:color="auto" w:sz="4" w:space="4"/>
          <w:bottom w:val="single" w:color="auto" w:sz="4" w:space="1"/>
          <w:right w:val="single" w:color="auto" w:sz="4" w:space="4"/>
        </w:pBdr>
        <w:kinsoku/>
        <w:overflowPunct/>
        <w:topLinePunct w:val="0"/>
        <w:autoSpaceDE/>
        <w:autoSpaceDN/>
        <w:bidi w:val="0"/>
        <w:adjustRightInd/>
        <w:spacing w:line="360" w:lineRule="exact"/>
        <w:ind w:firstLine="420" w:firstLineChars="200"/>
        <w:textAlignment w:val="auto"/>
        <w:rPr>
          <w:rFonts w:ascii="宋体" w:hAnsi="宋体"/>
          <w:color w:val="auto"/>
          <w:szCs w:val="21"/>
        </w:rPr>
      </w:pPr>
      <w:bookmarkStart w:id="4" w:name="_Hlk37430271"/>
      <w:r>
        <w:rPr>
          <w:rFonts w:hint="eastAsia" w:ascii="宋体" w:hAnsi="宋体"/>
          <w:color w:val="auto"/>
          <w:szCs w:val="21"/>
        </w:rPr>
        <w:t>项目概况</w:t>
      </w:r>
    </w:p>
    <w:p w14:paraId="7A6D75C8">
      <w:pPr>
        <w:keepNext w:val="0"/>
        <w:keepLines w:val="0"/>
        <w:pageBreakBefore w:val="0"/>
        <w:pBdr>
          <w:top w:val="single" w:color="auto" w:sz="4" w:space="1"/>
          <w:left w:val="single" w:color="auto" w:sz="4" w:space="4"/>
          <w:bottom w:val="single" w:color="auto" w:sz="4" w:space="1"/>
          <w:right w:val="single" w:color="auto" w:sz="4" w:space="4"/>
        </w:pBdr>
        <w:kinsoku/>
        <w:overflowPunct/>
        <w:topLinePunct w:val="0"/>
        <w:autoSpaceDE/>
        <w:autoSpaceDN/>
        <w:bidi w:val="0"/>
        <w:adjustRightInd/>
        <w:spacing w:line="360" w:lineRule="exact"/>
        <w:ind w:firstLine="420" w:firstLineChars="200"/>
        <w:textAlignment w:val="auto"/>
        <w:rPr>
          <w:rFonts w:ascii="宋体" w:hAnsi="宋体"/>
          <w:color w:val="auto"/>
          <w:szCs w:val="21"/>
        </w:rPr>
      </w:pPr>
      <w:r>
        <w:rPr>
          <w:rFonts w:hint="eastAsia" w:ascii="宋体" w:hAnsi="宋体"/>
          <w:color w:val="auto"/>
          <w:szCs w:val="21"/>
          <w:lang w:eastAsia="zh-CN"/>
        </w:rPr>
        <w:t>直线加速器维保</w:t>
      </w:r>
      <w:r>
        <w:rPr>
          <w:rFonts w:hint="eastAsia" w:ascii="宋体" w:hAnsi="宋体"/>
          <w:color w:val="auto"/>
          <w:szCs w:val="21"/>
          <w:highlight w:val="none"/>
        </w:rPr>
        <w:t>的潜在供应商应在广西政府采购云平台（</w:t>
      </w:r>
      <w:r>
        <w:rPr>
          <w:rFonts w:ascii="宋体" w:hAnsi="宋体"/>
          <w:color w:val="auto"/>
          <w:szCs w:val="21"/>
          <w:highlight w:val="none"/>
        </w:rPr>
        <w:fldChar w:fldCharType="begin"/>
      </w:r>
      <w:r>
        <w:rPr>
          <w:rFonts w:ascii="宋体" w:hAnsi="宋体"/>
          <w:color w:val="auto"/>
          <w:szCs w:val="21"/>
          <w:highlight w:val="none"/>
        </w:rPr>
        <w:instrText xml:space="preserve"> HYPERLINK "http://</w:instrText>
      </w:r>
      <w:r>
        <w:rPr>
          <w:rFonts w:hint="eastAsia" w:ascii="宋体" w:hAnsi="宋体"/>
          <w:color w:val="auto"/>
          <w:szCs w:val="21"/>
          <w:highlight w:val="none"/>
        </w:rPr>
        <w:instrText xml:space="preserve">www.gcy.zfcg.gxzf.gov.cn）获取（下载）竞争性磋商文件，并于</w:instrText>
      </w:r>
      <w:r>
        <w:rPr>
          <w:rFonts w:ascii="宋体" w:hAnsi="宋体"/>
          <w:color w:val="auto"/>
          <w:szCs w:val="21"/>
          <w:highlight w:val="none"/>
        </w:rPr>
        <w:instrText xml:space="preserve">2025</w:instrText>
      </w:r>
      <w:r>
        <w:rPr>
          <w:rFonts w:hint="eastAsia" w:ascii="宋体" w:hAnsi="宋体"/>
          <w:color w:val="auto"/>
          <w:szCs w:val="21"/>
          <w:highlight w:val="none"/>
        </w:rPr>
        <w:instrText xml:space="preserve">年</w:instrText>
      </w:r>
      <w:r>
        <w:rPr>
          <w:rFonts w:ascii="宋体" w:hAnsi="宋体"/>
          <w:color w:val="auto"/>
          <w:szCs w:val="21"/>
          <w:highlight w:val="none"/>
        </w:rPr>
        <w:instrText xml:space="preserve">" </w:instrText>
      </w:r>
      <w:r>
        <w:rPr>
          <w:rFonts w:ascii="宋体" w:hAnsi="宋体"/>
          <w:color w:val="auto"/>
          <w:szCs w:val="21"/>
          <w:highlight w:val="none"/>
        </w:rPr>
        <w:fldChar w:fldCharType="separate"/>
      </w:r>
      <w:r>
        <w:rPr>
          <w:rFonts w:hint="eastAsia" w:ascii="宋体" w:hAnsi="宋体"/>
          <w:color w:val="auto"/>
          <w:szCs w:val="21"/>
          <w:highlight w:val="none"/>
        </w:rPr>
        <w:t>www.gcy.zfcg.gxzf.gov.cn）获取（下载）竞争性磋商文件，并于</w:t>
      </w:r>
      <w:r>
        <w:rPr>
          <w:rFonts w:ascii="宋体" w:hAnsi="宋体"/>
          <w:color w:val="auto"/>
          <w:szCs w:val="21"/>
          <w:highlight w:val="none"/>
        </w:rPr>
        <w:t>202</w:t>
      </w:r>
      <w:r>
        <w:rPr>
          <w:rFonts w:hint="eastAsia" w:ascii="宋体" w:hAnsi="宋体"/>
          <w:color w:val="auto"/>
          <w:szCs w:val="21"/>
          <w:highlight w:val="none"/>
          <w:lang w:val="en-US" w:eastAsia="zh-CN"/>
        </w:rPr>
        <w:t>6</w:t>
      </w:r>
      <w:r>
        <w:rPr>
          <w:rFonts w:hint="eastAsia" w:ascii="宋体" w:hAnsi="宋体"/>
          <w:color w:val="auto"/>
          <w:szCs w:val="21"/>
          <w:highlight w:val="none"/>
        </w:rPr>
        <w:t>年</w:t>
      </w:r>
      <w:r>
        <w:rPr>
          <w:rFonts w:ascii="宋体" w:hAnsi="宋体"/>
          <w:color w:val="auto"/>
          <w:szCs w:val="21"/>
          <w:highlight w:val="none"/>
        </w:rPr>
        <w:fldChar w:fldCharType="end"/>
      </w:r>
      <w:r>
        <w:rPr>
          <w:rFonts w:hint="eastAsia" w:ascii="宋体" w:hAnsi="宋体"/>
          <w:color w:val="auto"/>
          <w:szCs w:val="21"/>
          <w:highlight w:val="none"/>
          <w:lang w:val="en-US" w:eastAsia="zh-CN"/>
        </w:rPr>
        <w:t>11</w:t>
      </w:r>
      <w:r>
        <w:rPr>
          <w:rFonts w:hint="eastAsia" w:ascii="宋体" w:hAnsi="宋体"/>
          <w:bCs/>
          <w:color w:val="auto"/>
          <w:szCs w:val="21"/>
          <w:highlight w:val="none"/>
        </w:rPr>
        <w:t>月</w:t>
      </w:r>
      <w:r>
        <w:rPr>
          <w:rFonts w:hint="eastAsia" w:ascii="宋体" w:hAnsi="宋体"/>
          <w:bCs/>
          <w:color w:val="auto"/>
          <w:szCs w:val="21"/>
          <w:highlight w:val="none"/>
          <w:lang w:val="en-US" w:eastAsia="zh-CN"/>
        </w:rPr>
        <w:t>3</w:t>
      </w:r>
      <w:r>
        <w:rPr>
          <w:rFonts w:hint="eastAsia" w:ascii="宋体" w:hAnsi="宋体"/>
          <w:bCs/>
          <w:color w:val="auto"/>
          <w:szCs w:val="21"/>
          <w:highlight w:val="none"/>
        </w:rPr>
        <w:t>日</w:t>
      </w:r>
      <w:r>
        <w:rPr>
          <w:rFonts w:ascii="宋体" w:hAnsi="宋体"/>
          <w:bCs/>
          <w:color w:val="auto"/>
          <w:szCs w:val="21"/>
          <w:highlight w:val="none"/>
          <w:u w:val="single"/>
        </w:rPr>
        <w:t>9</w:t>
      </w:r>
      <w:r>
        <w:rPr>
          <w:rFonts w:hint="eastAsia" w:ascii="宋体" w:hAnsi="宋体"/>
          <w:bCs/>
          <w:color w:val="auto"/>
          <w:szCs w:val="21"/>
          <w:highlight w:val="none"/>
        </w:rPr>
        <w:t>时</w:t>
      </w:r>
      <w:r>
        <w:rPr>
          <w:rFonts w:hint="eastAsia" w:ascii="宋体" w:hAnsi="宋体"/>
          <w:bCs/>
          <w:color w:val="auto"/>
          <w:szCs w:val="21"/>
          <w:highlight w:val="none"/>
          <w:u w:val="single"/>
        </w:rPr>
        <w:t>00</w:t>
      </w:r>
      <w:r>
        <w:rPr>
          <w:rFonts w:hint="eastAsia" w:ascii="宋体" w:hAnsi="宋体"/>
          <w:bCs/>
          <w:color w:val="auto"/>
          <w:szCs w:val="21"/>
          <w:highlight w:val="none"/>
        </w:rPr>
        <w:t>分（北京时间）前提交（上传）</w:t>
      </w:r>
      <w:r>
        <w:rPr>
          <w:rFonts w:hint="eastAsia" w:ascii="宋体" w:hAnsi="宋体"/>
          <w:color w:val="auto"/>
          <w:szCs w:val="21"/>
          <w:highlight w:val="none"/>
        </w:rPr>
        <w:t>响应</w:t>
      </w:r>
      <w:r>
        <w:rPr>
          <w:rFonts w:hint="eastAsia" w:ascii="宋体" w:hAnsi="宋体"/>
          <w:bCs/>
          <w:color w:val="auto"/>
          <w:szCs w:val="21"/>
          <w:highlight w:val="none"/>
        </w:rPr>
        <w:t>文件</w:t>
      </w:r>
      <w:r>
        <w:rPr>
          <w:rFonts w:hint="eastAsia" w:ascii="宋体" w:hAnsi="宋体"/>
          <w:color w:val="auto"/>
          <w:szCs w:val="21"/>
          <w:highlight w:val="none"/>
        </w:rPr>
        <w:t>。</w:t>
      </w:r>
    </w:p>
    <w:p w14:paraId="74AEB6A0">
      <w:pPr>
        <w:keepNext w:val="0"/>
        <w:keepLines w:val="0"/>
        <w:pageBreakBefore w:val="0"/>
        <w:kinsoku/>
        <w:overflowPunct/>
        <w:topLinePunct w:val="0"/>
        <w:autoSpaceDE/>
        <w:autoSpaceDN/>
        <w:bidi w:val="0"/>
        <w:adjustRightInd/>
        <w:spacing w:line="360" w:lineRule="exact"/>
        <w:ind w:firstLine="424" w:firstLineChars="176"/>
        <w:textAlignment w:val="auto"/>
        <w:rPr>
          <w:rFonts w:ascii="宋体" w:hAnsi="宋体"/>
          <w:color w:val="auto"/>
          <w:szCs w:val="21"/>
        </w:rPr>
      </w:pPr>
      <w:bookmarkStart w:id="5" w:name="_Toc44229878"/>
      <w:bookmarkStart w:id="6" w:name="_Toc71366166"/>
      <w:bookmarkStart w:id="7" w:name="_Toc28359012"/>
      <w:bookmarkStart w:id="8" w:name="_Toc35393629"/>
      <w:bookmarkStart w:id="9" w:name="_Toc28359089"/>
      <w:bookmarkStart w:id="10" w:name="_Toc35393798"/>
      <w:r>
        <w:rPr>
          <w:rFonts w:hint="eastAsia" w:ascii="宋体" w:hAnsi="宋体"/>
          <w:b/>
          <w:color w:val="auto"/>
          <w:sz w:val="24"/>
        </w:rPr>
        <w:t>一、项目基本情况</w:t>
      </w:r>
      <w:bookmarkEnd w:id="5"/>
      <w:bookmarkEnd w:id="6"/>
      <w:bookmarkEnd w:id="7"/>
      <w:bookmarkEnd w:id="8"/>
      <w:bookmarkEnd w:id="9"/>
      <w:bookmarkEnd w:id="10"/>
    </w:p>
    <w:p w14:paraId="2E566372">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color w:val="auto"/>
          <w:szCs w:val="21"/>
        </w:rPr>
      </w:pPr>
      <w:r>
        <w:rPr>
          <w:rFonts w:hint="eastAsia" w:ascii="宋体" w:hAnsi="宋体"/>
          <w:color w:val="auto"/>
          <w:szCs w:val="21"/>
        </w:rPr>
        <w:t>项目编号：</w:t>
      </w:r>
      <w:r>
        <w:rPr>
          <w:rFonts w:hint="eastAsia" w:ascii="宋体" w:hAnsi="宋体"/>
          <w:color w:val="auto"/>
          <w:szCs w:val="21"/>
          <w:lang w:eastAsia="zh-CN"/>
        </w:rPr>
        <w:t>GXZC2026-C3-003417-OBGC</w:t>
      </w:r>
      <w:r>
        <w:rPr>
          <w:rFonts w:hint="eastAsia" w:ascii="宋体" w:hAnsi="宋体"/>
          <w:color w:val="auto"/>
          <w:szCs w:val="21"/>
        </w:rPr>
        <w:t xml:space="preserve">  </w:t>
      </w:r>
    </w:p>
    <w:p w14:paraId="5BBC68A1">
      <w:pPr>
        <w:keepNext w:val="0"/>
        <w:keepLines w:val="0"/>
        <w:pageBreakBefore w:val="0"/>
        <w:kinsoku/>
        <w:overflowPunct/>
        <w:topLinePunct w:val="0"/>
        <w:autoSpaceDE/>
        <w:autoSpaceDN/>
        <w:bidi w:val="0"/>
        <w:adjustRightInd/>
        <w:spacing w:line="360" w:lineRule="exact"/>
        <w:ind w:firstLine="420" w:firstLineChars="200"/>
        <w:textAlignment w:val="auto"/>
        <w:rPr>
          <w:rFonts w:hint="eastAsia" w:ascii="宋体" w:hAnsi="宋体" w:eastAsia="宋体"/>
          <w:color w:val="auto"/>
          <w:szCs w:val="21"/>
          <w:lang w:val="en-US" w:eastAsia="zh-CN"/>
        </w:rPr>
      </w:pPr>
      <w:r>
        <w:rPr>
          <w:rFonts w:hint="eastAsia" w:ascii="宋体" w:hAnsi="宋体"/>
          <w:color w:val="auto"/>
          <w:szCs w:val="21"/>
        </w:rPr>
        <w:t>项目名称：</w:t>
      </w:r>
      <w:r>
        <w:rPr>
          <w:rFonts w:hint="eastAsia" w:ascii="宋体" w:hAnsi="宋体"/>
          <w:color w:val="auto"/>
          <w:szCs w:val="21"/>
          <w:lang w:eastAsia="zh-CN"/>
        </w:rPr>
        <w:t>直线加速器维保</w:t>
      </w:r>
    </w:p>
    <w:p w14:paraId="2F985921">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color w:val="auto"/>
          <w:szCs w:val="21"/>
        </w:rPr>
      </w:pPr>
      <w:r>
        <w:rPr>
          <w:rFonts w:hint="eastAsia" w:ascii="宋体" w:hAnsi="宋体"/>
          <w:color w:val="auto"/>
          <w:szCs w:val="21"/>
        </w:rPr>
        <w:t>采购方式：竞争性磋商</w:t>
      </w:r>
    </w:p>
    <w:p w14:paraId="1DEC8E68">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color w:val="auto"/>
          <w:szCs w:val="21"/>
        </w:rPr>
      </w:pPr>
      <w:r>
        <w:rPr>
          <w:rFonts w:hint="eastAsia" w:ascii="宋体" w:hAnsi="宋体"/>
          <w:color w:val="auto"/>
          <w:szCs w:val="21"/>
        </w:rPr>
        <w:t>预算金额：</w:t>
      </w:r>
      <w:r>
        <w:rPr>
          <w:rFonts w:hint="eastAsia" w:ascii="宋体" w:hAnsi="宋体"/>
          <w:color w:val="auto"/>
          <w:szCs w:val="21"/>
          <w:lang w:val="en-US" w:eastAsia="zh-CN"/>
        </w:rPr>
        <w:t>1650000</w:t>
      </w:r>
      <w:r>
        <w:rPr>
          <w:rFonts w:hint="eastAsia" w:ascii="宋体" w:hAnsi="宋体"/>
          <w:color w:val="auto"/>
          <w:szCs w:val="21"/>
        </w:rPr>
        <w:t>.00</w:t>
      </w:r>
    </w:p>
    <w:p w14:paraId="188FF95D">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color w:val="auto"/>
          <w:szCs w:val="21"/>
        </w:rPr>
      </w:pPr>
      <w:r>
        <w:rPr>
          <w:rFonts w:hint="eastAsia" w:ascii="宋体" w:hAnsi="宋体"/>
          <w:color w:val="auto"/>
          <w:szCs w:val="21"/>
        </w:rPr>
        <w:t>最高限价：</w:t>
      </w:r>
      <w:r>
        <w:rPr>
          <w:rFonts w:hint="eastAsia" w:ascii="宋体" w:hAnsi="宋体"/>
          <w:color w:val="auto"/>
          <w:szCs w:val="21"/>
          <w:lang w:val="en-US" w:eastAsia="zh-CN"/>
        </w:rPr>
        <w:t>960000</w:t>
      </w:r>
      <w:r>
        <w:rPr>
          <w:rFonts w:hint="eastAsia" w:ascii="宋体" w:hAnsi="宋体"/>
          <w:color w:val="auto"/>
          <w:szCs w:val="21"/>
        </w:rPr>
        <w:t>.00</w:t>
      </w:r>
    </w:p>
    <w:p w14:paraId="241CACC7">
      <w:pPr>
        <w:keepNext w:val="0"/>
        <w:keepLines w:val="0"/>
        <w:pageBreakBefore w:val="0"/>
        <w:kinsoku/>
        <w:overflowPunct/>
        <w:topLinePunct w:val="0"/>
        <w:autoSpaceDE/>
        <w:autoSpaceDN/>
        <w:bidi w:val="0"/>
        <w:adjustRightInd/>
        <w:spacing w:line="360" w:lineRule="exact"/>
        <w:ind w:firstLine="420" w:firstLineChars="200"/>
        <w:textAlignment w:val="auto"/>
        <w:rPr>
          <w:rFonts w:hint="eastAsia" w:ascii="宋体" w:hAnsi="宋体" w:eastAsia="宋体" w:cs="Times New Roman"/>
          <w:color w:val="auto"/>
          <w:szCs w:val="21"/>
          <w:lang w:eastAsia="zh-CN"/>
        </w:rPr>
      </w:pPr>
      <w:r>
        <w:rPr>
          <w:rFonts w:hint="eastAsia" w:ascii="宋体" w:hAnsi="宋体"/>
          <w:color w:val="auto"/>
          <w:szCs w:val="21"/>
          <w:highlight w:val="none"/>
        </w:rPr>
        <w:t>简要规格描述或项目基本概况介绍、用途</w:t>
      </w:r>
      <w:r>
        <w:rPr>
          <w:rFonts w:hint="eastAsia" w:ascii="宋体" w:hAnsi="宋体"/>
          <w:color w:val="auto"/>
          <w:szCs w:val="21"/>
        </w:rPr>
        <w:t>：（1）标的的名称、数量及单</w:t>
      </w:r>
      <w:r>
        <w:rPr>
          <w:rFonts w:hint="eastAsia" w:ascii="宋体" w:hAnsi="宋体" w:eastAsia="宋体" w:cs="Times New Roman"/>
          <w:color w:val="auto"/>
          <w:szCs w:val="21"/>
        </w:rPr>
        <w:t>位：</w:t>
      </w:r>
      <w:r>
        <w:rPr>
          <w:rFonts w:hint="eastAsia" w:ascii="宋体" w:hAnsi="宋体" w:eastAsia="宋体" w:cs="Times New Roman"/>
          <w:color w:val="auto"/>
          <w:szCs w:val="21"/>
          <w:lang w:eastAsia="zh-CN"/>
        </w:rPr>
        <w:t>直线加速器维保</w:t>
      </w:r>
      <w:r>
        <w:rPr>
          <w:rFonts w:hint="eastAsia" w:ascii="宋体" w:hAnsi="宋体" w:eastAsia="宋体" w:cs="Times New Roman"/>
          <w:color w:val="auto"/>
          <w:szCs w:val="21"/>
        </w:rPr>
        <w:t>1</w:t>
      </w:r>
      <w:r>
        <w:rPr>
          <w:rFonts w:hint="eastAsia" w:ascii="宋体" w:hAnsi="宋体" w:eastAsia="宋体" w:cs="Times New Roman"/>
          <w:color w:val="auto"/>
          <w:szCs w:val="21"/>
          <w:lang w:val="en-US" w:eastAsia="zh-CN"/>
        </w:rPr>
        <w:t>台</w:t>
      </w:r>
      <w:r>
        <w:rPr>
          <w:rFonts w:hint="eastAsia" w:ascii="宋体" w:hAnsi="宋体"/>
          <w:color w:val="auto"/>
          <w:szCs w:val="21"/>
        </w:rPr>
        <w:t>。</w:t>
      </w:r>
      <w:r>
        <w:rPr>
          <w:rFonts w:hint="eastAsia" w:ascii="宋体" w:hAnsi="宋体"/>
          <w:color w:val="auto"/>
          <w:szCs w:val="21"/>
          <w:highlight w:val="none"/>
        </w:rPr>
        <w:t>（2）简要服务内容及要求或服务要求：对</w:t>
      </w:r>
      <w:r>
        <w:rPr>
          <w:rFonts w:hint="eastAsia" w:ascii="宋体" w:hAnsi="宋体" w:eastAsia="宋体" w:cs="Times New Roman"/>
          <w:color w:val="auto"/>
          <w:szCs w:val="21"/>
          <w:lang w:eastAsia="zh-CN"/>
        </w:rPr>
        <w:t>采购人院内瓦里安直线加速器进行维保，包含直线加速器、CBCT、OBI、MLC、EPI、CCTV 监视器和摄像头、病人定位用激光器、对讲系统、室内监视器、水冷机、稳压器、空气压缩机、ARIA网络系统、Eclipse计划系统、肿瘤信息化管理系统；具体内容详见竞争性磋商文件第三章“采购需求”。</w:t>
      </w:r>
    </w:p>
    <w:p w14:paraId="1456DEE7">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color w:val="auto"/>
          <w:szCs w:val="21"/>
        </w:rPr>
      </w:pPr>
      <w:r>
        <w:rPr>
          <w:rFonts w:hint="eastAsia" w:ascii="宋体" w:hAnsi="宋体"/>
          <w:color w:val="auto"/>
          <w:szCs w:val="21"/>
          <w:highlight w:val="none"/>
        </w:rPr>
        <w:t>合同履行期限：</w:t>
      </w:r>
      <w:r>
        <w:rPr>
          <w:rFonts w:hint="eastAsia" w:ascii="宋体" w:hAnsi="宋体"/>
          <w:bCs/>
          <w:color w:val="auto"/>
          <w:szCs w:val="21"/>
          <w:highlight w:val="none"/>
        </w:rPr>
        <w:t>自合同签订之日起3年</w:t>
      </w:r>
      <w:r>
        <w:rPr>
          <w:rFonts w:hint="eastAsia" w:ascii="宋体" w:hAnsi="宋体"/>
          <w:color w:val="auto"/>
          <w:szCs w:val="21"/>
        </w:rPr>
        <w:t>。</w:t>
      </w:r>
    </w:p>
    <w:p w14:paraId="00BB6F23">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color w:val="auto"/>
          <w:szCs w:val="21"/>
        </w:rPr>
      </w:pPr>
      <w:r>
        <w:rPr>
          <w:rFonts w:hint="eastAsia" w:ascii="宋体" w:hAnsi="宋体"/>
          <w:color w:val="auto"/>
          <w:szCs w:val="21"/>
        </w:rPr>
        <w:t>本项目不接受联合体。</w:t>
      </w:r>
    </w:p>
    <w:p w14:paraId="043BFC8F">
      <w:pPr>
        <w:keepNext w:val="0"/>
        <w:keepLines w:val="0"/>
        <w:pageBreakBefore w:val="0"/>
        <w:kinsoku/>
        <w:overflowPunct/>
        <w:topLinePunct w:val="0"/>
        <w:autoSpaceDE/>
        <w:autoSpaceDN/>
        <w:bidi w:val="0"/>
        <w:adjustRightInd/>
        <w:spacing w:line="360" w:lineRule="exact"/>
        <w:ind w:firstLine="424" w:firstLineChars="176"/>
        <w:textAlignment w:val="auto"/>
        <w:rPr>
          <w:rFonts w:ascii="宋体" w:hAnsi="宋体"/>
          <w:b/>
          <w:color w:val="auto"/>
          <w:sz w:val="24"/>
        </w:rPr>
      </w:pPr>
      <w:bookmarkStart w:id="11" w:name="_Toc71366167"/>
      <w:bookmarkStart w:id="12" w:name="_Toc35393630"/>
      <w:bookmarkStart w:id="13" w:name="_Toc28359013"/>
      <w:bookmarkStart w:id="14" w:name="_Toc28359090"/>
      <w:bookmarkStart w:id="15" w:name="_Toc35393799"/>
      <w:bookmarkStart w:id="16" w:name="_Toc44229879"/>
      <w:r>
        <w:rPr>
          <w:rFonts w:hint="eastAsia" w:ascii="宋体" w:hAnsi="宋体"/>
          <w:b/>
          <w:color w:val="auto"/>
          <w:sz w:val="24"/>
        </w:rPr>
        <w:t>二、申请人的资格条件：</w:t>
      </w:r>
      <w:bookmarkEnd w:id="11"/>
      <w:bookmarkEnd w:id="12"/>
      <w:bookmarkEnd w:id="13"/>
      <w:bookmarkEnd w:id="14"/>
      <w:bookmarkEnd w:id="15"/>
      <w:bookmarkEnd w:id="16"/>
    </w:p>
    <w:p w14:paraId="74FD5CEA">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color w:val="auto"/>
          <w:szCs w:val="21"/>
        </w:rPr>
      </w:pPr>
      <w:bookmarkStart w:id="17" w:name="_Toc35393631"/>
      <w:bookmarkStart w:id="18" w:name="_Toc28359091"/>
      <w:bookmarkStart w:id="19" w:name="_Toc28359014"/>
      <w:bookmarkStart w:id="20" w:name="_Toc44229880"/>
      <w:bookmarkStart w:id="21" w:name="_Toc35393800"/>
      <w:r>
        <w:rPr>
          <w:rFonts w:hint="eastAsia" w:ascii="宋体" w:hAnsi="宋体"/>
          <w:color w:val="auto"/>
          <w:szCs w:val="21"/>
        </w:rPr>
        <w:t>1.满足《中华人民共和国政府采购法》第二十二条规定；</w:t>
      </w:r>
    </w:p>
    <w:p w14:paraId="4A9B7017">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color w:val="auto"/>
          <w:szCs w:val="21"/>
        </w:rPr>
      </w:pPr>
      <w:r>
        <w:rPr>
          <w:rFonts w:ascii="宋体" w:hAnsi="宋体"/>
          <w:color w:val="auto"/>
          <w:szCs w:val="21"/>
        </w:rPr>
        <w:t>2</w:t>
      </w:r>
      <w:r>
        <w:rPr>
          <w:rFonts w:hint="eastAsia" w:ascii="宋体" w:hAnsi="宋体"/>
          <w:color w:val="auto"/>
          <w:szCs w:val="21"/>
        </w:rPr>
        <w:t>.落实政府采购政策需满足的资格要求：无；</w:t>
      </w:r>
    </w:p>
    <w:p w14:paraId="7E0D5C02">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color w:val="auto"/>
          <w:szCs w:val="21"/>
        </w:rPr>
      </w:pPr>
      <w:r>
        <w:rPr>
          <w:rFonts w:hint="eastAsia" w:ascii="宋体" w:hAnsi="宋体"/>
          <w:color w:val="auto"/>
          <w:szCs w:val="21"/>
        </w:rPr>
        <w:t>3.本项目的特定资格要求：</w:t>
      </w:r>
      <w:bookmarkStart w:id="22" w:name="_Toc71366168"/>
      <w:r>
        <w:rPr>
          <w:rFonts w:hint="eastAsia" w:ascii="宋体" w:hAnsi="宋体"/>
          <w:color w:val="auto"/>
          <w:szCs w:val="21"/>
        </w:rPr>
        <w:t>无。</w:t>
      </w:r>
    </w:p>
    <w:p w14:paraId="737B5E4E">
      <w:pPr>
        <w:keepNext w:val="0"/>
        <w:keepLines w:val="0"/>
        <w:pageBreakBefore w:val="0"/>
        <w:kinsoku/>
        <w:overflowPunct/>
        <w:topLinePunct w:val="0"/>
        <w:autoSpaceDE/>
        <w:autoSpaceDN/>
        <w:bidi w:val="0"/>
        <w:adjustRightInd/>
        <w:spacing w:line="360" w:lineRule="exact"/>
        <w:ind w:firstLine="424" w:firstLineChars="176"/>
        <w:textAlignment w:val="auto"/>
        <w:rPr>
          <w:rFonts w:ascii="宋体" w:hAnsi="宋体"/>
          <w:color w:val="auto"/>
          <w:szCs w:val="21"/>
          <w:u w:val="single"/>
        </w:rPr>
      </w:pPr>
      <w:r>
        <w:rPr>
          <w:rFonts w:hint="eastAsia" w:ascii="宋体" w:hAnsi="宋体"/>
          <w:b/>
          <w:color w:val="auto"/>
          <w:sz w:val="24"/>
        </w:rPr>
        <w:t>三、获取竞争性磋商文件</w:t>
      </w:r>
      <w:bookmarkEnd w:id="17"/>
      <w:bookmarkEnd w:id="18"/>
      <w:bookmarkEnd w:id="19"/>
      <w:bookmarkEnd w:id="20"/>
      <w:bookmarkEnd w:id="21"/>
      <w:bookmarkEnd w:id="22"/>
    </w:p>
    <w:p w14:paraId="4D5CB076">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cs="宋体"/>
          <w:bCs/>
          <w:color w:val="auto"/>
          <w:kern w:val="0"/>
          <w:szCs w:val="21"/>
        </w:rPr>
      </w:pPr>
      <w:bookmarkStart w:id="23" w:name="_Toc44229881"/>
      <w:bookmarkStart w:id="24" w:name="_Toc28359092"/>
      <w:bookmarkStart w:id="25" w:name="_Toc35393632"/>
      <w:bookmarkStart w:id="26" w:name="_Toc28359015"/>
      <w:bookmarkStart w:id="27" w:name="_Toc35393801"/>
      <w:r>
        <w:rPr>
          <w:rFonts w:hint="eastAsia" w:ascii="宋体" w:hAnsi="宋体" w:cs="宋体"/>
          <w:bCs/>
          <w:color w:val="auto"/>
          <w:kern w:val="0"/>
          <w:szCs w:val="21"/>
        </w:rPr>
        <w:t>时间：</w:t>
      </w:r>
      <w:r>
        <w:rPr>
          <w:rFonts w:hint="eastAsia" w:ascii="宋体" w:hAnsi="宋体"/>
          <w:bCs/>
          <w:color w:val="auto"/>
          <w:szCs w:val="21"/>
        </w:rPr>
        <w:t>202</w:t>
      </w:r>
      <w:r>
        <w:rPr>
          <w:rFonts w:hint="eastAsia" w:ascii="宋体" w:hAnsi="宋体"/>
          <w:bCs/>
          <w:color w:val="auto"/>
          <w:szCs w:val="21"/>
          <w:lang w:val="en-US" w:eastAsia="zh-CN"/>
        </w:rPr>
        <w:t>6</w:t>
      </w:r>
      <w:r>
        <w:rPr>
          <w:rFonts w:hint="eastAsia" w:ascii="宋体" w:hAnsi="宋体"/>
          <w:bCs/>
          <w:color w:val="auto"/>
          <w:szCs w:val="21"/>
        </w:rPr>
        <w:t>年</w:t>
      </w:r>
      <w:r>
        <w:rPr>
          <w:rFonts w:hint="eastAsia" w:ascii="宋体" w:hAnsi="宋体"/>
          <w:bCs/>
          <w:color w:val="auto"/>
          <w:szCs w:val="21"/>
          <w:lang w:val="en-US" w:eastAsia="zh-CN"/>
        </w:rPr>
        <w:t>10</w:t>
      </w:r>
      <w:r>
        <w:rPr>
          <w:rFonts w:hint="eastAsia" w:ascii="宋体" w:hAnsi="宋体"/>
          <w:bCs/>
          <w:color w:val="auto"/>
          <w:szCs w:val="21"/>
        </w:rPr>
        <w:t>月</w:t>
      </w:r>
      <w:r>
        <w:rPr>
          <w:rFonts w:hint="eastAsia" w:ascii="宋体" w:hAnsi="宋体"/>
          <w:bCs/>
          <w:color w:val="auto"/>
          <w:szCs w:val="21"/>
          <w:lang w:val="en-US" w:eastAsia="zh-CN"/>
        </w:rPr>
        <w:t>20</w:t>
      </w:r>
      <w:r>
        <w:rPr>
          <w:rFonts w:hint="eastAsia" w:ascii="宋体" w:hAnsi="宋体"/>
          <w:bCs/>
          <w:color w:val="auto"/>
          <w:szCs w:val="21"/>
        </w:rPr>
        <w:t>日</w:t>
      </w:r>
      <w:r>
        <w:rPr>
          <w:rFonts w:hint="eastAsia" w:ascii="宋体" w:hAnsi="宋体" w:cs="宋体"/>
          <w:bCs/>
          <w:color w:val="auto"/>
          <w:kern w:val="0"/>
          <w:szCs w:val="21"/>
        </w:rPr>
        <w:t>至</w:t>
      </w:r>
      <w:r>
        <w:rPr>
          <w:rFonts w:hint="eastAsia" w:ascii="宋体" w:hAnsi="宋体"/>
          <w:bCs/>
          <w:color w:val="auto"/>
          <w:szCs w:val="21"/>
        </w:rPr>
        <w:t>202</w:t>
      </w:r>
      <w:r>
        <w:rPr>
          <w:rFonts w:hint="eastAsia" w:ascii="宋体" w:hAnsi="宋体"/>
          <w:bCs/>
          <w:color w:val="auto"/>
          <w:szCs w:val="21"/>
          <w:lang w:val="en-US" w:eastAsia="zh-CN"/>
        </w:rPr>
        <w:t>6</w:t>
      </w:r>
      <w:r>
        <w:rPr>
          <w:rFonts w:hint="eastAsia" w:ascii="宋体" w:hAnsi="宋体"/>
          <w:bCs/>
          <w:color w:val="auto"/>
          <w:szCs w:val="21"/>
        </w:rPr>
        <w:t>年</w:t>
      </w:r>
      <w:r>
        <w:rPr>
          <w:rFonts w:hint="eastAsia" w:ascii="宋体" w:hAnsi="宋体"/>
          <w:bCs/>
          <w:color w:val="auto"/>
          <w:szCs w:val="21"/>
          <w:lang w:val="en-US" w:eastAsia="zh-CN"/>
        </w:rPr>
        <w:t>11</w:t>
      </w:r>
      <w:r>
        <w:rPr>
          <w:rFonts w:hint="eastAsia" w:ascii="宋体" w:hAnsi="宋体"/>
          <w:bCs/>
          <w:color w:val="auto"/>
          <w:szCs w:val="21"/>
        </w:rPr>
        <w:t>月</w:t>
      </w:r>
      <w:r>
        <w:rPr>
          <w:rFonts w:hint="eastAsia" w:ascii="宋体" w:hAnsi="宋体"/>
          <w:bCs/>
          <w:color w:val="auto"/>
          <w:szCs w:val="21"/>
          <w:lang w:val="en-US" w:eastAsia="zh-CN"/>
        </w:rPr>
        <w:t>3</w:t>
      </w:r>
      <w:r>
        <w:rPr>
          <w:rFonts w:hint="eastAsia" w:ascii="宋体" w:hAnsi="宋体"/>
          <w:bCs/>
          <w:color w:val="auto"/>
          <w:szCs w:val="21"/>
        </w:rPr>
        <w:t>日</w:t>
      </w:r>
      <w:r>
        <w:rPr>
          <w:rFonts w:hint="eastAsia" w:ascii="宋体" w:hAnsi="宋体" w:cs="宋体"/>
          <w:bCs/>
          <w:color w:val="auto"/>
          <w:kern w:val="0"/>
          <w:szCs w:val="21"/>
        </w:rPr>
        <w:t>，每天上午</w:t>
      </w:r>
      <w:r>
        <w:rPr>
          <w:rFonts w:hint="eastAsia" w:ascii="宋体" w:hAnsi="宋体" w:cs="宋体"/>
          <w:color w:val="auto"/>
          <w:szCs w:val="21"/>
        </w:rPr>
        <w:t>9:00至11:59，下午12:00至17:00</w:t>
      </w:r>
      <w:r>
        <w:rPr>
          <w:rFonts w:hint="eastAsia" w:ascii="宋体" w:hAnsi="宋体" w:cs="宋体"/>
          <w:bCs/>
          <w:color w:val="auto"/>
          <w:kern w:val="0"/>
          <w:szCs w:val="21"/>
        </w:rPr>
        <w:t>（北京时间，</w:t>
      </w:r>
      <w:r>
        <w:rPr>
          <w:rFonts w:ascii="宋体" w:hAnsi="宋体" w:cs="宋体"/>
          <w:bCs/>
          <w:color w:val="auto"/>
          <w:kern w:val="0"/>
          <w:szCs w:val="21"/>
        </w:rPr>
        <w:t>法定节假日</w:t>
      </w:r>
      <w:r>
        <w:rPr>
          <w:rFonts w:hint="eastAsia" w:ascii="宋体" w:hAnsi="宋体" w:cs="宋体"/>
          <w:bCs/>
          <w:color w:val="auto"/>
          <w:kern w:val="0"/>
          <w:szCs w:val="21"/>
        </w:rPr>
        <w:t>除外）。</w:t>
      </w:r>
    </w:p>
    <w:p w14:paraId="1FB033A9">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cs="宋体"/>
          <w:bCs/>
          <w:color w:val="auto"/>
          <w:kern w:val="0"/>
          <w:szCs w:val="21"/>
        </w:rPr>
      </w:pPr>
      <w:r>
        <w:rPr>
          <w:rFonts w:hint="eastAsia" w:ascii="宋体" w:hAnsi="宋体" w:cs="宋体"/>
          <w:bCs/>
          <w:color w:val="auto"/>
          <w:kern w:val="0"/>
          <w:szCs w:val="21"/>
        </w:rPr>
        <w:t>地点：</w:t>
      </w:r>
      <w:r>
        <w:rPr>
          <w:rFonts w:hint="eastAsia" w:ascii="宋体" w:hAnsi="宋体"/>
          <w:color w:val="auto"/>
          <w:szCs w:val="21"/>
        </w:rPr>
        <w:t>广西政府采购云平台（</w:t>
      </w:r>
      <w:r>
        <w:rPr>
          <w:rFonts w:hint="eastAsia" w:ascii="宋体" w:hAnsi="宋体"/>
          <w:bCs/>
          <w:color w:val="auto"/>
          <w:szCs w:val="21"/>
          <w:lang w:eastAsia="zh-CN"/>
        </w:rPr>
        <w:t>www.gcy.zfcg.gxzf.gov.cn</w:t>
      </w:r>
      <w:r>
        <w:rPr>
          <w:rFonts w:hint="eastAsia" w:ascii="宋体" w:hAnsi="宋体"/>
          <w:color w:val="auto"/>
          <w:szCs w:val="21"/>
        </w:rPr>
        <w:t>）</w:t>
      </w:r>
      <w:r>
        <w:rPr>
          <w:rFonts w:hint="eastAsia" w:ascii="宋体" w:hAnsi="宋体" w:cs="宋体"/>
          <w:bCs/>
          <w:color w:val="auto"/>
          <w:kern w:val="0"/>
          <w:szCs w:val="21"/>
        </w:rPr>
        <w:t>。</w:t>
      </w:r>
    </w:p>
    <w:p w14:paraId="5AA24F43">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cs="宋体"/>
          <w:bCs/>
          <w:color w:val="auto"/>
          <w:kern w:val="0"/>
          <w:szCs w:val="21"/>
        </w:rPr>
      </w:pPr>
      <w:r>
        <w:rPr>
          <w:rFonts w:hint="eastAsia" w:ascii="宋体" w:hAnsi="宋体" w:cs="宋体"/>
          <w:bCs/>
          <w:color w:val="auto"/>
          <w:kern w:val="0"/>
          <w:szCs w:val="21"/>
        </w:rPr>
        <w:t>方式：</w:t>
      </w:r>
      <w:r>
        <w:rPr>
          <w:rFonts w:hint="eastAsia" w:ascii="宋体" w:hAnsi="宋体" w:cs="宋体"/>
          <w:bCs/>
          <w:color w:val="auto"/>
          <w:kern w:val="0"/>
          <w:szCs w:val="21"/>
          <w:highlight w:val="none"/>
        </w:rPr>
        <w:t>网上下载。本项目不提供纸质文件，潜在供应商需使用账号登录或者使用CA登录广西政府采购云平台（www.gcy.zfcg.gxzf.gov.cn）-进入“项目采购”应用，在获取采购文件菜单中选择项目，获取竞争性磋商文件。</w:t>
      </w:r>
      <w:r>
        <w:rPr>
          <w:rFonts w:hint="eastAsia" w:ascii="宋体" w:hAnsi="宋体"/>
          <w:color w:val="auto"/>
          <w:szCs w:val="21"/>
          <w:highlight w:val="none"/>
        </w:rPr>
        <w:t>电子</w:t>
      </w:r>
      <w:r>
        <w:rPr>
          <w:rFonts w:hint="eastAsia"/>
          <w:color w:val="auto"/>
          <w:highlight w:val="none"/>
        </w:rPr>
        <w:t>响应文件</w:t>
      </w:r>
      <w:r>
        <w:rPr>
          <w:rFonts w:hint="eastAsia" w:ascii="宋体" w:hAnsi="宋体"/>
          <w:color w:val="auto"/>
          <w:szCs w:val="21"/>
          <w:highlight w:val="none"/>
        </w:rPr>
        <w:t>制作需要基于广西政府采购云平台获取的竞争性磋商文件编制，</w:t>
      </w:r>
      <w:r>
        <w:rPr>
          <w:rFonts w:hint="eastAsia" w:ascii="宋体" w:hAnsi="宋体" w:cs="宋体"/>
          <w:bCs/>
          <w:color w:val="auto"/>
          <w:kern w:val="0"/>
          <w:szCs w:val="21"/>
          <w:highlight w:val="none"/>
        </w:rPr>
        <w:t>通过其他方式获取竞争性磋商文件的，将有可能导致供应商无法在广西政府采购云平台编制及上传响应文件</w:t>
      </w:r>
      <w:r>
        <w:rPr>
          <w:rFonts w:hint="eastAsia" w:ascii="宋体" w:hAnsi="宋体" w:cs="宋体"/>
          <w:bCs/>
          <w:color w:val="auto"/>
          <w:kern w:val="0"/>
          <w:szCs w:val="21"/>
        </w:rPr>
        <w:t>。</w:t>
      </w:r>
    </w:p>
    <w:p w14:paraId="6B691CDE">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cs="宋体"/>
          <w:color w:val="auto"/>
          <w:szCs w:val="21"/>
        </w:rPr>
      </w:pPr>
      <w:r>
        <w:rPr>
          <w:rFonts w:hint="eastAsia" w:ascii="宋体" w:hAnsi="宋体" w:cs="宋体"/>
          <w:bCs/>
          <w:color w:val="auto"/>
          <w:kern w:val="0"/>
          <w:szCs w:val="21"/>
        </w:rPr>
        <w:t>售价：</w:t>
      </w:r>
      <w:r>
        <w:rPr>
          <w:rFonts w:hint="eastAsia" w:ascii="宋体" w:hAnsi="宋体" w:cs="宋体"/>
          <w:color w:val="auto"/>
          <w:szCs w:val="21"/>
          <w:u w:val="single"/>
        </w:rPr>
        <w:t>0</w:t>
      </w:r>
      <w:r>
        <w:rPr>
          <w:rFonts w:hint="eastAsia" w:ascii="宋体" w:hAnsi="宋体" w:cs="宋体"/>
          <w:color w:val="auto"/>
          <w:szCs w:val="21"/>
        </w:rPr>
        <w:t>元</w:t>
      </w:r>
    </w:p>
    <w:p w14:paraId="49EE5587">
      <w:pPr>
        <w:keepNext w:val="0"/>
        <w:keepLines w:val="0"/>
        <w:pageBreakBefore w:val="0"/>
        <w:kinsoku/>
        <w:overflowPunct/>
        <w:topLinePunct w:val="0"/>
        <w:autoSpaceDE/>
        <w:autoSpaceDN/>
        <w:bidi w:val="0"/>
        <w:adjustRightInd/>
        <w:spacing w:line="360" w:lineRule="exact"/>
        <w:ind w:firstLine="361" w:firstLineChars="150"/>
        <w:textAlignment w:val="auto"/>
        <w:rPr>
          <w:rFonts w:ascii="宋体" w:hAnsi="宋体"/>
          <w:b/>
          <w:color w:val="auto"/>
          <w:sz w:val="24"/>
        </w:rPr>
      </w:pPr>
      <w:bookmarkStart w:id="28" w:name="_Toc71366169"/>
      <w:r>
        <w:rPr>
          <w:rFonts w:hint="eastAsia" w:ascii="宋体" w:hAnsi="宋体"/>
          <w:b/>
          <w:color w:val="auto"/>
          <w:sz w:val="24"/>
        </w:rPr>
        <w:t>四、响应文件提交</w:t>
      </w:r>
      <w:bookmarkEnd w:id="23"/>
      <w:bookmarkEnd w:id="24"/>
      <w:bookmarkEnd w:id="25"/>
      <w:bookmarkEnd w:id="26"/>
      <w:bookmarkEnd w:id="27"/>
      <w:bookmarkEnd w:id="28"/>
    </w:p>
    <w:p w14:paraId="249929FD">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cs="宋体"/>
          <w:bCs/>
          <w:color w:val="auto"/>
          <w:kern w:val="0"/>
          <w:szCs w:val="21"/>
        </w:rPr>
      </w:pPr>
      <w:bookmarkStart w:id="29" w:name="_Toc28359093"/>
      <w:bookmarkStart w:id="30" w:name="_Toc35393802"/>
      <w:bookmarkStart w:id="31" w:name="_Toc28359016"/>
      <w:bookmarkStart w:id="32" w:name="_Toc44229882"/>
      <w:bookmarkStart w:id="33" w:name="_Toc35393633"/>
      <w:r>
        <w:rPr>
          <w:rFonts w:hint="eastAsia" w:ascii="宋体" w:hAnsi="宋体" w:cs="宋体"/>
          <w:bCs/>
          <w:color w:val="auto"/>
          <w:kern w:val="0"/>
          <w:szCs w:val="21"/>
        </w:rPr>
        <w:t>1.截止时间：</w:t>
      </w:r>
      <w:r>
        <w:rPr>
          <w:rFonts w:hint="eastAsia" w:ascii="宋体" w:hAnsi="宋体"/>
          <w:color w:val="auto"/>
          <w:szCs w:val="21"/>
        </w:rPr>
        <w:t>202</w:t>
      </w:r>
      <w:r>
        <w:rPr>
          <w:rFonts w:hint="eastAsia" w:ascii="宋体" w:hAnsi="宋体"/>
          <w:color w:val="auto"/>
          <w:szCs w:val="21"/>
          <w:lang w:val="en-US" w:eastAsia="zh-CN"/>
        </w:rPr>
        <w:t>6</w:t>
      </w:r>
      <w:r>
        <w:rPr>
          <w:rFonts w:hint="eastAsia" w:ascii="宋体" w:hAnsi="宋体"/>
          <w:color w:val="auto"/>
          <w:szCs w:val="21"/>
        </w:rPr>
        <w:t>年</w:t>
      </w:r>
      <w:r>
        <w:rPr>
          <w:rFonts w:hint="eastAsia" w:ascii="宋体" w:hAnsi="宋体"/>
          <w:color w:val="auto"/>
          <w:szCs w:val="21"/>
          <w:lang w:val="en-US" w:eastAsia="zh-CN"/>
        </w:rPr>
        <w:t>11</w:t>
      </w:r>
      <w:r>
        <w:rPr>
          <w:rFonts w:hint="eastAsia" w:ascii="宋体" w:hAnsi="宋体"/>
          <w:color w:val="auto"/>
          <w:szCs w:val="21"/>
        </w:rPr>
        <w:t>月</w:t>
      </w:r>
      <w:r>
        <w:rPr>
          <w:rFonts w:hint="eastAsia" w:ascii="宋体" w:hAnsi="宋体"/>
          <w:color w:val="auto"/>
          <w:szCs w:val="21"/>
          <w:lang w:val="en-US" w:eastAsia="zh-CN"/>
        </w:rPr>
        <w:t>3</w:t>
      </w:r>
      <w:r>
        <w:rPr>
          <w:rFonts w:hint="eastAsia" w:ascii="宋体" w:hAnsi="宋体"/>
          <w:color w:val="auto"/>
          <w:szCs w:val="21"/>
        </w:rPr>
        <w:t>日</w:t>
      </w:r>
      <w:r>
        <w:rPr>
          <w:rFonts w:hint="eastAsia" w:ascii="宋体" w:hAnsi="宋体"/>
          <w:bCs/>
          <w:color w:val="auto"/>
          <w:szCs w:val="21"/>
        </w:rPr>
        <w:t>9时30分</w:t>
      </w:r>
      <w:r>
        <w:rPr>
          <w:rFonts w:hint="eastAsia" w:ascii="宋体" w:hAnsi="宋体" w:cs="宋体"/>
          <w:bCs/>
          <w:color w:val="auto"/>
          <w:kern w:val="0"/>
          <w:szCs w:val="21"/>
        </w:rPr>
        <w:t>（北京时间）</w:t>
      </w:r>
    </w:p>
    <w:p w14:paraId="751D1343">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cs="宋体"/>
          <w:bCs/>
          <w:color w:val="auto"/>
          <w:kern w:val="0"/>
          <w:szCs w:val="21"/>
        </w:rPr>
      </w:pPr>
      <w:r>
        <w:rPr>
          <w:rFonts w:hint="eastAsia" w:ascii="宋体" w:hAnsi="宋体" w:cs="宋体"/>
          <w:bCs/>
          <w:color w:val="auto"/>
          <w:kern w:val="0"/>
          <w:szCs w:val="21"/>
        </w:rPr>
        <w:t>2.地点：</w:t>
      </w:r>
      <w:r>
        <w:rPr>
          <w:rFonts w:hint="eastAsia" w:ascii="宋体" w:hAnsi="宋体"/>
          <w:color w:val="auto"/>
          <w:szCs w:val="21"/>
        </w:rPr>
        <w:t>广西政府采购云平台（</w:t>
      </w:r>
      <w:r>
        <w:rPr>
          <w:rFonts w:hint="eastAsia" w:ascii="宋体" w:hAnsi="宋体"/>
          <w:bCs/>
          <w:color w:val="auto"/>
          <w:szCs w:val="21"/>
          <w:lang w:eastAsia="zh-CN"/>
        </w:rPr>
        <w:t>www.gcy.zfcg.gxzf.gov.cn</w:t>
      </w:r>
      <w:r>
        <w:rPr>
          <w:rFonts w:hint="eastAsia" w:ascii="宋体" w:hAnsi="宋体"/>
          <w:color w:val="auto"/>
          <w:szCs w:val="21"/>
        </w:rPr>
        <w:t>）</w:t>
      </w:r>
    </w:p>
    <w:p w14:paraId="3CF2127E">
      <w:pPr>
        <w:keepNext w:val="0"/>
        <w:keepLines w:val="0"/>
        <w:pageBreakBefore w:val="0"/>
        <w:kinsoku/>
        <w:overflowPunct/>
        <w:topLinePunct w:val="0"/>
        <w:autoSpaceDE/>
        <w:autoSpaceDN/>
        <w:bidi w:val="0"/>
        <w:adjustRightInd/>
        <w:spacing w:line="360" w:lineRule="exact"/>
        <w:ind w:firstLine="361" w:firstLineChars="150"/>
        <w:textAlignment w:val="auto"/>
        <w:rPr>
          <w:rFonts w:ascii="宋体" w:hAnsi="宋体"/>
          <w:b/>
          <w:color w:val="auto"/>
          <w:sz w:val="24"/>
        </w:rPr>
      </w:pPr>
      <w:bookmarkStart w:id="34" w:name="_Toc71366170"/>
      <w:r>
        <w:rPr>
          <w:rFonts w:hint="eastAsia" w:ascii="宋体" w:hAnsi="宋体"/>
          <w:b/>
          <w:color w:val="auto"/>
          <w:sz w:val="24"/>
        </w:rPr>
        <w:t>五、开启</w:t>
      </w:r>
      <w:bookmarkEnd w:id="29"/>
      <w:bookmarkEnd w:id="30"/>
      <w:bookmarkEnd w:id="31"/>
      <w:bookmarkEnd w:id="32"/>
      <w:bookmarkEnd w:id="33"/>
      <w:bookmarkEnd w:id="34"/>
    </w:p>
    <w:p w14:paraId="794351CA">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bCs/>
          <w:color w:val="auto"/>
          <w:szCs w:val="21"/>
          <w:u w:val="single"/>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时间：202</w:t>
      </w:r>
      <w:r>
        <w:rPr>
          <w:rFonts w:hint="eastAsia" w:ascii="宋体" w:hAnsi="宋体"/>
          <w:color w:val="auto"/>
          <w:szCs w:val="21"/>
          <w:lang w:val="en-US" w:eastAsia="zh-CN"/>
        </w:rPr>
        <w:t>6</w:t>
      </w:r>
      <w:r>
        <w:rPr>
          <w:rFonts w:hint="eastAsia" w:ascii="宋体" w:hAnsi="宋体"/>
          <w:color w:val="auto"/>
          <w:szCs w:val="21"/>
        </w:rPr>
        <w:t>年</w:t>
      </w:r>
      <w:r>
        <w:rPr>
          <w:rFonts w:hint="eastAsia" w:ascii="宋体" w:hAnsi="宋体"/>
          <w:color w:val="auto"/>
          <w:szCs w:val="21"/>
          <w:lang w:val="en-US" w:eastAsia="zh-CN"/>
        </w:rPr>
        <w:t>11</w:t>
      </w:r>
      <w:r>
        <w:rPr>
          <w:rFonts w:hint="eastAsia" w:ascii="宋体" w:hAnsi="宋体"/>
          <w:color w:val="auto"/>
          <w:szCs w:val="21"/>
        </w:rPr>
        <w:t>月</w:t>
      </w:r>
      <w:r>
        <w:rPr>
          <w:rFonts w:hint="eastAsia" w:ascii="宋体" w:hAnsi="宋体"/>
          <w:color w:val="auto"/>
          <w:szCs w:val="21"/>
          <w:lang w:val="en-US" w:eastAsia="zh-CN"/>
        </w:rPr>
        <w:t>3</w:t>
      </w:r>
      <w:r>
        <w:rPr>
          <w:rFonts w:hint="eastAsia" w:ascii="宋体" w:hAnsi="宋体"/>
          <w:color w:val="auto"/>
          <w:szCs w:val="21"/>
        </w:rPr>
        <w:t>日</w:t>
      </w:r>
      <w:r>
        <w:rPr>
          <w:rFonts w:hint="eastAsia" w:ascii="宋体" w:hAnsi="宋体"/>
          <w:bCs/>
          <w:color w:val="auto"/>
          <w:szCs w:val="21"/>
        </w:rPr>
        <w:t>9时30分（北京时间）</w:t>
      </w:r>
    </w:p>
    <w:p w14:paraId="3EC031B2">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bCs/>
          <w:color w:val="auto"/>
          <w:szCs w:val="21"/>
          <w:u w:val="single"/>
        </w:rPr>
      </w:pPr>
      <w:r>
        <w:rPr>
          <w:rFonts w:hint="eastAsia" w:ascii="宋体" w:hAnsi="宋体"/>
          <w:color w:val="auto"/>
          <w:szCs w:val="21"/>
        </w:rPr>
        <w:t>2</w:t>
      </w:r>
      <w:r>
        <w:rPr>
          <w:rFonts w:ascii="宋体" w:hAnsi="宋体"/>
          <w:color w:val="auto"/>
          <w:szCs w:val="21"/>
        </w:rPr>
        <w:t>.</w:t>
      </w:r>
      <w:r>
        <w:rPr>
          <w:rFonts w:hint="eastAsia" w:ascii="宋体" w:hAnsi="宋体"/>
          <w:color w:val="auto"/>
          <w:szCs w:val="21"/>
        </w:rPr>
        <w:t>地点：广西政府采购云平台（</w:t>
      </w:r>
      <w:r>
        <w:rPr>
          <w:rFonts w:hint="eastAsia" w:ascii="宋体" w:hAnsi="宋体"/>
          <w:bCs/>
          <w:color w:val="auto"/>
          <w:szCs w:val="21"/>
          <w:lang w:eastAsia="zh-CN"/>
        </w:rPr>
        <w:t>www.gcy.zfcg.gxzf.gov.cn</w:t>
      </w:r>
      <w:r>
        <w:rPr>
          <w:rFonts w:hint="eastAsia" w:ascii="宋体" w:hAnsi="宋体"/>
          <w:color w:val="auto"/>
          <w:szCs w:val="21"/>
        </w:rPr>
        <w:t>）</w:t>
      </w:r>
    </w:p>
    <w:p w14:paraId="7DEFB941">
      <w:pPr>
        <w:keepNext w:val="0"/>
        <w:keepLines w:val="0"/>
        <w:pageBreakBefore w:val="0"/>
        <w:kinsoku/>
        <w:overflowPunct/>
        <w:topLinePunct w:val="0"/>
        <w:autoSpaceDE/>
        <w:autoSpaceDN/>
        <w:bidi w:val="0"/>
        <w:adjustRightInd/>
        <w:spacing w:line="360" w:lineRule="exact"/>
        <w:ind w:firstLine="361" w:firstLineChars="150"/>
        <w:textAlignment w:val="auto"/>
        <w:rPr>
          <w:rFonts w:ascii="宋体" w:hAnsi="宋体"/>
          <w:b/>
          <w:color w:val="auto"/>
          <w:sz w:val="24"/>
        </w:rPr>
      </w:pPr>
      <w:bookmarkStart w:id="35" w:name="_Toc71366171"/>
      <w:bookmarkStart w:id="36" w:name="_Toc28359094"/>
      <w:bookmarkStart w:id="37" w:name="_Toc35393634"/>
      <w:bookmarkStart w:id="38" w:name="_Toc44229883"/>
      <w:bookmarkStart w:id="39" w:name="_Toc28359017"/>
      <w:bookmarkStart w:id="40" w:name="_Toc35393803"/>
      <w:r>
        <w:rPr>
          <w:rFonts w:hint="eastAsia" w:ascii="宋体" w:hAnsi="宋体"/>
          <w:b/>
          <w:color w:val="auto"/>
          <w:sz w:val="24"/>
        </w:rPr>
        <w:t>六、公告期限</w:t>
      </w:r>
      <w:bookmarkEnd w:id="35"/>
      <w:bookmarkEnd w:id="36"/>
      <w:bookmarkEnd w:id="37"/>
      <w:bookmarkEnd w:id="38"/>
      <w:bookmarkEnd w:id="39"/>
      <w:bookmarkEnd w:id="40"/>
    </w:p>
    <w:p w14:paraId="5EEF3EE9">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cs="宋体"/>
          <w:color w:val="auto"/>
          <w:kern w:val="0"/>
          <w:szCs w:val="21"/>
        </w:rPr>
      </w:pPr>
      <w:r>
        <w:rPr>
          <w:rFonts w:hint="eastAsia" w:ascii="宋体" w:hAnsi="宋体" w:cs="宋体"/>
          <w:color w:val="auto"/>
          <w:kern w:val="0"/>
          <w:szCs w:val="21"/>
        </w:rPr>
        <w:t>自本公告发布之日起3个工作日。</w:t>
      </w:r>
    </w:p>
    <w:p w14:paraId="07DFBE64">
      <w:pPr>
        <w:keepNext w:val="0"/>
        <w:keepLines w:val="0"/>
        <w:pageBreakBefore w:val="0"/>
        <w:kinsoku/>
        <w:overflowPunct/>
        <w:topLinePunct w:val="0"/>
        <w:autoSpaceDE/>
        <w:autoSpaceDN/>
        <w:bidi w:val="0"/>
        <w:adjustRightInd/>
        <w:spacing w:line="360" w:lineRule="exact"/>
        <w:ind w:firstLine="361" w:firstLineChars="150"/>
        <w:textAlignment w:val="auto"/>
        <w:rPr>
          <w:rFonts w:ascii="宋体" w:hAnsi="宋体"/>
          <w:b/>
          <w:color w:val="auto"/>
          <w:sz w:val="24"/>
        </w:rPr>
      </w:pPr>
      <w:bookmarkStart w:id="41" w:name="_Toc35393804"/>
      <w:bookmarkStart w:id="42" w:name="_Toc35393635"/>
      <w:bookmarkStart w:id="43" w:name="_Toc71366172"/>
      <w:bookmarkStart w:id="44" w:name="_Toc44229884"/>
      <w:r>
        <w:rPr>
          <w:rFonts w:hint="eastAsia" w:ascii="宋体" w:hAnsi="宋体"/>
          <w:b/>
          <w:color w:val="auto"/>
          <w:sz w:val="24"/>
        </w:rPr>
        <w:t>七、其他补充事宜</w:t>
      </w:r>
      <w:bookmarkEnd w:id="41"/>
      <w:bookmarkEnd w:id="42"/>
      <w:bookmarkEnd w:id="43"/>
      <w:bookmarkEnd w:id="44"/>
    </w:p>
    <w:p w14:paraId="51F3992F">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cs="宋体"/>
          <w:color w:val="auto"/>
          <w:kern w:val="0"/>
          <w:szCs w:val="21"/>
        </w:rPr>
      </w:pPr>
      <w:r>
        <w:rPr>
          <w:rFonts w:hint="eastAsia" w:ascii="宋体" w:hAnsi="宋体" w:cs="宋体"/>
          <w:color w:val="auto"/>
          <w:kern w:val="0"/>
          <w:szCs w:val="21"/>
          <w:lang w:val="en-US" w:eastAsia="zh-CN"/>
        </w:rPr>
        <w:t>1</w:t>
      </w:r>
      <w:r>
        <w:rPr>
          <w:rFonts w:ascii="宋体" w:hAnsi="宋体" w:cs="宋体"/>
          <w:color w:val="auto"/>
          <w:kern w:val="0"/>
          <w:szCs w:val="21"/>
        </w:rPr>
        <w:t>.</w:t>
      </w:r>
      <w:r>
        <w:rPr>
          <w:rFonts w:hint="eastAsia" w:ascii="宋体" w:hAnsi="宋体" w:cs="宋体"/>
          <w:color w:val="auto"/>
          <w:kern w:val="0"/>
          <w:szCs w:val="21"/>
        </w:rPr>
        <w:t>网上查询地址</w:t>
      </w:r>
    </w:p>
    <w:p w14:paraId="28943D1F">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cs="宋体"/>
          <w:color w:val="auto"/>
          <w:kern w:val="0"/>
          <w:szCs w:val="21"/>
        </w:rPr>
      </w:pPr>
      <w:r>
        <w:rPr>
          <w:rFonts w:hint="eastAsia" w:ascii="宋体" w:hAnsi="宋体" w:cs="宋体"/>
          <w:color w:val="auto"/>
          <w:kern w:val="0"/>
          <w:szCs w:val="21"/>
          <w:highlight w:val="none"/>
        </w:rPr>
        <w:t>中国政府采购网（www.ccgp.gov.cn）、广西壮族自治区政府采购网（zfcg.gxzf.gov.cn）</w:t>
      </w:r>
      <w:r>
        <w:rPr>
          <w:rFonts w:hint="eastAsia" w:ascii="宋体" w:hAnsi="宋体" w:cs="宋体"/>
          <w:color w:val="auto"/>
          <w:kern w:val="0"/>
          <w:szCs w:val="21"/>
        </w:rPr>
        <w:t>。</w:t>
      </w:r>
    </w:p>
    <w:p w14:paraId="5BA0D399">
      <w:pPr>
        <w:keepNext w:val="0"/>
        <w:keepLines w:val="0"/>
        <w:pageBreakBefore w:val="0"/>
        <w:kinsoku/>
        <w:overflowPunct/>
        <w:topLinePunct w:val="0"/>
        <w:autoSpaceDE/>
        <w:autoSpaceDN/>
        <w:bidi w:val="0"/>
        <w:adjustRightInd/>
        <w:spacing w:line="360" w:lineRule="exact"/>
        <w:ind w:firstLine="424" w:firstLineChars="202"/>
        <w:textAlignment w:val="auto"/>
        <w:rPr>
          <w:rFonts w:ascii="宋体" w:hAnsi="宋体" w:cs="宋体"/>
          <w:i/>
          <w:color w:val="auto"/>
          <w:kern w:val="0"/>
          <w:szCs w:val="21"/>
        </w:rPr>
      </w:pPr>
      <w:bookmarkStart w:id="45" w:name="_Hlk37429674"/>
      <w:bookmarkStart w:id="46" w:name="_Toc35393636"/>
      <w:bookmarkStart w:id="47" w:name="_Toc35393805"/>
      <w:bookmarkStart w:id="48" w:name="_Toc28359095"/>
      <w:bookmarkStart w:id="49" w:name="_Toc44229885"/>
      <w:bookmarkStart w:id="50" w:name="_Toc28359018"/>
      <w:r>
        <w:rPr>
          <w:rFonts w:hint="eastAsia" w:ascii="宋体" w:hAnsi="宋体"/>
          <w:color w:val="auto"/>
          <w:szCs w:val="21"/>
          <w:lang w:val="en-US" w:eastAsia="zh-CN"/>
        </w:rPr>
        <w:t>2</w:t>
      </w:r>
      <w:r>
        <w:rPr>
          <w:rFonts w:ascii="宋体" w:hAnsi="宋体"/>
          <w:color w:val="auto"/>
          <w:szCs w:val="21"/>
        </w:rPr>
        <w:t>.</w:t>
      </w:r>
      <w:r>
        <w:rPr>
          <w:rFonts w:hint="eastAsia" w:ascii="宋体" w:hAnsi="宋体" w:cs="宋体"/>
          <w:color w:val="auto"/>
          <w:kern w:val="0"/>
          <w:szCs w:val="21"/>
        </w:rPr>
        <w:t>本项目需要落实的政府采购政策</w:t>
      </w:r>
    </w:p>
    <w:bookmarkEnd w:id="45"/>
    <w:p w14:paraId="663B0050">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cs="宋体"/>
          <w:color w:val="auto"/>
          <w:kern w:val="0"/>
          <w:szCs w:val="21"/>
          <w:highlight w:val="none"/>
        </w:rPr>
      </w:pPr>
      <w:r>
        <w:rPr>
          <w:rFonts w:hint="eastAsia" w:ascii="宋体" w:hAnsi="宋体" w:cs="宋体"/>
          <w:color w:val="auto"/>
          <w:kern w:val="0"/>
          <w:szCs w:val="21"/>
          <w:highlight w:val="none"/>
        </w:rPr>
        <w:t>（1）政府采购促进中小企业发展；</w:t>
      </w:r>
      <w:r>
        <w:rPr>
          <w:rFonts w:hint="eastAsia" w:ascii="宋体" w:hAnsi="宋体"/>
          <w:color w:val="auto"/>
          <w:szCs w:val="21"/>
          <w:highlight w:val="none"/>
        </w:rPr>
        <w:t>本项目非专门面向中小企业采购。</w:t>
      </w:r>
    </w:p>
    <w:p w14:paraId="46843495">
      <w:pPr>
        <w:keepNext w:val="0"/>
        <w:keepLines w:val="0"/>
        <w:pageBreakBefore w:val="0"/>
        <w:kinsoku/>
        <w:overflowPunct/>
        <w:topLinePunct w:val="0"/>
        <w:autoSpaceDE/>
        <w:autoSpaceDN/>
        <w:bidi w:val="0"/>
        <w:adjustRightInd/>
        <w:spacing w:line="360" w:lineRule="exact"/>
        <w:ind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（2）政府采购支持采用本国产品的政策。</w:t>
      </w:r>
    </w:p>
    <w:p w14:paraId="5F2CFD25">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cs="宋体"/>
          <w:color w:val="auto"/>
          <w:kern w:val="0"/>
          <w:szCs w:val="21"/>
          <w:highlight w:val="none"/>
        </w:rPr>
      </w:pPr>
      <w:r>
        <w:rPr>
          <w:rFonts w:hint="eastAsia" w:ascii="宋体" w:hAnsi="宋体" w:cs="宋体"/>
          <w:color w:val="auto"/>
          <w:kern w:val="0"/>
          <w:szCs w:val="21"/>
          <w:highlight w:val="none"/>
        </w:rPr>
        <w:t>（3）本项目为服务项目，采购内容不涉及政府强制采购节能产品；优先采购节能产品、环境标志产品。</w:t>
      </w:r>
    </w:p>
    <w:p w14:paraId="54236B13">
      <w:pPr>
        <w:keepNext w:val="0"/>
        <w:keepLines w:val="0"/>
        <w:pageBreakBefore w:val="0"/>
        <w:kinsoku/>
        <w:overflowPunct/>
        <w:topLinePunct w:val="0"/>
        <w:autoSpaceDE/>
        <w:autoSpaceDN/>
        <w:bidi w:val="0"/>
        <w:adjustRightInd/>
        <w:spacing w:line="360" w:lineRule="exact"/>
        <w:ind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4</w:t>
      </w:r>
      <w:r>
        <w:rPr>
          <w:rFonts w:hint="eastAsia" w:ascii="宋体" w:hAnsi="宋体" w:cs="宋体"/>
          <w:color w:val="auto"/>
          <w:kern w:val="0"/>
          <w:szCs w:val="21"/>
          <w:highlight w:val="none"/>
        </w:rPr>
        <w:t>）政府采购促进残疾人就业政策。</w:t>
      </w:r>
    </w:p>
    <w:p w14:paraId="559C0296">
      <w:pPr>
        <w:keepNext w:val="0"/>
        <w:keepLines w:val="0"/>
        <w:pageBreakBefore w:val="0"/>
        <w:kinsoku/>
        <w:overflowPunct/>
        <w:topLinePunct w:val="0"/>
        <w:autoSpaceDE/>
        <w:autoSpaceDN/>
        <w:bidi w:val="0"/>
        <w:adjustRightInd/>
        <w:spacing w:line="360" w:lineRule="exact"/>
        <w:ind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5</w:t>
      </w:r>
      <w:r>
        <w:rPr>
          <w:rFonts w:hint="eastAsia" w:ascii="宋体" w:hAnsi="宋体" w:cs="宋体"/>
          <w:color w:val="auto"/>
          <w:kern w:val="0"/>
          <w:szCs w:val="21"/>
          <w:highlight w:val="none"/>
        </w:rPr>
        <w:t>）政府采购支持监狱企业发展。</w:t>
      </w:r>
    </w:p>
    <w:p w14:paraId="0A10368F">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cs="宋体"/>
          <w:color w:val="auto"/>
          <w:kern w:val="0"/>
          <w:szCs w:val="21"/>
        </w:rPr>
      </w:pPr>
      <w:r>
        <w:rPr>
          <w:rFonts w:hint="eastAsia" w:ascii="宋体" w:hAnsi="宋体" w:cs="宋体"/>
          <w:color w:val="auto"/>
          <w:kern w:val="0"/>
          <w:szCs w:val="21"/>
          <w:highlight w:val="none"/>
        </w:rPr>
        <w:t>（</w:t>
      </w:r>
      <w:r>
        <w:rPr>
          <w:rFonts w:ascii="宋体" w:hAnsi="宋体" w:cs="宋体"/>
          <w:color w:val="auto"/>
          <w:kern w:val="0"/>
          <w:szCs w:val="21"/>
          <w:highlight w:val="none"/>
        </w:rPr>
        <w:t>6</w:t>
      </w:r>
      <w:r>
        <w:rPr>
          <w:rFonts w:hint="eastAsia" w:ascii="宋体" w:hAnsi="宋体" w:cs="宋体"/>
          <w:color w:val="auto"/>
          <w:kern w:val="0"/>
          <w:szCs w:val="21"/>
          <w:highlight w:val="none"/>
        </w:rPr>
        <w:t>）政府采购扶持不发达地区和少数民族地区政策</w:t>
      </w:r>
      <w:r>
        <w:rPr>
          <w:rFonts w:hint="eastAsia" w:ascii="宋体" w:hAnsi="宋体" w:cs="宋体"/>
          <w:color w:val="auto"/>
          <w:kern w:val="0"/>
          <w:szCs w:val="21"/>
        </w:rPr>
        <w:t>。</w:t>
      </w:r>
    </w:p>
    <w:p w14:paraId="7AC68DA1">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cs="宋体"/>
          <w:color w:val="auto"/>
          <w:kern w:val="0"/>
          <w:szCs w:val="21"/>
        </w:rPr>
      </w:pPr>
      <w:r>
        <w:rPr>
          <w:rFonts w:hint="eastAsia" w:ascii="宋体" w:hAnsi="宋体" w:cs="宋体"/>
          <w:color w:val="auto"/>
          <w:kern w:val="0"/>
          <w:szCs w:val="21"/>
          <w:lang w:val="en-US" w:eastAsia="zh-CN"/>
        </w:rPr>
        <w:t>3</w:t>
      </w:r>
      <w:r>
        <w:rPr>
          <w:rFonts w:ascii="宋体" w:hAnsi="宋体" w:cs="宋体"/>
          <w:color w:val="auto"/>
          <w:kern w:val="0"/>
          <w:szCs w:val="21"/>
        </w:rPr>
        <w:t>.</w:t>
      </w:r>
      <w:r>
        <w:rPr>
          <w:rFonts w:hint="eastAsia" w:ascii="宋体" w:hAnsi="宋体" w:cs="宋体"/>
          <w:color w:val="auto"/>
          <w:kern w:val="0"/>
          <w:szCs w:val="21"/>
        </w:rPr>
        <w:t>资格条件特别说明</w:t>
      </w:r>
    </w:p>
    <w:p w14:paraId="74CF1711">
      <w:pPr>
        <w:keepNext w:val="0"/>
        <w:keepLines w:val="0"/>
        <w:pageBreakBefore w:val="0"/>
        <w:widowControl/>
        <w:kinsoku/>
        <w:overflowPunct/>
        <w:topLinePunct w:val="0"/>
        <w:autoSpaceDE/>
        <w:autoSpaceDN/>
        <w:bidi w:val="0"/>
        <w:adjustRightInd/>
        <w:spacing w:line="360" w:lineRule="exact"/>
        <w:ind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7ACAB5C4">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cs="宋体"/>
          <w:color w:val="auto"/>
          <w:kern w:val="0"/>
          <w:szCs w:val="21"/>
        </w:rPr>
      </w:pPr>
      <w:r>
        <w:rPr>
          <w:rFonts w:hint="eastAsia" w:ascii="宋体" w:hAnsi="宋体" w:cs="宋体"/>
          <w:color w:val="auto"/>
          <w:kern w:val="0"/>
          <w:szCs w:val="21"/>
          <w:highlight w:val="none"/>
        </w:rPr>
        <w:t>（2）对在“信用中国”网站(www.creditchina.gov.cn)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r>
        <w:rPr>
          <w:rFonts w:hint="eastAsia" w:ascii="宋体" w:hAnsi="宋体" w:cs="宋体"/>
          <w:color w:val="auto"/>
          <w:kern w:val="0"/>
          <w:szCs w:val="21"/>
        </w:rPr>
        <w:t>。</w:t>
      </w:r>
    </w:p>
    <w:p w14:paraId="7627692F">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cs="宋体"/>
          <w:color w:val="auto"/>
          <w:kern w:val="0"/>
          <w:szCs w:val="21"/>
        </w:rPr>
      </w:pPr>
      <w:r>
        <w:rPr>
          <w:rFonts w:hint="eastAsia" w:ascii="宋体" w:hAnsi="宋体" w:cs="宋体"/>
          <w:color w:val="auto"/>
          <w:kern w:val="0"/>
          <w:szCs w:val="21"/>
          <w:lang w:val="en-US" w:eastAsia="zh-CN"/>
        </w:rPr>
        <w:t>4</w:t>
      </w:r>
      <w:r>
        <w:rPr>
          <w:rFonts w:ascii="宋体" w:hAnsi="宋体" w:cs="宋体"/>
          <w:color w:val="auto"/>
          <w:kern w:val="0"/>
          <w:szCs w:val="21"/>
        </w:rPr>
        <w:t>.</w:t>
      </w:r>
      <w:r>
        <w:rPr>
          <w:rFonts w:hint="eastAsia" w:ascii="宋体" w:hAnsi="宋体" w:cs="宋体"/>
          <w:color w:val="auto"/>
          <w:kern w:val="0"/>
          <w:szCs w:val="21"/>
        </w:rPr>
        <w:t>供应商竞标注意事项</w:t>
      </w:r>
    </w:p>
    <w:p w14:paraId="3BFE8FB9">
      <w:pPr>
        <w:keepNext w:val="0"/>
        <w:keepLines w:val="0"/>
        <w:pageBreakBefore w:val="0"/>
        <w:widowControl/>
        <w:kinsoku/>
        <w:wordWrap w:val="0"/>
        <w:overflowPunct/>
        <w:topLinePunct w:val="0"/>
        <w:autoSpaceDE/>
        <w:autoSpaceDN/>
        <w:bidi w:val="0"/>
        <w:adjustRightInd/>
        <w:spacing w:line="360" w:lineRule="exact"/>
        <w:ind w:firstLine="420" w:firstLineChars="200"/>
        <w:jc w:val="left"/>
        <w:textAlignment w:val="auto"/>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）本项目为全流程电子化采购项目，通过广西政府采购云平台（</w:t>
      </w:r>
      <w:r>
        <w:rPr>
          <w:rFonts w:hint="eastAsia" w:ascii="宋体" w:hAnsi="宋体"/>
          <w:bCs/>
          <w:color w:val="auto"/>
          <w:szCs w:val="21"/>
          <w:lang w:eastAsia="zh-CN"/>
        </w:rPr>
        <w:t>www.gcy.zfcg.gxzf.gov.cn</w:t>
      </w:r>
      <w:r>
        <w:rPr>
          <w:rFonts w:hint="eastAsia" w:ascii="宋体" w:hAnsi="宋体"/>
          <w:color w:val="auto"/>
          <w:szCs w:val="21"/>
        </w:rPr>
        <w:t>）实行在线电子竞标，并按照本项目竞争性磋商文件和广西政府采购云平台的要求编制、加密后在提交响应文件截止时间前通过网络上传至广西政府采购云平台（加密的电子响应文件是指</w:t>
      </w:r>
      <w:r>
        <w:rPr>
          <w:rFonts w:hint="eastAsia"/>
          <w:color w:val="auto"/>
        </w:rPr>
        <w:t>后缀名为“</w:t>
      </w:r>
      <w:r>
        <w:rPr>
          <w:color w:val="auto"/>
        </w:rPr>
        <w:t>jmbs</w:t>
      </w:r>
      <w:r>
        <w:rPr>
          <w:rFonts w:hint="eastAsia"/>
          <w:color w:val="auto"/>
        </w:rPr>
        <w:t>”的文件</w:t>
      </w:r>
      <w:r>
        <w:rPr>
          <w:rFonts w:hint="eastAsia" w:ascii="宋体" w:hAnsi="宋体"/>
          <w:color w:val="auto"/>
          <w:szCs w:val="21"/>
        </w:rPr>
        <w:t>），</w:t>
      </w:r>
      <w:r>
        <w:rPr>
          <w:rFonts w:hint="eastAsia" w:ascii="宋体" w:hAnsi="宋体"/>
          <w:b/>
          <w:color w:val="auto"/>
          <w:szCs w:val="21"/>
        </w:rPr>
        <w:t>供应商在广西政府采购云平台提交电子响应文件时，请填写参加远程采购活动经办人联系方式。</w:t>
      </w:r>
      <w:r>
        <w:rPr>
          <w:rFonts w:hint="eastAsia" w:ascii="宋体" w:hAnsi="宋体"/>
          <w:color w:val="auto"/>
          <w:szCs w:val="21"/>
        </w:rPr>
        <w:t>供应商登录广西政府采购云平台，依次进入“服务中心</w:t>
      </w:r>
      <w:r>
        <w:rPr>
          <w:rFonts w:ascii="宋体"/>
          <w:color w:val="auto"/>
          <w:szCs w:val="21"/>
        </w:rPr>
        <w:t>-</w:t>
      </w:r>
      <w:r>
        <w:rPr>
          <w:rFonts w:hint="eastAsia" w:ascii="宋体" w:hAnsi="宋体"/>
          <w:color w:val="auto"/>
          <w:szCs w:val="21"/>
        </w:rPr>
        <w:t>项目采购</w:t>
      </w:r>
      <w:r>
        <w:rPr>
          <w:rFonts w:ascii="宋体"/>
          <w:color w:val="auto"/>
          <w:szCs w:val="21"/>
        </w:rPr>
        <w:t>-</w:t>
      </w:r>
      <w:r>
        <w:rPr>
          <w:rFonts w:hint="eastAsia" w:ascii="宋体" w:hAnsi="宋体"/>
          <w:color w:val="auto"/>
          <w:szCs w:val="21"/>
        </w:rPr>
        <w:t>操作流程</w:t>
      </w:r>
      <w:r>
        <w:rPr>
          <w:rFonts w:ascii="宋体"/>
          <w:color w:val="auto"/>
          <w:szCs w:val="21"/>
        </w:rPr>
        <w:t>-</w:t>
      </w:r>
      <w:r>
        <w:rPr>
          <w:rFonts w:hint="eastAsia" w:ascii="宋体" w:hAnsi="宋体"/>
          <w:color w:val="auto"/>
          <w:szCs w:val="21"/>
        </w:rPr>
        <w:t>电子招投标</w:t>
      </w:r>
      <w:r>
        <w:rPr>
          <w:rFonts w:ascii="宋体"/>
          <w:color w:val="auto"/>
          <w:szCs w:val="21"/>
        </w:rPr>
        <w:t>-</w:t>
      </w:r>
      <w:r>
        <w:rPr>
          <w:rFonts w:hint="eastAsia"/>
          <w:color w:val="auto"/>
        </w:rPr>
        <w:t>政府采购项目电子交易管理操作指南</w:t>
      </w:r>
      <w:r>
        <w:rPr>
          <w:color w:val="auto"/>
        </w:rPr>
        <w:t>-</w:t>
      </w:r>
      <w:r>
        <w:rPr>
          <w:rFonts w:hint="eastAsia"/>
          <w:color w:val="auto"/>
        </w:rPr>
        <w:t>供应商</w:t>
      </w:r>
      <w:r>
        <w:rPr>
          <w:rFonts w:hint="eastAsia" w:ascii="宋体" w:hAnsi="宋体"/>
          <w:color w:val="auto"/>
          <w:szCs w:val="21"/>
        </w:rPr>
        <w:t>”查看电子竞标具体操作流程。</w:t>
      </w:r>
    </w:p>
    <w:p w14:paraId="317D7A55">
      <w:pPr>
        <w:keepNext w:val="0"/>
        <w:keepLines w:val="0"/>
        <w:pageBreakBefore w:val="0"/>
        <w:widowControl/>
        <w:kinsoku/>
        <w:wordWrap w:val="0"/>
        <w:overflowPunct/>
        <w:topLinePunct w:val="0"/>
        <w:autoSpaceDE/>
        <w:autoSpaceDN/>
        <w:bidi w:val="0"/>
        <w:adjustRightInd/>
        <w:spacing w:line="360" w:lineRule="exact"/>
        <w:ind w:firstLine="420" w:firstLineChars="200"/>
        <w:jc w:val="left"/>
        <w:textAlignment w:val="auto"/>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）未进行网上注册并办理数字证书（</w:t>
      </w:r>
      <w:r>
        <w:rPr>
          <w:rFonts w:ascii="宋体" w:hAnsi="宋体"/>
          <w:color w:val="auto"/>
          <w:szCs w:val="21"/>
        </w:rPr>
        <w:t>CA</w:t>
      </w:r>
      <w:r>
        <w:rPr>
          <w:rFonts w:hint="eastAsia" w:ascii="宋体" w:hAnsi="宋体"/>
          <w:color w:val="auto"/>
          <w:szCs w:val="21"/>
        </w:rPr>
        <w:t>认证）的供应商将无法参与本项目政府采购活动，供应商应当在提交响应文件截止时间前，完成电子交易平台上的</w:t>
      </w:r>
      <w:r>
        <w:rPr>
          <w:rFonts w:ascii="宋体" w:hAnsi="宋体"/>
          <w:color w:val="auto"/>
          <w:szCs w:val="21"/>
        </w:rPr>
        <w:t>CA</w:t>
      </w:r>
      <w:r>
        <w:rPr>
          <w:rFonts w:hint="eastAsia" w:ascii="宋体" w:hAnsi="宋体"/>
          <w:color w:val="auto"/>
          <w:szCs w:val="21"/>
        </w:rPr>
        <w:t>数字证书办理及响应文件的提交（供应商可登录“广西政府采购网”，依次进入“办事服务</w:t>
      </w:r>
      <w:r>
        <w:rPr>
          <w:rFonts w:ascii="宋体"/>
          <w:color w:val="auto"/>
          <w:szCs w:val="21"/>
        </w:rPr>
        <w:t>-</w:t>
      </w:r>
      <w:r>
        <w:rPr>
          <w:rFonts w:hint="eastAsia" w:ascii="宋体" w:hAnsi="宋体"/>
          <w:color w:val="auto"/>
          <w:szCs w:val="21"/>
        </w:rPr>
        <w:t>下载专区”或者登录广西政府采购云平台</w:t>
      </w:r>
      <w:r>
        <w:rPr>
          <w:rFonts w:hint="eastAsia" w:ascii="宋体" w:hAnsi="宋体" w:cs="宋体"/>
          <w:color w:val="auto"/>
          <w:kern w:val="0"/>
          <w:szCs w:val="21"/>
        </w:rPr>
        <w:t>，</w:t>
      </w:r>
      <w:r>
        <w:rPr>
          <w:rFonts w:hint="eastAsia" w:ascii="宋体" w:hAnsi="宋体"/>
          <w:color w:val="auto"/>
          <w:szCs w:val="21"/>
        </w:rPr>
        <w:t>依次进入“服务中心</w:t>
      </w:r>
      <w:r>
        <w:rPr>
          <w:rFonts w:ascii="宋体"/>
          <w:color w:val="auto"/>
          <w:szCs w:val="21"/>
        </w:rPr>
        <w:t>-</w:t>
      </w:r>
      <w:r>
        <w:rPr>
          <w:rFonts w:hint="eastAsia" w:ascii="宋体" w:hAnsi="宋体"/>
          <w:color w:val="auto"/>
          <w:szCs w:val="21"/>
        </w:rPr>
        <w:t>入驻与配置”中查看</w:t>
      </w:r>
      <w:r>
        <w:rPr>
          <w:rFonts w:ascii="宋体" w:hAnsi="宋体"/>
          <w:color w:val="auto"/>
          <w:szCs w:val="21"/>
        </w:rPr>
        <w:t>CA</w:t>
      </w:r>
      <w:r>
        <w:rPr>
          <w:rFonts w:hint="eastAsia" w:ascii="宋体" w:hAnsi="宋体"/>
          <w:color w:val="auto"/>
          <w:szCs w:val="21"/>
        </w:rPr>
        <w:t>数字证书办理操作流程。</w:t>
      </w:r>
      <w:r>
        <w:rPr>
          <w:rFonts w:hint="eastAsia" w:ascii="宋体" w:hAnsi="宋体" w:cs="宋体"/>
          <w:bCs/>
          <w:color w:val="auto"/>
          <w:kern w:val="0"/>
          <w:szCs w:val="21"/>
        </w:rPr>
        <w:t>如在操作过程中遇到问题或者需要技术支持，请致电客服热线：</w:t>
      </w:r>
      <w:r>
        <w:rPr>
          <w:rFonts w:ascii="宋体" w:hAnsi="宋体" w:cs="宋体"/>
          <w:bCs/>
          <w:color w:val="auto"/>
          <w:kern w:val="0"/>
          <w:szCs w:val="21"/>
        </w:rPr>
        <w:t>95763</w:t>
      </w:r>
      <w:r>
        <w:rPr>
          <w:rFonts w:hint="eastAsia" w:ascii="宋体" w:hAnsi="宋体" w:cs="宋体"/>
          <w:bCs/>
          <w:color w:val="auto"/>
          <w:kern w:val="0"/>
          <w:szCs w:val="21"/>
        </w:rPr>
        <w:t>、0771-3381253</w:t>
      </w:r>
      <w:r>
        <w:rPr>
          <w:rFonts w:hint="eastAsia" w:ascii="宋体" w:hAnsi="宋体"/>
          <w:color w:val="auto"/>
          <w:szCs w:val="21"/>
        </w:rPr>
        <w:t>）。</w:t>
      </w:r>
    </w:p>
    <w:p w14:paraId="1A930050">
      <w:pPr>
        <w:keepNext w:val="0"/>
        <w:keepLines w:val="0"/>
        <w:pageBreakBefore w:val="0"/>
        <w:kinsoku/>
        <w:wordWrap w:val="0"/>
        <w:overflowPunct/>
        <w:topLinePunct w:val="0"/>
        <w:autoSpaceDE/>
        <w:autoSpaceDN/>
        <w:bidi w:val="0"/>
        <w:adjustRightInd/>
        <w:snapToGrid w:val="0"/>
        <w:spacing w:line="360" w:lineRule="exact"/>
        <w:ind w:firstLine="420" w:firstLineChars="200"/>
        <w:textAlignment w:val="auto"/>
        <w:rPr>
          <w:rFonts w:ascii="宋体" w:cs="宋体"/>
          <w:color w:val="auto"/>
          <w:kern w:val="0"/>
          <w:szCs w:val="21"/>
        </w:rPr>
      </w:pPr>
      <w:r>
        <w:rPr>
          <w:rFonts w:hint="eastAsia" w:ascii="宋体" w:hAnsi="宋体" w:cs="宋体"/>
          <w:color w:val="auto"/>
          <w:kern w:val="0"/>
          <w:szCs w:val="21"/>
        </w:rPr>
        <w:t>（</w:t>
      </w:r>
      <w:r>
        <w:rPr>
          <w:rFonts w:ascii="宋体" w:hAnsi="宋体" w:cs="宋体"/>
          <w:color w:val="auto"/>
          <w:kern w:val="0"/>
          <w:szCs w:val="21"/>
        </w:rPr>
        <w:t>3</w:t>
      </w:r>
      <w:r>
        <w:rPr>
          <w:rFonts w:hint="eastAsia" w:ascii="宋体" w:hAnsi="宋体" w:cs="宋体"/>
          <w:color w:val="auto"/>
          <w:kern w:val="0"/>
          <w:szCs w:val="21"/>
        </w:rPr>
        <w:t>）</w:t>
      </w:r>
      <w:r>
        <w:rPr>
          <w:rFonts w:ascii="宋体" w:hAnsi="宋体" w:cs="宋体"/>
          <w:color w:val="auto"/>
          <w:kern w:val="0"/>
          <w:szCs w:val="21"/>
        </w:rPr>
        <w:t>CA</w:t>
      </w:r>
      <w:r>
        <w:rPr>
          <w:rFonts w:hint="eastAsia" w:ascii="宋体" w:hAnsi="宋体" w:cs="宋体"/>
          <w:color w:val="auto"/>
          <w:kern w:val="0"/>
          <w:szCs w:val="21"/>
        </w:rPr>
        <w:t>证书在线解密：首次响应文件开启时，需携带制作响应文件时用来加密的有效数字证书（</w:t>
      </w:r>
      <w:r>
        <w:rPr>
          <w:rFonts w:ascii="宋体" w:hAnsi="宋体" w:cs="宋体"/>
          <w:color w:val="auto"/>
          <w:kern w:val="0"/>
          <w:szCs w:val="21"/>
        </w:rPr>
        <w:t>CA</w:t>
      </w:r>
      <w:r>
        <w:rPr>
          <w:rFonts w:hint="eastAsia" w:ascii="宋体" w:hAnsi="宋体" w:cs="宋体"/>
          <w:color w:val="auto"/>
          <w:kern w:val="0"/>
          <w:szCs w:val="21"/>
        </w:rPr>
        <w:t>认证）登录</w:t>
      </w:r>
      <w:r>
        <w:rPr>
          <w:rFonts w:hint="eastAsia" w:ascii="宋体" w:hAnsi="宋体"/>
          <w:color w:val="auto"/>
          <w:szCs w:val="21"/>
        </w:rPr>
        <w:t>广西政府采购云平台</w:t>
      </w:r>
      <w:r>
        <w:rPr>
          <w:rFonts w:hint="eastAsia" w:ascii="宋体" w:hAnsi="宋体" w:cs="宋体"/>
          <w:color w:val="auto"/>
          <w:kern w:val="0"/>
          <w:szCs w:val="21"/>
        </w:rPr>
        <w:t>电子开标大厅现场按规定时间对加密的响应文件进行解密，否则后果自负。</w:t>
      </w:r>
    </w:p>
    <w:p w14:paraId="508FD0A2">
      <w:pPr>
        <w:keepNext w:val="0"/>
        <w:keepLines w:val="0"/>
        <w:pageBreakBefore w:val="0"/>
        <w:widowControl/>
        <w:kinsoku/>
        <w:wordWrap w:val="0"/>
        <w:overflowPunct/>
        <w:topLinePunct w:val="0"/>
        <w:autoSpaceDE/>
        <w:autoSpaceDN/>
        <w:bidi w:val="0"/>
        <w:adjustRightInd/>
        <w:spacing w:line="360" w:lineRule="exact"/>
        <w:ind w:firstLine="420" w:firstLineChars="200"/>
        <w:jc w:val="left"/>
        <w:textAlignment w:val="auto"/>
        <w:rPr>
          <w:rFonts w:ascii="宋体"/>
          <w:bCs/>
          <w:color w:val="auto"/>
          <w:szCs w:val="21"/>
        </w:rPr>
      </w:pPr>
      <w:r>
        <w:rPr>
          <w:rFonts w:hint="eastAsia" w:ascii="宋体" w:hAnsi="宋体"/>
          <w:color w:val="auto"/>
          <w:szCs w:val="21"/>
        </w:rPr>
        <w:t>注：</w:t>
      </w:r>
      <w:r>
        <w:rPr>
          <w:rFonts w:ascii="宋体" w:hAnsi="宋体"/>
          <w:color w:val="auto"/>
          <w:szCs w:val="21"/>
        </w:rPr>
        <w:t>1</w:t>
      </w:r>
      <w:r>
        <w:rPr>
          <w:rFonts w:hint="eastAsia" w:ascii="宋体" w:hAnsi="宋体"/>
          <w:color w:val="auto"/>
          <w:szCs w:val="21"/>
        </w:rPr>
        <w:t>）为确保网上操作合法、有效和安全，请供应商确保在电子竞标过程中能够对相关数据电文进行加密和使用电子签章，妥善保管</w:t>
      </w:r>
      <w:r>
        <w:rPr>
          <w:rFonts w:ascii="宋体" w:hAnsi="宋体"/>
          <w:color w:val="auto"/>
          <w:szCs w:val="21"/>
        </w:rPr>
        <w:t>CA</w:t>
      </w:r>
      <w:r>
        <w:rPr>
          <w:rFonts w:hint="eastAsia" w:ascii="宋体" w:hAnsi="宋体"/>
          <w:color w:val="auto"/>
          <w:szCs w:val="21"/>
        </w:rPr>
        <w:t>数字证书并使用有效的</w:t>
      </w:r>
      <w:r>
        <w:rPr>
          <w:rFonts w:ascii="宋体" w:hAnsi="宋体"/>
          <w:color w:val="auto"/>
          <w:szCs w:val="21"/>
        </w:rPr>
        <w:t>CA</w:t>
      </w:r>
      <w:r>
        <w:rPr>
          <w:rFonts w:hint="eastAsia" w:ascii="宋体" w:hAnsi="宋体"/>
          <w:color w:val="auto"/>
          <w:szCs w:val="21"/>
        </w:rPr>
        <w:t>数字证书参与整个采购活动。</w:t>
      </w:r>
      <w:r>
        <w:rPr>
          <w:rFonts w:ascii="宋体" w:hAnsi="宋体"/>
          <w:color w:val="auto"/>
          <w:szCs w:val="21"/>
        </w:rPr>
        <w:t>2</w:t>
      </w:r>
      <w:r>
        <w:rPr>
          <w:rFonts w:hint="eastAsia" w:ascii="宋体" w:hAnsi="宋体"/>
          <w:color w:val="auto"/>
          <w:szCs w:val="21"/>
        </w:rPr>
        <w:t>）</w:t>
      </w:r>
      <w:r>
        <w:rPr>
          <w:rFonts w:hint="eastAsia" w:ascii="宋体" w:hAnsi="宋体"/>
          <w:bCs/>
          <w:color w:val="auto"/>
          <w:szCs w:val="21"/>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止未完成提交（上传）的，视为撤回响应文件。提交响应文件截止时间以后提交（上传）的响应文件，</w:t>
      </w:r>
      <w:r>
        <w:rPr>
          <w:rFonts w:hint="eastAsia" w:ascii="宋体" w:hAnsi="宋体"/>
          <w:color w:val="auto"/>
          <w:szCs w:val="21"/>
        </w:rPr>
        <w:t>广西政府采购云平台</w:t>
      </w:r>
      <w:r>
        <w:rPr>
          <w:rFonts w:hint="eastAsia" w:ascii="宋体" w:hAnsi="宋体"/>
          <w:bCs/>
          <w:color w:val="auto"/>
          <w:szCs w:val="21"/>
        </w:rPr>
        <w:t>将予以拒收。</w:t>
      </w:r>
    </w:p>
    <w:p w14:paraId="28B0E3B1">
      <w:pPr>
        <w:keepNext w:val="0"/>
        <w:keepLines w:val="0"/>
        <w:pageBreakBefore w:val="0"/>
        <w:numPr>
          <w:ilvl w:val="0"/>
          <w:numId w:val="1"/>
        </w:numPr>
        <w:kinsoku/>
        <w:wordWrap w:val="0"/>
        <w:overflowPunct/>
        <w:topLinePunct w:val="0"/>
        <w:autoSpaceDE/>
        <w:autoSpaceDN/>
        <w:bidi w:val="0"/>
        <w:adjustRightInd/>
        <w:spacing w:line="360" w:lineRule="exact"/>
        <w:ind w:firstLine="420" w:firstLineChars="200"/>
        <w:textAlignment w:val="auto"/>
        <w:rPr>
          <w:rFonts w:hint="eastAsia" w:ascii="宋体" w:hAnsi="宋体" w:cs="宋体"/>
          <w:color w:val="auto"/>
          <w:kern w:val="0"/>
          <w:szCs w:val="21"/>
        </w:rPr>
      </w:pPr>
      <w:r>
        <w:rPr>
          <w:rFonts w:hint="eastAsia" w:ascii="宋体" w:hAnsi="宋体" w:cs="宋体"/>
          <w:color w:val="auto"/>
          <w:kern w:val="0"/>
          <w:szCs w:val="21"/>
        </w:rPr>
        <w:t>供应商需要在具备有摄像头及语音功能且互联网网络状况良好的电脑登录</w:t>
      </w:r>
      <w:r>
        <w:rPr>
          <w:rFonts w:hint="eastAsia" w:ascii="宋体" w:hAnsi="宋体"/>
          <w:bCs/>
          <w:color w:val="auto"/>
          <w:szCs w:val="21"/>
        </w:rPr>
        <w:t>广西政府采购云平台</w:t>
      </w:r>
      <w:r>
        <w:rPr>
          <w:rFonts w:hint="eastAsia" w:ascii="宋体" w:hAnsi="宋体" w:cs="宋体"/>
          <w:color w:val="auto"/>
          <w:kern w:val="0"/>
          <w:szCs w:val="21"/>
        </w:rPr>
        <w:t>远程开标大厅参与本次磋商，否则后果自负。</w:t>
      </w:r>
    </w:p>
    <w:p w14:paraId="2FD6A0F8">
      <w:pPr>
        <w:keepNext w:val="0"/>
        <w:keepLines w:val="0"/>
        <w:pageBreakBefore w:val="0"/>
        <w:widowControl/>
        <w:kinsoku/>
        <w:wordWrap/>
        <w:overflowPunct/>
        <w:topLinePunct w:val="0"/>
        <w:autoSpaceDE/>
        <w:autoSpaceDN/>
        <w:bidi w:val="0"/>
        <w:adjustRightInd/>
        <w:spacing w:line="400" w:lineRule="exact"/>
        <w:ind w:firstLine="420" w:firstLineChars="200"/>
        <w:jc w:val="left"/>
        <w:textAlignment w:val="auto"/>
        <w:rPr>
          <w:rFonts w:hint="eastAsia" w:ascii="宋体" w:hAnsi="宋体" w:cs="宋体"/>
          <w:color w:val="auto"/>
          <w:kern w:val="0"/>
          <w:szCs w:val="21"/>
        </w:rPr>
      </w:pPr>
      <w:r>
        <w:rPr>
          <w:rFonts w:hint="eastAsia" w:ascii="宋体" w:hAnsi="宋体" w:cs="宋体"/>
          <w:bCs/>
          <w:color w:val="auto"/>
          <w:szCs w:val="21"/>
          <w:highlight w:val="none"/>
          <w:lang w:val="en-US" w:eastAsia="zh-CN"/>
        </w:rPr>
        <w:t>5.</w:t>
      </w:r>
      <w:r>
        <w:rPr>
          <w:rFonts w:hint="eastAsia" w:ascii="宋体" w:hAnsi="宋体" w:cs="宋体"/>
          <w:bCs/>
          <w:color w:val="auto"/>
          <w:szCs w:val="21"/>
          <w:highlight w:val="none"/>
        </w:rPr>
        <w:t>监督管理部门：广西壮族自治区财政厅  0771-5339851</w:t>
      </w:r>
      <w:r>
        <w:rPr>
          <w:rFonts w:hint="eastAsia" w:ascii="宋体" w:hAnsi="宋体" w:cs="宋体"/>
          <w:bCs/>
          <w:color w:val="auto"/>
          <w:szCs w:val="21"/>
          <w:highlight w:val="none"/>
          <w:lang w:eastAsia="zh-CN"/>
        </w:rPr>
        <w:t>。</w:t>
      </w:r>
    </w:p>
    <w:p w14:paraId="1662ADBF">
      <w:pPr>
        <w:keepNext w:val="0"/>
        <w:keepLines w:val="0"/>
        <w:pageBreakBefore w:val="0"/>
        <w:kinsoku/>
        <w:overflowPunct/>
        <w:topLinePunct w:val="0"/>
        <w:autoSpaceDE/>
        <w:autoSpaceDN/>
        <w:bidi w:val="0"/>
        <w:adjustRightInd/>
        <w:spacing w:line="360" w:lineRule="exact"/>
        <w:ind w:firstLine="361" w:firstLineChars="150"/>
        <w:textAlignment w:val="auto"/>
        <w:rPr>
          <w:rFonts w:ascii="宋体" w:hAnsi="宋体"/>
          <w:color w:val="auto"/>
          <w:sz w:val="24"/>
        </w:rPr>
      </w:pPr>
      <w:r>
        <w:rPr>
          <w:rFonts w:hint="eastAsia" w:ascii="宋体" w:hAnsi="宋体"/>
          <w:b/>
          <w:color w:val="auto"/>
          <w:sz w:val="24"/>
        </w:rPr>
        <w:t>八、凡对本次采购提出询问，请按</w:t>
      </w:r>
      <w:r>
        <w:rPr>
          <w:rFonts w:ascii="宋体" w:hAnsi="宋体"/>
          <w:b/>
          <w:color w:val="auto"/>
          <w:sz w:val="24"/>
        </w:rPr>
        <w:t>以下方式</w:t>
      </w:r>
      <w:r>
        <w:rPr>
          <w:rFonts w:hint="eastAsia" w:ascii="宋体" w:hAnsi="宋体"/>
          <w:b/>
          <w:color w:val="auto"/>
          <w:sz w:val="24"/>
        </w:rPr>
        <w:t>联系。</w:t>
      </w:r>
      <w:bookmarkEnd w:id="46"/>
      <w:bookmarkEnd w:id="47"/>
      <w:bookmarkEnd w:id="48"/>
      <w:bookmarkEnd w:id="49"/>
      <w:bookmarkEnd w:id="50"/>
    </w:p>
    <w:p w14:paraId="27B52934">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cs="宋体"/>
          <w:color w:val="auto"/>
          <w:kern w:val="0"/>
          <w:szCs w:val="21"/>
        </w:rPr>
      </w:pPr>
      <w:bookmarkStart w:id="51" w:name="_Toc28359019"/>
      <w:bookmarkStart w:id="52" w:name="_Toc28359096"/>
      <w:bookmarkStart w:id="53" w:name="_Toc35393806"/>
      <w:bookmarkStart w:id="54" w:name="_Toc35393637"/>
      <w:r>
        <w:rPr>
          <w:rFonts w:hint="eastAsia" w:ascii="宋体" w:hAnsi="宋体" w:cs="宋体"/>
          <w:color w:val="auto"/>
          <w:kern w:val="0"/>
          <w:szCs w:val="21"/>
        </w:rPr>
        <w:t>1.采购人信息</w:t>
      </w:r>
      <w:bookmarkEnd w:id="51"/>
      <w:bookmarkEnd w:id="52"/>
      <w:bookmarkEnd w:id="53"/>
      <w:bookmarkEnd w:id="54"/>
    </w:p>
    <w:bookmarkEnd w:id="4"/>
    <w:p w14:paraId="7E814F19">
      <w:pPr>
        <w:keepNext w:val="0"/>
        <w:keepLines w:val="0"/>
        <w:pageBreakBefore w:val="0"/>
        <w:kinsoku/>
        <w:overflowPunct/>
        <w:topLinePunct w:val="0"/>
        <w:autoSpaceDE/>
        <w:autoSpaceDN/>
        <w:bidi w:val="0"/>
        <w:adjustRightInd/>
        <w:spacing w:line="360" w:lineRule="exact"/>
        <w:ind w:firstLine="420" w:firstLineChars="200"/>
        <w:jc w:val="left"/>
        <w:textAlignment w:val="auto"/>
        <w:rPr>
          <w:rFonts w:hint="eastAsia" w:ascii="宋体" w:hAnsi="宋体" w:eastAsia="宋体"/>
          <w:color w:val="auto"/>
          <w:szCs w:val="21"/>
          <w:lang w:eastAsia="zh-CN"/>
        </w:rPr>
      </w:pPr>
      <w:r>
        <w:rPr>
          <w:rFonts w:hint="eastAsia" w:ascii="宋体" w:hAnsi="宋体"/>
          <w:color w:val="auto"/>
          <w:szCs w:val="21"/>
        </w:rPr>
        <w:t>名    称：</w:t>
      </w:r>
      <w:r>
        <w:rPr>
          <w:rFonts w:hint="eastAsia" w:ascii="宋体" w:hAnsi="宋体"/>
          <w:color w:val="auto"/>
          <w:szCs w:val="21"/>
          <w:lang w:eastAsia="zh-CN"/>
        </w:rPr>
        <w:t>桂林医科大学第一附属医院</w:t>
      </w:r>
    </w:p>
    <w:p w14:paraId="6D66C5A2">
      <w:pPr>
        <w:keepNext w:val="0"/>
        <w:keepLines w:val="0"/>
        <w:pageBreakBefore w:val="0"/>
        <w:kinsoku/>
        <w:overflowPunct/>
        <w:topLinePunct w:val="0"/>
        <w:autoSpaceDE/>
        <w:autoSpaceDN/>
        <w:bidi w:val="0"/>
        <w:adjustRightInd/>
        <w:spacing w:line="360" w:lineRule="exact"/>
        <w:ind w:firstLine="420" w:firstLineChars="200"/>
        <w:jc w:val="left"/>
        <w:textAlignment w:val="auto"/>
        <w:rPr>
          <w:rFonts w:ascii="宋体" w:hAnsi="宋体"/>
          <w:color w:val="auto"/>
          <w:szCs w:val="21"/>
        </w:rPr>
      </w:pPr>
      <w:r>
        <w:rPr>
          <w:rFonts w:hint="eastAsia" w:ascii="宋体" w:hAnsi="宋体"/>
          <w:color w:val="auto"/>
          <w:szCs w:val="21"/>
        </w:rPr>
        <w:t>地址：桂林市乐群路15号</w:t>
      </w:r>
    </w:p>
    <w:p w14:paraId="66A6F445">
      <w:pPr>
        <w:keepNext w:val="0"/>
        <w:keepLines w:val="0"/>
        <w:pageBreakBefore w:val="0"/>
        <w:kinsoku/>
        <w:overflowPunct/>
        <w:topLinePunct w:val="0"/>
        <w:autoSpaceDE/>
        <w:autoSpaceDN/>
        <w:bidi w:val="0"/>
        <w:adjustRightInd/>
        <w:spacing w:line="360" w:lineRule="exact"/>
        <w:ind w:firstLine="420" w:firstLineChars="200"/>
        <w:jc w:val="left"/>
        <w:textAlignment w:val="auto"/>
        <w:rPr>
          <w:rFonts w:ascii="宋体"/>
          <w:color w:val="auto"/>
          <w:szCs w:val="21"/>
        </w:rPr>
      </w:pPr>
      <w:r>
        <w:rPr>
          <w:rFonts w:hint="eastAsia" w:ascii="宋体" w:hAnsi="宋体"/>
          <w:color w:val="auto"/>
          <w:szCs w:val="21"/>
        </w:rPr>
        <w:t>联系方式：唐</w:t>
      </w:r>
      <w:r>
        <w:rPr>
          <w:rFonts w:hint="eastAsia" w:ascii="宋体" w:hAnsi="宋体"/>
          <w:color w:val="auto"/>
          <w:szCs w:val="21"/>
          <w:lang w:eastAsia="zh-CN"/>
        </w:rPr>
        <w:t>奕</w:t>
      </w:r>
      <w:r>
        <w:rPr>
          <w:rFonts w:hint="eastAsia" w:ascii="宋体" w:hAnsi="宋体"/>
          <w:color w:val="auto"/>
          <w:szCs w:val="21"/>
        </w:rPr>
        <w:t xml:space="preserve">    </w:t>
      </w:r>
      <w:r>
        <w:rPr>
          <w:rFonts w:ascii="宋体" w:hAnsi="宋体"/>
          <w:color w:val="auto"/>
          <w:szCs w:val="21"/>
        </w:rPr>
        <w:t>0773-</w:t>
      </w:r>
      <w:r>
        <w:rPr>
          <w:rFonts w:hint="eastAsia" w:ascii="宋体" w:hAnsi="宋体"/>
          <w:color w:val="auto"/>
          <w:szCs w:val="21"/>
        </w:rPr>
        <w:t>2802050</w:t>
      </w:r>
    </w:p>
    <w:p w14:paraId="25C53D19">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cs="宋体"/>
          <w:color w:val="auto"/>
          <w:kern w:val="0"/>
          <w:szCs w:val="21"/>
        </w:rPr>
      </w:pPr>
      <w:bookmarkStart w:id="55" w:name="_Toc28359097"/>
      <w:bookmarkStart w:id="56" w:name="_Toc35393807"/>
      <w:bookmarkStart w:id="57" w:name="_Toc28359020"/>
      <w:bookmarkStart w:id="58" w:name="_Toc35393638"/>
      <w:r>
        <w:rPr>
          <w:rFonts w:hint="eastAsia" w:ascii="宋体" w:hAnsi="宋体" w:cs="宋体"/>
          <w:color w:val="auto"/>
          <w:kern w:val="0"/>
          <w:szCs w:val="21"/>
        </w:rPr>
        <w:t>2.采购代理机构信息</w:t>
      </w:r>
      <w:bookmarkEnd w:id="55"/>
      <w:bookmarkEnd w:id="56"/>
      <w:bookmarkEnd w:id="57"/>
      <w:bookmarkEnd w:id="58"/>
    </w:p>
    <w:p w14:paraId="406B1DD8">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color w:val="auto"/>
          <w:szCs w:val="21"/>
        </w:rPr>
      </w:pPr>
      <w:r>
        <w:rPr>
          <w:rFonts w:hint="eastAsia" w:ascii="宋体" w:hAnsi="宋体"/>
          <w:color w:val="auto"/>
          <w:szCs w:val="21"/>
        </w:rPr>
        <w:t>名称：欧邦工程管理集团有限公司</w:t>
      </w:r>
    </w:p>
    <w:p w14:paraId="6460077A">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color w:val="auto"/>
          <w:szCs w:val="21"/>
        </w:rPr>
      </w:pPr>
      <w:r>
        <w:rPr>
          <w:rFonts w:hint="eastAsia" w:ascii="宋体" w:hAnsi="宋体"/>
          <w:color w:val="auto"/>
          <w:szCs w:val="21"/>
        </w:rPr>
        <w:t>地址：桂林市七星区穿山街道办莫家里二路文化室四楼</w:t>
      </w:r>
    </w:p>
    <w:p w14:paraId="36F189C8">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color w:val="auto"/>
          <w:szCs w:val="21"/>
        </w:rPr>
      </w:pPr>
      <w:r>
        <w:rPr>
          <w:rFonts w:hint="eastAsia" w:ascii="宋体" w:hAnsi="宋体"/>
          <w:color w:val="auto"/>
          <w:szCs w:val="21"/>
        </w:rPr>
        <w:t>联系方式：0773-2567907  传真：0773-2567912</w:t>
      </w:r>
    </w:p>
    <w:p w14:paraId="7358A9F2">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cs="宋体"/>
          <w:color w:val="auto"/>
          <w:kern w:val="0"/>
          <w:szCs w:val="21"/>
        </w:rPr>
      </w:pPr>
      <w:bookmarkStart w:id="59" w:name="_Toc35393639"/>
      <w:bookmarkStart w:id="60" w:name="_Toc35393808"/>
      <w:bookmarkStart w:id="61" w:name="_Toc28359021"/>
      <w:bookmarkStart w:id="62" w:name="_Toc28359098"/>
      <w:r>
        <w:rPr>
          <w:rFonts w:hint="eastAsia" w:ascii="宋体" w:hAnsi="宋体" w:cs="宋体"/>
          <w:color w:val="auto"/>
          <w:kern w:val="0"/>
          <w:szCs w:val="21"/>
        </w:rPr>
        <w:t>3.项目联系</w:t>
      </w:r>
      <w:r>
        <w:rPr>
          <w:rFonts w:ascii="宋体" w:hAnsi="宋体" w:cs="宋体"/>
          <w:color w:val="auto"/>
          <w:kern w:val="0"/>
          <w:szCs w:val="21"/>
        </w:rPr>
        <w:t>方式</w:t>
      </w:r>
      <w:bookmarkEnd w:id="59"/>
      <w:bookmarkEnd w:id="60"/>
      <w:bookmarkEnd w:id="61"/>
      <w:bookmarkEnd w:id="62"/>
    </w:p>
    <w:p w14:paraId="5B75B486">
      <w:pPr>
        <w:keepNext w:val="0"/>
        <w:keepLines w:val="0"/>
        <w:pageBreakBefore w:val="0"/>
        <w:kinsoku/>
        <w:overflowPunct/>
        <w:topLinePunct w:val="0"/>
        <w:autoSpaceDE/>
        <w:autoSpaceDN/>
        <w:bidi w:val="0"/>
        <w:adjustRightInd/>
        <w:spacing w:line="360" w:lineRule="exact"/>
        <w:ind w:firstLine="424" w:firstLineChars="202"/>
        <w:textAlignment w:val="auto"/>
        <w:rPr>
          <w:rFonts w:ascii="宋体" w:hAnsi="宋体"/>
          <w:color w:val="auto"/>
          <w:szCs w:val="21"/>
        </w:rPr>
      </w:pPr>
      <w:r>
        <w:rPr>
          <w:rFonts w:hint="eastAsia" w:ascii="宋体" w:hAnsi="宋体"/>
          <w:color w:val="auto"/>
          <w:szCs w:val="21"/>
        </w:rPr>
        <w:t>项目联系人：刘芳芳、林雪青</w:t>
      </w:r>
      <w:r>
        <w:rPr>
          <w:rFonts w:ascii="宋体" w:hAnsi="宋体"/>
          <w:color w:val="auto"/>
          <w:szCs w:val="21"/>
        </w:rPr>
        <w:tab/>
      </w:r>
    </w:p>
    <w:p w14:paraId="1DE54C5A">
      <w:pPr>
        <w:keepNext w:val="0"/>
        <w:keepLines w:val="0"/>
        <w:pageBreakBefore w:val="0"/>
        <w:kinsoku/>
        <w:overflowPunct/>
        <w:topLinePunct w:val="0"/>
        <w:autoSpaceDE/>
        <w:autoSpaceDN/>
        <w:bidi w:val="0"/>
        <w:adjustRightInd/>
        <w:spacing w:line="360" w:lineRule="exact"/>
        <w:ind w:firstLine="420" w:firstLineChars="200"/>
        <w:textAlignment w:val="auto"/>
        <w:rPr>
          <w:rFonts w:ascii="宋体" w:hAnsi="宋体" w:cs="宋体"/>
          <w:color w:val="auto"/>
          <w:szCs w:val="21"/>
        </w:rPr>
      </w:pPr>
      <w:r>
        <w:rPr>
          <w:rFonts w:hint="eastAsia" w:ascii="宋体" w:hAnsi="宋体"/>
          <w:color w:val="auto"/>
          <w:szCs w:val="21"/>
        </w:rPr>
        <w:t>电话：0773-2567907</w:t>
      </w:r>
    </w:p>
    <w:p w14:paraId="00C515A3">
      <w:pPr>
        <w:spacing w:line="360" w:lineRule="exact"/>
        <w:ind w:firstLine="420" w:firstLineChars="200"/>
        <w:rPr>
          <w:rFonts w:ascii="宋体" w:hAnsi="宋体" w:cs="宋体"/>
          <w:color w:val="auto"/>
          <w:szCs w:val="21"/>
        </w:rPr>
      </w:pPr>
    </w:p>
    <w:p w14:paraId="55038B22">
      <w:pPr>
        <w:spacing w:line="360" w:lineRule="exact"/>
        <w:ind w:firstLine="420" w:firstLineChars="200"/>
        <w:rPr>
          <w:rFonts w:ascii="宋体" w:hAnsi="宋体" w:cs="宋体"/>
          <w:color w:val="auto"/>
          <w:szCs w:val="21"/>
        </w:rPr>
      </w:pPr>
    </w:p>
    <w:p w14:paraId="151868F3">
      <w:pPr>
        <w:pStyle w:val="3"/>
        <w:spacing w:line="240" w:lineRule="auto"/>
        <w:jc w:val="center"/>
        <w:rPr>
          <w:color w:val="auto"/>
        </w:rPr>
      </w:pPr>
      <w:bookmarkStart w:id="63" w:name="_Toc74322606"/>
      <w:r>
        <w:rPr>
          <w:color w:val="auto"/>
        </w:rPr>
        <w:br w:type="page"/>
      </w:r>
      <w:r>
        <w:rPr>
          <w:rFonts w:hint="eastAsia"/>
          <w:color w:val="auto"/>
        </w:rPr>
        <w:t>第二章 供应商须知</w:t>
      </w:r>
      <w:bookmarkEnd w:id="63"/>
    </w:p>
    <w:p w14:paraId="30DAF346">
      <w:pPr>
        <w:spacing w:line="400" w:lineRule="exact"/>
        <w:jc w:val="center"/>
        <w:rPr>
          <w:rFonts w:ascii="宋体" w:hAnsi="宋体"/>
          <w:b/>
          <w:color w:val="auto"/>
          <w:sz w:val="32"/>
          <w:szCs w:val="32"/>
        </w:rPr>
      </w:pPr>
      <w:r>
        <w:rPr>
          <w:rFonts w:hint="eastAsia" w:ascii="宋体" w:hAnsi="宋体"/>
          <w:b/>
          <w:color w:val="auto"/>
          <w:sz w:val="32"/>
          <w:szCs w:val="32"/>
        </w:rPr>
        <w:t>供应商须知前附表</w:t>
      </w:r>
    </w:p>
    <w:p w14:paraId="4CCD0876">
      <w:pPr>
        <w:spacing w:line="400" w:lineRule="exact"/>
        <w:jc w:val="center"/>
        <w:rPr>
          <w:rFonts w:ascii="宋体" w:hAnsi="宋体"/>
          <w:b/>
          <w:color w:val="auto"/>
          <w:sz w:val="32"/>
          <w:szCs w:val="32"/>
        </w:rPr>
      </w:pPr>
    </w:p>
    <w:tbl>
      <w:tblPr>
        <w:tblStyle w:val="2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2"/>
        <w:gridCol w:w="7912"/>
      </w:tblGrid>
      <w:tr w14:paraId="6355BC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Pr>
          <w:p w14:paraId="6648FBA1">
            <w:pPr>
              <w:spacing w:line="360" w:lineRule="auto"/>
              <w:jc w:val="center"/>
              <w:rPr>
                <w:rFonts w:ascii="宋体" w:hAnsi="宋体" w:cs="宋体"/>
                <w:b/>
                <w:color w:val="auto"/>
                <w:szCs w:val="21"/>
              </w:rPr>
            </w:pPr>
            <w:r>
              <w:rPr>
                <w:rFonts w:hint="eastAsia" w:ascii="宋体" w:hAnsi="宋体" w:cs="宋体"/>
                <w:b/>
                <w:color w:val="auto"/>
                <w:szCs w:val="21"/>
              </w:rPr>
              <w:t>条款号</w:t>
            </w:r>
          </w:p>
        </w:tc>
        <w:tc>
          <w:tcPr>
            <w:tcW w:w="7912" w:type="dxa"/>
          </w:tcPr>
          <w:p w14:paraId="12512C4E">
            <w:pPr>
              <w:spacing w:line="360" w:lineRule="auto"/>
              <w:jc w:val="center"/>
              <w:rPr>
                <w:rFonts w:ascii="宋体" w:hAnsi="宋体" w:cs="宋体"/>
                <w:b/>
                <w:color w:val="auto"/>
                <w:szCs w:val="21"/>
              </w:rPr>
            </w:pPr>
            <w:r>
              <w:rPr>
                <w:rFonts w:hint="eastAsia" w:ascii="宋体" w:hAnsi="宋体" w:cs="宋体"/>
                <w:b/>
                <w:color w:val="auto"/>
                <w:szCs w:val="21"/>
              </w:rPr>
              <w:t>内    容</w:t>
            </w:r>
          </w:p>
        </w:tc>
      </w:tr>
      <w:tr w14:paraId="104948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38532F26">
            <w:pPr>
              <w:spacing w:line="360" w:lineRule="auto"/>
              <w:jc w:val="center"/>
              <w:rPr>
                <w:rFonts w:ascii="宋体" w:hAnsi="宋体" w:cs="宋体"/>
                <w:color w:val="auto"/>
                <w:szCs w:val="21"/>
              </w:rPr>
            </w:pPr>
            <w:r>
              <w:rPr>
                <w:rFonts w:hint="eastAsia" w:ascii="宋体" w:hAnsi="宋体" w:cs="宋体"/>
                <w:color w:val="auto"/>
                <w:szCs w:val="21"/>
              </w:rPr>
              <w:t>3</w:t>
            </w:r>
          </w:p>
        </w:tc>
        <w:tc>
          <w:tcPr>
            <w:tcW w:w="7912" w:type="dxa"/>
            <w:vAlign w:val="center"/>
          </w:tcPr>
          <w:p w14:paraId="72E18D28">
            <w:pPr>
              <w:spacing w:line="360" w:lineRule="exact"/>
              <w:rPr>
                <w:rFonts w:ascii="宋体" w:hAnsi="宋体"/>
                <w:color w:val="auto"/>
                <w:szCs w:val="21"/>
              </w:rPr>
            </w:pPr>
            <w:r>
              <w:rPr>
                <w:rFonts w:hint="eastAsia" w:ascii="宋体" w:hAnsi="宋体" w:cs="宋体"/>
                <w:bCs/>
                <w:color w:val="auto"/>
                <w:szCs w:val="21"/>
              </w:rPr>
              <w:t>1.供应商的资格条件</w:t>
            </w:r>
            <w:r>
              <w:rPr>
                <w:rFonts w:hint="eastAsia" w:ascii="宋体" w:hAnsi="宋体" w:cs="宋体"/>
                <w:color w:val="auto"/>
                <w:szCs w:val="21"/>
              </w:rPr>
              <w:t>：详见竞争性磋商公告</w:t>
            </w:r>
            <w:r>
              <w:rPr>
                <w:rFonts w:hint="eastAsia" w:ascii="宋体" w:hAnsi="宋体"/>
                <w:color w:val="auto"/>
                <w:szCs w:val="21"/>
              </w:rPr>
              <w:t>。</w:t>
            </w:r>
          </w:p>
          <w:p w14:paraId="5936D1D7">
            <w:pPr>
              <w:spacing w:line="360" w:lineRule="exact"/>
              <w:rPr>
                <w:rFonts w:ascii="宋体" w:hAnsi="宋体" w:cs="宋体"/>
                <w:color w:val="auto"/>
                <w:szCs w:val="21"/>
              </w:rPr>
            </w:pPr>
            <w:r>
              <w:rPr>
                <w:rFonts w:hint="eastAsia" w:ascii="宋体" w:hAnsi="宋体" w:cs="宋体"/>
                <w:color w:val="auto"/>
                <w:szCs w:val="21"/>
              </w:rPr>
              <w:t>2.</w:t>
            </w:r>
            <w:r>
              <w:rPr>
                <w:rFonts w:hint="eastAsia" w:ascii="宋体" w:hAnsi="宋体" w:cs="宋体"/>
                <w:bCs/>
                <w:color w:val="auto"/>
                <w:szCs w:val="21"/>
              </w:rPr>
              <w:t>供应商</w:t>
            </w:r>
            <w:r>
              <w:rPr>
                <w:rFonts w:hint="eastAsia" w:ascii="宋体" w:hAnsi="宋体" w:cs="宋体"/>
                <w:color w:val="auto"/>
                <w:szCs w:val="21"/>
              </w:rPr>
              <w:t>出现下列情形之一的，不得参加政府采购活动：</w:t>
            </w:r>
          </w:p>
          <w:p w14:paraId="4946A5ED">
            <w:pPr>
              <w:spacing w:line="360" w:lineRule="exact"/>
              <w:rPr>
                <w:rFonts w:ascii="宋体" w:hAnsi="宋体" w:cs="宋体"/>
                <w:color w:val="auto"/>
                <w:szCs w:val="21"/>
              </w:rPr>
            </w:pPr>
            <w:r>
              <w:rPr>
                <w:rFonts w:hint="eastAsia" w:ascii="宋体" w:hAnsi="宋体" w:cs="宋体"/>
                <w:color w:val="auto"/>
                <w:szCs w:val="21"/>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605194E7">
            <w:pPr>
              <w:spacing w:line="360" w:lineRule="exact"/>
              <w:rPr>
                <w:rFonts w:ascii="宋体" w:hAnsi="宋体" w:cs="宋体"/>
                <w:color w:val="auto"/>
                <w:szCs w:val="21"/>
              </w:rPr>
            </w:pPr>
            <w:r>
              <w:rPr>
                <w:rFonts w:hint="eastAsia" w:ascii="宋体" w:hAnsi="宋体" w:cs="宋体"/>
                <w:color w:val="auto"/>
                <w:szCs w:val="21"/>
              </w:rPr>
              <w:t>2.2对在“信用中国”网站（</w:t>
            </w:r>
            <w:r>
              <w:rPr>
                <w:rFonts w:ascii="宋体" w:hAnsi="宋体" w:cs="宋体"/>
                <w:color w:val="auto"/>
                <w:szCs w:val="21"/>
              </w:rPr>
              <w:t>http://www.creditchina.gov.cn</w:t>
            </w:r>
            <w:r>
              <w:rPr>
                <w:rFonts w:hint="eastAsia" w:ascii="宋体" w:hAnsi="宋体" w:cs="宋体"/>
                <w:color w:val="auto"/>
                <w:szCs w:val="21"/>
              </w:rPr>
              <w:t>）、中国政府采购网（</w:t>
            </w:r>
            <w:r>
              <w:rPr>
                <w:rFonts w:ascii="宋体" w:hAnsi="宋体" w:cs="宋体"/>
                <w:color w:val="auto"/>
                <w:szCs w:val="21"/>
              </w:rPr>
              <w:t>http://www.ccgp.gov.cn</w:t>
            </w:r>
            <w:r>
              <w:rPr>
                <w:rFonts w:hint="eastAsia" w:ascii="宋体" w:hAnsi="宋体" w:cs="宋体"/>
                <w:color w:val="auto"/>
                <w:szCs w:val="21"/>
              </w:rPr>
              <w:t>）被列入失信被执行人、重大税收违法失信主体、政府采购严重违法失信行为记录名单及其他不符合《中华人民共和国政府采购法》第二十二条规定条件的供应商，不得参与政府采购活动。</w:t>
            </w:r>
          </w:p>
        </w:tc>
      </w:tr>
      <w:tr w14:paraId="3AE9B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AAD1647">
            <w:pPr>
              <w:spacing w:line="360" w:lineRule="auto"/>
              <w:jc w:val="center"/>
              <w:rPr>
                <w:rFonts w:ascii="宋体" w:hAnsi="宋体" w:cs="宋体"/>
                <w:color w:val="auto"/>
                <w:szCs w:val="21"/>
              </w:rPr>
            </w:pPr>
            <w:r>
              <w:rPr>
                <w:rFonts w:hint="eastAsia" w:ascii="宋体" w:hAnsi="宋体" w:cs="宋体"/>
                <w:color w:val="auto"/>
                <w:szCs w:val="21"/>
              </w:rPr>
              <w:t>5.1</w:t>
            </w:r>
          </w:p>
        </w:tc>
        <w:tc>
          <w:tcPr>
            <w:tcW w:w="7912" w:type="dxa"/>
            <w:vAlign w:val="center"/>
          </w:tcPr>
          <w:p w14:paraId="3CD3CA52">
            <w:pPr>
              <w:spacing w:line="360" w:lineRule="exact"/>
              <w:rPr>
                <w:rFonts w:ascii="宋体" w:hAnsi="宋体" w:cs="宋体"/>
                <w:color w:val="auto"/>
                <w:szCs w:val="21"/>
              </w:rPr>
            </w:pPr>
            <w:r>
              <w:rPr>
                <w:rFonts w:hint="eastAsia" w:ascii="宋体" w:hAnsi="宋体" w:cs="宋体"/>
                <w:color w:val="auto"/>
                <w:szCs w:val="21"/>
              </w:rPr>
              <w:t>是否接受联合体竞标: 详见竞争性磋商公告。</w:t>
            </w:r>
          </w:p>
        </w:tc>
      </w:tr>
      <w:tr w14:paraId="4B43F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51052859">
            <w:pPr>
              <w:spacing w:line="360" w:lineRule="auto"/>
              <w:jc w:val="center"/>
              <w:rPr>
                <w:rFonts w:ascii="宋体" w:hAnsi="宋体" w:cs="宋体"/>
                <w:color w:val="auto"/>
                <w:szCs w:val="21"/>
              </w:rPr>
            </w:pPr>
            <w:r>
              <w:rPr>
                <w:rFonts w:hint="eastAsia" w:ascii="宋体" w:hAnsi="宋体" w:cs="宋体"/>
                <w:color w:val="auto"/>
                <w:szCs w:val="21"/>
              </w:rPr>
              <w:t>5</w:t>
            </w:r>
            <w:r>
              <w:rPr>
                <w:rFonts w:ascii="宋体" w:hAnsi="宋体" w:cs="宋体"/>
                <w:color w:val="auto"/>
                <w:szCs w:val="21"/>
              </w:rPr>
              <w:t>.2</w:t>
            </w:r>
          </w:p>
        </w:tc>
        <w:tc>
          <w:tcPr>
            <w:tcW w:w="7912" w:type="dxa"/>
            <w:vAlign w:val="center"/>
          </w:tcPr>
          <w:p w14:paraId="1311C49B">
            <w:pPr>
              <w:spacing w:line="360" w:lineRule="exact"/>
              <w:rPr>
                <w:rFonts w:ascii="宋体" w:hAnsi="宋体" w:cs="宋体"/>
                <w:color w:val="auto"/>
                <w:szCs w:val="21"/>
              </w:rPr>
            </w:pPr>
            <w:r>
              <w:rPr>
                <w:rFonts w:hint="eastAsia" w:ascii="宋体" w:hAnsi="宋体"/>
                <w:color w:val="auto"/>
                <w:szCs w:val="21"/>
              </w:rPr>
              <w:t>如接受联合体竞标，联合体竞标要求如下：</w:t>
            </w:r>
            <w:r>
              <w:rPr>
                <w:rFonts w:hint="eastAsia" w:ascii="宋体" w:hAnsi="宋体" w:cs="宋体"/>
                <w:color w:val="auto"/>
                <w:szCs w:val="21"/>
              </w:rPr>
              <w:t>无。</w:t>
            </w:r>
          </w:p>
        </w:tc>
      </w:tr>
      <w:tr w14:paraId="27D6B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626331DF">
            <w:pPr>
              <w:spacing w:line="360" w:lineRule="auto"/>
              <w:jc w:val="center"/>
              <w:rPr>
                <w:rFonts w:ascii="宋体" w:hAnsi="宋体" w:cs="宋体"/>
                <w:color w:val="auto"/>
                <w:szCs w:val="21"/>
              </w:rPr>
            </w:pPr>
            <w:r>
              <w:rPr>
                <w:rFonts w:hint="eastAsia" w:ascii="宋体" w:hAnsi="宋体" w:cs="宋体"/>
                <w:color w:val="auto"/>
                <w:szCs w:val="21"/>
              </w:rPr>
              <w:t>6.</w:t>
            </w:r>
            <w:r>
              <w:rPr>
                <w:rFonts w:ascii="宋体" w:hAnsi="宋体" w:cs="宋体"/>
                <w:color w:val="auto"/>
                <w:szCs w:val="21"/>
              </w:rPr>
              <w:t>2</w:t>
            </w:r>
          </w:p>
        </w:tc>
        <w:tc>
          <w:tcPr>
            <w:tcW w:w="7912" w:type="dxa"/>
            <w:vAlign w:val="center"/>
          </w:tcPr>
          <w:p w14:paraId="52F7E5CE">
            <w:pPr>
              <w:pStyle w:val="13"/>
              <w:spacing w:line="360" w:lineRule="exact"/>
              <w:rPr>
                <w:rFonts w:ascii="宋体" w:hAnsi="宋体"/>
                <w:color w:val="auto"/>
                <w:szCs w:val="21"/>
              </w:rPr>
            </w:pPr>
            <w:r>
              <w:rPr>
                <w:rFonts w:ascii="Segoe UI Symbol" w:hAnsi="Segoe UI Symbol" w:cs="Segoe UI Symbol"/>
                <w:color w:val="auto"/>
                <w:szCs w:val="21"/>
              </w:rPr>
              <w:t>☑</w:t>
            </w:r>
            <w:r>
              <w:rPr>
                <w:rFonts w:hint="eastAsia" w:ascii="宋体" w:hAnsi="宋体"/>
                <w:color w:val="auto"/>
                <w:szCs w:val="21"/>
              </w:rPr>
              <w:t>不允许分包</w:t>
            </w:r>
          </w:p>
          <w:p w14:paraId="0BDFD662">
            <w:pPr>
              <w:pStyle w:val="13"/>
              <w:spacing w:line="360" w:lineRule="exact"/>
              <w:rPr>
                <w:rFonts w:ascii="宋体" w:hAnsi="宋体"/>
                <w:color w:val="auto"/>
                <w:szCs w:val="21"/>
              </w:rPr>
            </w:pPr>
            <w:r>
              <w:rPr>
                <w:rFonts w:hint="eastAsia" w:ascii="宋体" w:hAnsi="宋体"/>
                <w:color w:val="auto"/>
                <w:szCs w:val="21"/>
              </w:rPr>
              <w:t>□允许分包</w:t>
            </w:r>
          </w:p>
        </w:tc>
      </w:tr>
      <w:tr w14:paraId="30646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6B631A46">
            <w:pPr>
              <w:spacing w:line="360" w:lineRule="auto"/>
              <w:jc w:val="center"/>
              <w:rPr>
                <w:rFonts w:ascii="宋体" w:hAnsi="宋体" w:cs="宋体"/>
                <w:color w:val="auto"/>
                <w:szCs w:val="21"/>
              </w:rPr>
            </w:pPr>
            <w:r>
              <w:rPr>
                <w:rFonts w:hint="eastAsia" w:ascii="宋体" w:hAnsi="宋体" w:cs="宋体"/>
                <w:color w:val="auto"/>
                <w:szCs w:val="21"/>
              </w:rPr>
              <w:t>12.1.</w:t>
            </w:r>
            <w:r>
              <w:rPr>
                <w:rFonts w:ascii="宋体" w:hAnsi="宋体" w:cs="宋体"/>
                <w:color w:val="auto"/>
                <w:szCs w:val="21"/>
              </w:rPr>
              <w:t>1</w:t>
            </w:r>
          </w:p>
        </w:tc>
        <w:tc>
          <w:tcPr>
            <w:tcW w:w="7912" w:type="dxa"/>
            <w:vAlign w:val="center"/>
          </w:tcPr>
          <w:p w14:paraId="470044F0">
            <w:pPr>
              <w:snapToGrid w:val="0"/>
              <w:spacing w:line="360" w:lineRule="exact"/>
              <w:jc w:val="left"/>
              <w:rPr>
                <w:rFonts w:ascii="宋体" w:hAnsi="宋体" w:cs="宋体"/>
                <w:b/>
                <w:color w:val="auto"/>
                <w:szCs w:val="21"/>
              </w:rPr>
            </w:pPr>
            <w:r>
              <w:rPr>
                <w:rFonts w:hint="eastAsia" w:ascii="宋体" w:hAnsi="宋体" w:cs="宋体"/>
                <w:b/>
                <w:color w:val="auto"/>
                <w:szCs w:val="21"/>
              </w:rPr>
              <w:t>资格证明文件</w:t>
            </w:r>
          </w:p>
          <w:p w14:paraId="5E3C6F50">
            <w:pPr>
              <w:pStyle w:val="13"/>
              <w:spacing w:line="360" w:lineRule="exact"/>
              <w:rPr>
                <w:rFonts w:ascii="宋体" w:hAnsi="宋体"/>
                <w:color w:val="auto"/>
                <w:szCs w:val="21"/>
              </w:rPr>
            </w:pPr>
            <w:r>
              <w:rPr>
                <w:rFonts w:hint="eastAsia" w:ascii="宋体" w:hAnsi="宋体" w:cs="宋体"/>
                <w:color w:val="auto"/>
                <w:szCs w:val="21"/>
              </w:rPr>
              <w:t>1.供应商为法人或者其他组织的提供其营业执照等证明文件（如营业执照或者事业单位法人证书或者执业许可证或者登记证书等），供应商为自然人的提供其身份证复印件；（</w:t>
            </w:r>
            <w:r>
              <w:rPr>
                <w:rFonts w:hint="eastAsia" w:ascii="宋体" w:hAnsi="宋体" w:cs="宋体"/>
                <w:b/>
                <w:color w:val="auto"/>
                <w:szCs w:val="21"/>
              </w:rPr>
              <w:t>必须提供，否则响应文件按无效响应处理</w:t>
            </w:r>
            <w:r>
              <w:rPr>
                <w:rFonts w:hint="eastAsia" w:ascii="宋体" w:hAnsi="宋体" w:cs="宋体"/>
                <w:color w:val="auto"/>
                <w:szCs w:val="21"/>
              </w:rPr>
              <w:t>）</w:t>
            </w:r>
          </w:p>
          <w:p w14:paraId="7115633B">
            <w:pPr>
              <w:spacing w:line="360" w:lineRule="exact"/>
              <w:contextualSpacing/>
              <w:jc w:val="left"/>
              <w:rPr>
                <w:rFonts w:ascii="宋体" w:hAnsi="宋体" w:cs="宋体"/>
                <w:color w:val="auto"/>
                <w:szCs w:val="21"/>
              </w:rPr>
            </w:pPr>
            <w:r>
              <w:rPr>
                <w:rFonts w:hint="eastAsia" w:ascii="宋体" w:hAnsi="宋体" w:cs="宋体"/>
                <w:color w:val="auto"/>
                <w:szCs w:val="21"/>
              </w:rPr>
              <w:t>2.供应商依法缴纳税收的相关材料（</w:t>
            </w:r>
            <w:r>
              <w:rPr>
                <w:rFonts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u w:val="single"/>
              </w:rPr>
              <w:t>6</w:t>
            </w:r>
            <w:r>
              <w:rPr>
                <w:rFonts w:hint="eastAsia" w:ascii="宋体" w:hAnsi="宋体" w:cs="宋体"/>
                <w:color w:val="auto"/>
                <w:szCs w:val="21"/>
                <w:highlight w:val="none"/>
              </w:rPr>
              <w:t>月以来任意1个月的依法缴纳税收的凭据复印件；</w:t>
            </w:r>
            <w:r>
              <w:rPr>
                <w:rFonts w:hint="eastAsia" w:ascii="宋体" w:hAnsi="宋体"/>
                <w:color w:val="auto"/>
                <w:szCs w:val="21"/>
                <w:highlight w:val="none"/>
              </w:rPr>
              <w:t>依法免税的，必须提供相应文件证明依法免税。</w:t>
            </w:r>
            <w:r>
              <w:rPr>
                <w:rFonts w:hint="eastAsia" w:ascii="宋体" w:hAnsi="宋体" w:cs="宋体"/>
                <w:color w:val="auto"/>
                <w:szCs w:val="21"/>
                <w:highlight w:val="none"/>
              </w:rPr>
              <w:t>供应商成立不足1个月的，无须提供</w:t>
            </w:r>
            <w:r>
              <w:rPr>
                <w:rFonts w:hint="eastAsia" w:ascii="宋体" w:hAnsi="宋体" w:cs="宋体"/>
                <w:color w:val="auto"/>
                <w:szCs w:val="21"/>
              </w:rPr>
              <w:t>）；（</w:t>
            </w:r>
            <w:r>
              <w:rPr>
                <w:rFonts w:hint="eastAsia" w:ascii="宋体" w:hAnsi="宋体" w:cs="宋体"/>
                <w:b/>
                <w:color w:val="auto"/>
                <w:szCs w:val="21"/>
              </w:rPr>
              <w:t>必须提供，否则响应文件按无效响应处理</w:t>
            </w:r>
            <w:r>
              <w:rPr>
                <w:rFonts w:hint="eastAsia" w:ascii="宋体" w:hAnsi="宋体" w:cs="宋体"/>
                <w:color w:val="auto"/>
                <w:szCs w:val="21"/>
              </w:rPr>
              <w:t>）</w:t>
            </w:r>
          </w:p>
          <w:p w14:paraId="54FA8FC8">
            <w:pPr>
              <w:spacing w:line="360" w:lineRule="exact"/>
              <w:contextualSpacing/>
              <w:jc w:val="left"/>
              <w:rPr>
                <w:rFonts w:ascii="宋体" w:hAnsi="宋体" w:cs="宋体"/>
                <w:color w:val="auto"/>
                <w:szCs w:val="21"/>
              </w:rPr>
            </w:pPr>
            <w:r>
              <w:rPr>
                <w:rFonts w:hint="eastAsia" w:ascii="宋体" w:hAnsi="宋体" w:cs="宋体"/>
                <w:color w:val="auto"/>
                <w:szCs w:val="21"/>
              </w:rPr>
              <w:t>3.供应商依法缴纳社会保障资金的相关材料[</w:t>
            </w:r>
            <w:r>
              <w:rPr>
                <w:rFonts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u w:val="single"/>
              </w:rPr>
              <w:t>6</w:t>
            </w:r>
            <w:r>
              <w:rPr>
                <w:rFonts w:hint="eastAsia" w:ascii="宋体" w:hAnsi="宋体" w:cs="宋体"/>
                <w:color w:val="auto"/>
                <w:szCs w:val="21"/>
                <w:highlight w:val="none"/>
              </w:rPr>
              <w:t>月以来任意1个月的依法缴纳社会保障资金的缴费凭证（</w:t>
            </w:r>
            <w:r>
              <w:rPr>
                <w:rFonts w:hint="eastAsia" w:ascii="宋体" w:hAnsi="宋体"/>
                <w:color w:val="auto"/>
                <w:szCs w:val="21"/>
                <w:highlight w:val="none"/>
              </w:rPr>
              <w:t>如：</w:t>
            </w:r>
            <w:r>
              <w:rPr>
                <w:rFonts w:hint="eastAsia" w:ascii="宋体" w:hAnsi="宋体" w:cs="宋体"/>
                <w:color w:val="auto"/>
                <w:szCs w:val="21"/>
                <w:highlight w:val="none"/>
              </w:rPr>
              <w:t>专用收据、社保部门出具的社会保险缴费证明或者税务部门出具的完税证明）复印件；</w:t>
            </w:r>
            <w:r>
              <w:rPr>
                <w:rFonts w:hint="eastAsia" w:ascii="宋体" w:hAnsi="宋体"/>
                <w:color w:val="auto"/>
                <w:szCs w:val="21"/>
                <w:highlight w:val="none"/>
              </w:rPr>
              <w:t>依法不需要缴纳社会保障资金的，必须提供相应文件证明不需要缴纳社会保障资金。</w:t>
            </w:r>
            <w:r>
              <w:rPr>
                <w:rFonts w:hint="eastAsia" w:ascii="宋体" w:hAnsi="宋体" w:cs="宋体"/>
                <w:color w:val="auto"/>
                <w:szCs w:val="21"/>
                <w:highlight w:val="none"/>
              </w:rPr>
              <w:t>供应商成立不足1个月的，无须提供</w:t>
            </w:r>
            <w:r>
              <w:rPr>
                <w:rFonts w:hint="eastAsia" w:ascii="宋体" w:hAnsi="宋体" w:cs="宋体"/>
                <w:color w:val="auto"/>
                <w:szCs w:val="21"/>
              </w:rPr>
              <w:t>]；（</w:t>
            </w:r>
            <w:r>
              <w:rPr>
                <w:rFonts w:hint="eastAsia" w:ascii="宋体" w:hAnsi="宋体" w:cs="宋体"/>
                <w:b/>
                <w:color w:val="auto"/>
                <w:szCs w:val="21"/>
              </w:rPr>
              <w:t>必须提供，否则响应文件按无效响应处理</w:t>
            </w:r>
            <w:r>
              <w:rPr>
                <w:rFonts w:hint="eastAsia" w:ascii="宋体" w:hAnsi="宋体" w:cs="宋体"/>
                <w:color w:val="auto"/>
                <w:szCs w:val="21"/>
              </w:rPr>
              <w:t>）</w:t>
            </w:r>
          </w:p>
          <w:p w14:paraId="165CB982">
            <w:pPr>
              <w:spacing w:line="360" w:lineRule="exact"/>
              <w:contextualSpacing/>
              <w:jc w:val="left"/>
              <w:rPr>
                <w:rFonts w:ascii="宋体" w:hAnsi="宋体" w:cs="宋体"/>
                <w:b/>
                <w:color w:val="auto"/>
                <w:szCs w:val="21"/>
              </w:rPr>
            </w:pPr>
            <w:r>
              <w:rPr>
                <w:rFonts w:hint="eastAsia" w:ascii="宋体" w:hAnsi="宋体" w:cs="宋体"/>
                <w:color w:val="auto"/>
                <w:szCs w:val="21"/>
              </w:rPr>
              <w:t>4.供应商</w:t>
            </w:r>
            <w:r>
              <w:rPr>
                <w:rFonts w:hint="eastAsia"/>
                <w:color w:val="auto"/>
                <w:szCs w:val="21"/>
              </w:rPr>
              <w:t>财务状况报告</w:t>
            </w:r>
            <w:r>
              <w:rPr>
                <w:rFonts w:hint="eastAsia" w:ascii="宋体" w:hAnsi="宋体" w:cs="宋体"/>
                <w:color w:val="auto"/>
                <w:szCs w:val="21"/>
                <w:highlight w:val="none"/>
              </w:rPr>
              <w:t>[</w:t>
            </w:r>
            <w:r>
              <w:rPr>
                <w:rFonts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5</w:t>
            </w:r>
            <w:r>
              <w:rPr>
                <w:rFonts w:hint="eastAsia" w:ascii="宋体" w:hAnsi="宋体"/>
                <w:color w:val="auto"/>
                <w:szCs w:val="21"/>
                <w:highlight w:val="none"/>
              </w:rPr>
              <w:t>年度的财务报表复印件，或者</w:t>
            </w:r>
            <w:r>
              <w:rPr>
                <w:rFonts w:hint="eastAsia" w:ascii="宋体" w:hAnsi="宋体"/>
                <w:color w:val="auto"/>
                <w:szCs w:val="21"/>
                <w:highlight w:val="none"/>
                <w:u w:val="single"/>
              </w:rPr>
              <w:t>2</w:t>
            </w:r>
            <w:r>
              <w:rPr>
                <w:rFonts w:ascii="宋体" w:hAnsi="宋体"/>
                <w:color w:val="auto"/>
                <w:szCs w:val="21"/>
                <w:highlight w:val="none"/>
                <w:u w:val="single"/>
              </w:rPr>
              <w:t>02</w:t>
            </w:r>
            <w:r>
              <w:rPr>
                <w:rFonts w:hint="eastAsia" w:ascii="宋体" w:hAnsi="宋体"/>
                <w:color w:val="auto"/>
                <w:szCs w:val="21"/>
                <w:highlight w:val="none"/>
                <w:u w:val="single"/>
                <w:lang w:val="en-US" w:eastAsia="zh-CN"/>
              </w:rPr>
              <w:t>6</w:t>
            </w:r>
            <w:r>
              <w:rPr>
                <w:rFonts w:hint="eastAsia" w:ascii="宋体" w:hAnsi="宋体"/>
                <w:color w:val="auto"/>
                <w:szCs w:val="21"/>
                <w:highlight w:val="none"/>
              </w:rPr>
              <w:t>年以来银行出具的资信证明或中国人民银行征信中心出具的信用报告（企业竞标的提供企业信用报告，自然人竞标的提供个人信用报告，供应商属于成立时间</w:t>
            </w:r>
            <w:r>
              <w:rPr>
                <w:rFonts w:hint="eastAsia" w:ascii="宋体" w:hAnsi="宋体"/>
                <w:color w:val="auto"/>
                <w:kern w:val="0"/>
                <w:szCs w:val="21"/>
                <w:highlight w:val="none"/>
              </w:rPr>
              <w:t>在规定年度之后</w:t>
            </w:r>
            <w:r>
              <w:rPr>
                <w:rFonts w:hint="eastAsia" w:ascii="宋体" w:hAnsi="宋体"/>
                <w:color w:val="auto"/>
                <w:szCs w:val="21"/>
                <w:highlight w:val="none"/>
              </w:rPr>
              <w:t>的法人或其他组织，需提供成立之日起至响应文件提交截止时间前的月报表或银行出具的资信证明或者中国人民银行征信中心出具的企业信用报告；资信证明应在有效期内，未注明有效期的，银行出具时间至响应文件提交截止时间不超过一年）</w:t>
            </w:r>
            <w:r>
              <w:rPr>
                <w:rFonts w:hint="eastAsia" w:ascii="宋体" w:hAnsi="宋体" w:cs="宋体"/>
                <w:color w:val="auto"/>
                <w:szCs w:val="21"/>
                <w:highlight w:val="none"/>
              </w:rPr>
              <w:t>]</w:t>
            </w:r>
            <w:r>
              <w:rPr>
                <w:rFonts w:hint="eastAsia" w:ascii="宋体" w:hAnsi="宋体" w:cs="宋体"/>
                <w:color w:val="auto"/>
                <w:szCs w:val="21"/>
              </w:rPr>
              <w:t>；</w:t>
            </w:r>
            <w:r>
              <w:rPr>
                <w:rFonts w:hint="eastAsia" w:ascii="宋体" w:hAnsi="宋体" w:cs="宋体"/>
                <w:bCs/>
                <w:color w:val="auto"/>
                <w:szCs w:val="21"/>
              </w:rPr>
              <w:t>（</w:t>
            </w:r>
            <w:r>
              <w:rPr>
                <w:rFonts w:hint="eastAsia" w:ascii="宋体" w:hAnsi="宋体"/>
                <w:b/>
                <w:color w:val="auto"/>
                <w:szCs w:val="21"/>
              </w:rPr>
              <w:t>必须提供</w:t>
            </w:r>
            <w:r>
              <w:rPr>
                <w:rFonts w:hint="eastAsia" w:ascii="宋体" w:hAnsi="宋体" w:cs="宋体"/>
                <w:b/>
                <w:color w:val="auto"/>
                <w:szCs w:val="21"/>
              </w:rPr>
              <w:t>，否则响应文件按无效响应处理</w:t>
            </w:r>
            <w:r>
              <w:rPr>
                <w:rFonts w:hint="eastAsia" w:ascii="宋体" w:hAnsi="宋体" w:cs="宋体"/>
                <w:bCs/>
                <w:color w:val="auto"/>
                <w:szCs w:val="21"/>
              </w:rPr>
              <w:t>）</w:t>
            </w:r>
          </w:p>
          <w:p w14:paraId="0B98EB6E">
            <w:pPr>
              <w:spacing w:line="360" w:lineRule="auto"/>
              <w:contextualSpacing/>
              <w:jc w:val="left"/>
              <w:rPr>
                <w:rFonts w:ascii="宋体" w:hAnsi="宋体" w:cs="宋体"/>
                <w:color w:val="auto"/>
                <w:szCs w:val="21"/>
                <w:highlight w:val="none"/>
              </w:rPr>
            </w:pPr>
            <w:r>
              <w:rPr>
                <w:rFonts w:ascii="宋体" w:hAnsi="宋体" w:cs="宋体"/>
                <w:color w:val="auto"/>
                <w:szCs w:val="21"/>
                <w:highlight w:val="none"/>
              </w:rPr>
              <w:t>5</w:t>
            </w:r>
            <w:r>
              <w:rPr>
                <w:rFonts w:hint="eastAsia" w:ascii="宋体" w:hAnsi="宋体" w:cs="宋体"/>
                <w:color w:val="auto"/>
                <w:szCs w:val="21"/>
                <w:highlight w:val="none"/>
              </w:rPr>
              <w:t>.供应商直接控股股东信息表（格式后附）；（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2B0A9B7B">
            <w:pPr>
              <w:spacing w:line="360" w:lineRule="auto"/>
              <w:contextualSpacing/>
              <w:jc w:val="left"/>
              <w:rPr>
                <w:rFonts w:ascii="宋体" w:hAnsi="宋体" w:cs="宋体"/>
                <w:color w:val="auto"/>
                <w:szCs w:val="21"/>
                <w:highlight w:val="none"/>
              </w:rPr>
            </w:pPr>
            <w:r>
              <w:rPr>
                <w:rFonts w:ascii="宋体" w:hAnsi="宋体" w:cs="宋体"/>
                <w:color w:val="auto"/>
                <w:szCs w:val="21"/>
                <w:highlight w:val="none"/>
              </w:rPr>
              <w:t>6</w:t>
            </w:r>
            <w:r>
              <w:rPr>
                <w:rFonts w:hint="eastAsia" w:ascii="宋体" w:hAnsi="宋体" w:cs="宋体"/>
                <w:color w:val="auto"/>
                <w:szCs w:val="21"/>
                <w:highlight w:val="none"/>
              </w:rPr>
              <w:t>.供应商直接管理关系信息表（格式后附）；（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74880544">
            <w:pPr>
              <w:snapToGrid w:val="0"/>
              <w:spacing w:line="360" w:lineRule="exact"/>
              <w:jc w:val="left"/>
              <w:rPr>
                <w:rFonts w:ascii="宋体" w:hAnsi="宋体" w:cs="宋体"/>
                <w:color w:val="auto"/>
                <w:szCs w:val="21"/>
              </w:rPr>
            </w:pPr>
            <w:r>
              <w:rPr>
                <w:rFonts w:hint="eastAsia" w:ascii="宋体" w:hAnsi="宋体" w:cs="宋体"/>
                <w:color w:val="auto"/>
                <w:szCs w:val="21"/>
                <w:lang w:val="en-US" w:eastAsia="zh-CN"/>
              </w:rPr>
              <w:t>7</w:t>
            </w:r>
            <w:r>
              <w:rPr>
                <w:rFonts w:hint="eastAsia" w:ascii="宋体" w:hAnsi="宋体" w:cs="宋体"/>
                <w:color w:val="auto"/>
                <w:szCs w:val="21"/>
              </w:rPr>
              <w:t>.竞标声明（格式后附）；（</w:t>
            </w:r>
            <w:r>
              <w:rPr>
                <w:rFonts w:hint="eastAsia" w:ascii="宋体" w:hAnsi="宋体" w:cs="宋体"/>
                <w:b/>
                <w:color w:val="auto"/>
                <w:szCs w:val="21"/>
              </w:rPr>
              <w:t>必须提供，否则响应文件按无效响应处理</w:t>
            </w:r>
            <w:r>
              <w:rPr>
                <w:rFonts w:hint="eastAsia" w:ascii="宋体" w:hAnsi="宋体" w:cs="宋体"/>
                <w:color w:val="auto"/>
                <w:szCs w:val="21"/>
              </w:rPr>
              <w:t>）</w:t>
            </w:r>
          </w:p>
          <w:p w14:paraId="1A260170">
            <w:pPr>
              <w:snapToGrid w:val="0"/>
              <w:spacing w:line="360" w:lineRule="exact"/>
              <w:jc w:val="left"/>
              <w:rPr>
                <w:rFonts w:ascii="宋体" w:hAnsi="宋体" w:cs="宋体"/>
                <w:color w:val="auto"/>
                <w:szCs w:val="21"/>
              </w:rPr>
            </w:pPr>
            <w:r>
              <w:rPr>
                <w:rFonts w:hint="eastAsia" w:ascii="宋体" w:hAnsi="宋体" w:cs="宋体"/>
                <w:color w:val="auto"/>
                <w:szCs w:val="21"/>
                <w:lang w:val="en-US" w:eastAsia="zh-CN"/>
              </w:rPr>
              <w:t>8</w:t>
            </w:r>
            <w:r>
              <w:rPr>
                <w:rFonts w:hint="eastAsia" w:ascii="宋体" w:hAnsi="宋体" w:cs="宋体"/>
                <w:color w:val="auto"/>
                <w:szCs w:val="21"/>
              </w:rPr>
              <w:t>.联合体竞标协议书（格式后附）；（</w:t>
            </w:r>
            <w:r>
              <w:rPr>
                <w:rFonts w:hint="eastAsia" w:ascii="宋体" w:hAnsi="宋体" w:cs="宋体"/>
                <w:b/>
                <w:color w:val="auto"/>
                <w:szCs w:val="21"/>
              </w:rPr>
              <w:t>联合体竞标时必须提供，否则响应文件按无效响应处理</w:t>
            </w:r>
            <w:r>
              <w:rPr>
                <w:rFonts w:hint="eastAsia" w:ascii="宋体" w:hAnsi="宋体" w:cs="宋体"/>
                <w:color w:val="auto"/>
                <w:szCs w:val="21"/>
              </w:rPr>
              <w:t>）</w:t>
            </w:r>
          </w:p>
          <w:p w14:paraId="65B74D10">
            <w:pPr>
              <w:snapToGrid w:val="0"/>
              <w:spacing w:line="360" w:lineRule="exact"/>
              <w:jc w:val="left"/>
              <w:rPr>
                <w:rFonts w:ascii="宋体" w:hAnsi="宋体" w:cs="宋体"/>
                <w:color w:val="auto"/>
                <w:szCs w:val="21"/>
              </w:rPr>
            </w:pPr>
            <w:r>
              <w:rPr>
                <w:rFonts w:hint="eastAsia" w:ascii="宋体" w:hAnsi="宋体" w:cs="宋体"/>
                <w:color w:val="auto"/>
                <w:szCs w:val="21"/>
              </w:rPr>
              <w:t>9.除磋商文件规定必须提供以外，供应商认为需要提供的其他证明材料；</w:t>
            </w:r>
          </w:p>
          <w:p w14:paraId="01F76317">
            <w:pPr>
              <w:snapToGrid w:val="0"/>
              <w:spacing w:line="360" w:lineRule="exact"/>
              <w:jc w:val="left"/>
              <w:rPr>
                <w:rFonts w:ascii="宋体" w:hAnsi="宋体" w:cs="宋体"/>
                <w:b/>
                <w:color w:val="auto"/>
                <w:szCs w:val="21"/>
              </w:rPr>
            </w:pPr>
            <w:r>
              <w:rPr>
                <w:rFonts w:hint="eastAsia" w:ascii="宋体" w:hAnsi="宋体" w:cs="宋体"/>
                <w:b/>
                <w:color w:val="auto"/>
                <w:szCs w:val="21"/>
              </w:rPr>
              <w:t>注：</w:t>
            </w:r>
            <w:r>
              <w:rPr>
                <w:rFonts w:hint="eastAsia" w:ascii="宋体" w:hAnsi="宋体" w:cs="宋体"/>
                <w:b/>
                <w:color w:val="auto"/>
                <w:szCs w:val="21"/>
                <w:highlight w:val="none"/>
              </w:rPr>
              <w:t>以上标明“必须提供”的材料必须加盖供应商</w:t>
            </w:r>
            <w:r>
              <w:rPr>
                <w:rFonts w:hint="eastAsia" w:ascii="宋体" w:hAnsi="宋体"/>
                <w:b/>
                <w:color w:val="auto"/>
                <w:szCs w:val="21"/>
                <w:highlight w:val="none"/>
              </w:rPr>
              <w:t>电子签章</w:t>
            </w:r>
            <w:r>
              <w:rPr>
                <w:rFonts w:hint="eastAsia" w:ascii="宋体" w:hAnsi="宋体" w:cs="宋体"/>
                <w:b/>
                <w:color w:val="auto"/>
                <w:szCs w:val="21"/>
                <w:highlight w:val="none"/>
              </w:rPr>
              <w:t>，必须提供的材料在第五章“响应文件格式”中有要求法定代表人或委托代理人签字的，必须由法定代表人或委托代理人签字（或者电子签名），否则响应文件按无效处理</w:t>
            </w:r>
            <w:r>
              <w:rPr>
                <w:rFonts w:hint="eastAsia" w:ascii="宋体" w:hAnsi="宋体"/>
                <w:b/>
                <w:bCs/>
                <w:color w:val="auto"/>
                <w:szCs w:val="21"/>
              </w:rPr>
              <w:t>。</w:t>
            </w:r>
          </w:p>
        </w:tc>
      </w:tr>
      <w:tr w14:paraId="40737B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6D8C3460">
            <w:pPr>
              <w:spacing w:line="360" w:lineRule="auto"/>
              <w:jc w:val="center"/>
              <w:rPr>
                <w:rFonts w:ascii="宋体" w:hAnsi="宋体" w:cs="宋体"/>
                <w:color w:val="auto"/>
                <w:szCs w:val="21"/>
              </w:rPr>
            </w:pPr>
            <w:r>
              <w:rPr>
                <w:rFonts w:hint="eastAsia" w:ascii="宋体" w:hAnsi="宋体" w:cs="宋体"/>
                <w:color w:val="auto"/>
                <w:szCs w:val="21"/>
              </w:rPr>
              <w:t>12.1.2</w:t>
            </w:r>
          </w:p>
        </w:tc>
        <w:tc>
          <w:tcPr>
            <w:tcW w:w="7912" w:type="dxa"/>
            <w:vAlign w:val="center"/>
          </w:tcPr>
          <w:p w14:paraId="01D58685">
            <w:pPr>
              <w:spacing w:line="360" w:lineRule="exact"/>
              <w:rPr>
                <w:rFonts w:ascii="宋体" w:hAnsi="宋体" w:cs="宋体"/>
                <w:b/>
                <w:color w:val="auto"/>
                <w:szCs w:val="21"/>
              </w:rPr>
            </w:pPr>
            <w:r>
              <w:rPr>
                <w:rFonts w:hint="eastAsia" w:ascii="宋体" w:hAnsi="宋体" w:cs="宋体"/>
                <w:b/>
                <w:color w:val="auto"/>
                <w:szCs w:val="21"/>
              </w:rPr>
              <w:t>报价文件</w:t>
            </w:r>
          </w:p>
          <w:p w14:paraId="41D7B99E">
            <w:pPr>
              <w:spacing w:line="360" w:lineRule="exact"/>
              <w:rPr>
                <w:rFonts w:ascii="宋体" w:hAnsi="宋体" w:cs="宋体"/>
                <w:color w:val="auto"/>
                <w:szCs w:val="21"/>
              </w:rPr>
            </w:pPr>
            <w:r>
              <w:rPr>
                <w:rFonts w:hint="eastAsia" w:ascii="宋体" w:hAnsi="宋体" w:cs="宋体"/>
                <w:color w:val="auto"/>
                <w:szCs w:val="21"/>
              </w:rPr>
              <w:t>1.</w:t>
            </w:r>
            <w:r>
              <w:rPr>
                <w:rFonts w:hint="eastAsia" w:ascii="宋体" w:hAnsi="宋体" w:cs="宋体"/>
                <w:color w:val="auto"/>
                <w:szCs w:val="21"/>
                <w:lang w:eastAsia="zh-CN"/>
              </w:rPr>
              <w:t>磋商报价</w:t>
            </w:r>
            <w:r>
              <w:rPr>
                <w:rFonts w:hint="eastAsia" w:ascii="宋体" w:hAnsi="宋体" w:cs="宋体"/>
                <w:color w:val="auto"/>
                <w:szCs w:val="21"/>
              </w:rPr>
              <w:t>表（格式后附）；（</w:t>
            </w:r>
            <w:r>
              <w:rPr>
                <w:rFonts w:hint="eastAsia" w:ascii="宋体" w:hAnsi="宋体" w:cs="宋体"/>
                <w:b/>
                <w:color w:val="auto"/>
                <w:szCs w:val="21"/>
              </w:rPr>
              <w:t>必须提供，否则响应文件按无效响应处理</w:t>
            </w:r>
            <w:r>
              <w:rPr>
                <w:rFonts w:hint="eastAsia" w:ascii="宋体" w:hAnsi="宋体" w:cs="宋体"/>
                <w:color w:val="auto"/>
                <w:szCs w:val="21"/>
              </w:rPr>
              <w:t>）</w:t>
            </w:r>
          </w:p>
          <w:p w14:paraId="6E9DD2A7">
            <w:pPr>
              <w:spacing w:line="360" w:lineRule="exact"/>
              <w:rPr>
                <w:rFonts w:ascii="宋体" w:hAnsi="宋体" w:cs="宋体"/>
                <w:color w:val="auto"/>
                <w:szCs w:val="21"/>
              </w:rPr>
            </w:pPr>
            <w:r>
              <w:rPr>
                <w:rFonts w:hint="eastAsia" w:ascii="宋体" w:hAnsi="宋体" w:cs="宋体"/>
                <w:color w:val="auto"/>
                <w:szCs w:val="21"/>
              </w:rPr>
              <w:t>2.供应商认为需要提供的其他有关资料。</w:t>
            </w:r>
          </w:p>
          <w:p w14:paraId="74B9E3DE">
            <w:pPr>
              <w:spacing w:line="360" w:lineRule="exact"/>
              <w:rPr>
                <w:rFonts w:ascii="宋体" w:hAnsi="宋体" w:cs="宋体"/>
                <w:color w:val="auto"/>
                <w:szCs w:val="21"/>
              </w:rPr>
            </w:pPr>
            <w:r>
              <w:rPr>
                <w:rFonts w:hint="eastAsia" w:ascii="宋体" w:hAnsi="宋体" w:cs="Courier New"/>
                <w:b/>
                <w:color w:val="auto"/>
                <w:szCs w:val="21"/>
              </w:rPr>
              <w:t>注：以上标明“必须提供”的材料必须加盖供应商电子签章，必须提供的材料在第五章“响应文件格式”中有要求法定代表人或委托代理人签字的，必须由法定代表人或委托代理人签字（或者电子签名），否则响应文件按无效处理。</w:t>
            </w:r>
          </w:p>
        </w:tc>
      </w:tr>
      <w:tr w14:paraId="58E7A7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160CC2B">
            <w:pPr>
              <w:spacing w:line="360" w:lineRule="auto"/>
              <w:jc w:val="center"/>
              <w:rPr>
                <w:rFonts w:ascii="宋体" w:hAnsi="宋体" w:cs="宋体"/>
                <w:color w:val="auto"/>
                <w:szCs w:val="21"/>
              </w:rPr>
            </w:pPr>
            <w:r>
              <w:rPr>
                <w:rFonts w:hint="eastAsia" w:ascii="宋体" w:hAnsi="宋体" w:cs="宋体"/>
                <w:color w:val="auto"/>
                <w:szCs w:val="21"/>
              </w:rPr>
              <w:t>12.</w:t>
            </w:r>
            <w:r>
              <w:rPr>
                <w:rFonts w:ascii="宋体" w:hAnsi="宋体" w:cs="宋体"/>
                <w:color w:val="auto"/>
                <w:szCs w:val="21"/>
              </w:rPr>
              <w:t>1</w:t>
            </w:r>
            <w:r>
              <w:rPr>
                <w:rFonts w:hint="eastAsia" w:ascii="宋体" w:hAnsi="宋体" w:cs="宋体"/>
                <w:color w:val="auto"/>
                <w:szCs w:val="21"/>
              </w:rPr>
              <w:t>.3</w:t>
            </w:r>
          </w:p>
        </w:tc>
        <w:tc>
          <w:tcPr>
            <w:tcW w:w="7912" w:type="dxa"/>
            <w:vAlign w:val="center"/>
          </w:tcPr>
          <w:p w14:paraId="7D8B7A83">
            <w:pPr>
              <w:spacing w:line="360" w:lineRule="exact"/>
              <w:rPr>
                <w:rFonts w:ascii="宋体" w:hAnsi="宋体" w:cs="宋体"/>
                <w:b/>
                <w:bCs/>
                <w:color w:val="auto"/>
                <w:szCs w:val="21"/>
              </w:rPr>
            </w:pPr>
            <w:r>
              <w:rPr>
                <w:rFonts w:hint="eastAsia" w:ascii="宋体" w:hAnsi="宋体" w:cs="宋体"/>
                <w:b/>
                <w:bCs/>
                <w:color w:val="auto"/>
                <w:szCs w:val="21"/>
              </w:rPr>
              <w:t>商务技术文件</w:t>
            </w:r>
          </w:p>
          <w:p w14:paraId="34388A82">
            <w:pPr>
              <w:spacing w:line="360" w:lineRule="exact"/>
              <w:rPr>
                <w:rFonts w:ascii="宋体" w:hAnsi="宋体" w:cs="宋体"/>
                <w:color w:val="auto"/>
                <w:szCs w:val="21"/>
              </w:rPr>
            </w:pPr>
            <w:r>
              <w:rPr>
                <w:rFonts w:hint="eastAsia" w:ascii="宋体" w:hAnsi="宋体" w:cs="宋体"/>
                <w:color w:val="auto"/>
                <w:szCs w:val="21"/>
              </w:rPr>
              <w:t>1.无串通竞标行为的承诺函（格式后附）；（</w:t>
            </w:r>
            <w:r>
              <w:rPr>
                <w:rFonts w:hint="eastAsia" w:ascii="宋体" w:hAnsi="宋体" w:cs="宋体"/>
                <w:b/>
                <w:color w:val="auto"/>
                <w:szCs w:val="21"/>
              </w:rPr>
              <w:t>必须提供，否则响应文件按无效响应处理</w:t>
            </w:r>
            <w:r>
              <w:rPr>
                <w:rFonts w:hint="eastAsia" w:ascii="宋体" w:hAnsi="宋体" w:cs="宋体"/>
                <w:color w:val="auto"/>
                <w:szCs w:val="21"/>
              </w:rPr>
              <w:t>）</w:t>
            </w:r>
          </w:p>
          <w:p w14:paraId="06ACD1D0">
            <w:pPr>
              <w:snapToGrid w:val="0"/>
              <w:spacing w:line="360" w:lineRule="exact"/>
              <w:jc w:val="left"/>
              <w:rPr>
                <w:rFonts w:ascii="宋体" w:hAnsi="宋体" w:cs="宋体"/>
                <w:color w:val="auto"/>
                <w:szCs w:val="21"/>
              </w:rPr>
            </w:pPr>
            <w:r>
              <w:rPr>
                <w:rFonts w:hint="eastAsia" w:ascii="宋体" w:hAnsi="宋体" w:cs="宋体"/>
                <w:color w:val="auto"/>
                <w:szCs w:val="21"/>
              </w:rPr>
              <w:t>2.法定代表人身份证明书及法定代表人有效身份证正反面复印件（格式后附）；（</w:t>
            </w:r>
            <w:r>
              <w:rPr>
                <w:rFonts w:hint="eastAsia" w:ascii="宋体" w:hAnsi="宋体" w:cs="宋体"/>
                <w:b/>
                <w:bCs/>
                <w:color w:val="auto"/>
                <w:szCs w:val="21"/>
              </w:rPr>
              <w:t>除自然人竞标外</w:t>
            </w:r>
            <w:r>
              <w:rPr>
                <w:rFonts w:hint="eastAsia" w:ascii="宋体" w:hAnsi="宋体" w:cs="宋体"/>
                <w:b/>
                <w:color w:val="auto"/>
                <w:szCs w:val="21"/>
              </w:rPr>
              <w:t>必须提供，否则响应文件按无效响应处理</w:t>
            </w:r>
            <w:r>
              <w:rPr>
                <w:rFonts w:hint="eastAsia" w:ascii="宋体" w:hAnsi="宋体" w:cs="宋体"/>
                <w:color w:val="auto"/>
                <w:szCs w:val="21"/>
              </w:rPr>
              <w:t>）</w:t>
            </w:r>
          </w:p>
          <w:p w14:paraId="0B3544D0">
            <w:pPr>
              <w:spacing w:line="360" w:lineRule="exact"/>
              <w:rPr>
                <w:rFonts w:hint="eastAsia" w:ascii="宋体" w:hAnsi="宋体" w:cs="宋体"/>
                <w:color w:val="auto"/>
                <w:szCs w:val="21"/>
              </w:rPr>
            </w:pPr>
            <w:r>
              <w:rPr>
                <w:rFonts w:hint="eastAsia" w:ascii="宋体" w:hAnsi="宋体" w:cs="宋体"/>
                <w:color w:val="auto"/>
                <w:szCs w:val="21"/>
              </w:rPr>
              <w:t>3.授权委托书及委托代理人有效身份证正反面复印件（格式后附）；（</w:t>
            </w:r>
            <w:r>
              <w:rPr>
                <w:rFonts w:hint="eastAsia" w:ascii="宋体" w:hAnsi="宋体" w:cs="宋体"/>
                <w:b/>
                <w:color w:val="auto"/>
                <w:szCs w:val="21"/>
              </w:rPr>
              <w:t>委托时必须提供，否则响应文件按无效响应处理</w:t>
            </w:r>
            <w:r>
              <w:rPr>
                <w:rFonts w:hint="eastAsia" w:ascii="宋体" w:hAnsi="宋体" w:cs="宋体"/>
                <w:color w:val="auto"/>
                <w:szCs w:val="21"/>
              </w:rPr>
              <w:t>）</w:t>
            </w:r>
          </w:p>
          <w:p w14:paraId="5D09D0D4">
            <w:pPr>
              <w:spacing w:line="360" w:lineRule="exact"/>
              <w:rPr>
                <w:rFonts w:hint="default" w:ascii="宋体" w:hAnsi="宋体" w:eastAsia="宋体" w:cs="宋体"/>
                <w:color w:val="auto"/>
                <w:szCs w:val="21"/>
                <w:lang w:val="en-US" w:eastAsia="zh-CN"/>
              </w:rPr>
            </w:pPr>
            <w:r>
              <w:rPr>
                <w:rFonts w:hint="eastAsia" w:ascii="宋体" w:hAnsi="宋体" w:cs="宋体"/>
                <w:color w:val="auto"/>
                <w:szCs w:val="21"/>
                <w:lang w:val="en-US" w:eastAsia="zh-CN"/>
              </w:rPr>
              <w:t>4.</w:t>
            </w:r>
            <w:r>
              <w:rPr>
                <w:rFonts w:hint="eastAsia" w:ascii="宋体" w:hAnsi="宋体" w:cs="宋体"/>
                <w:color w:val="auto"/>
                <w:szCs w:val="21"/>
                <w:highlight w:val="none"/>
              </w:rPr>
              <w:t>服务内容及要求响应表（格式后附）；（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2B659B14">
            <w:pPr>
              <w:spacing w:line="360" w:lineRule="exact"/>
              <w:rPr>
                <w:rFonts w:ascii="宋体" w:hAnsi="宋体" w:cs="宋体"/>
                <w:color w:val="auto"/>
                <w:szCs w:val="21"/>
              </w:rPr>
            </w:pPr>
            <w:r>
              <w:rPr>
                <w:rFonts w:hint="eastAsia" w:ascii="宋体" w:hAnsi="宋体" w:cs="宋体"/>
                <w:color w:val="auto"/>
                <w:szCs w:val="21"/>
                <w:lang w:val="en-US" w:eastAsia="zh-CN"/>
              </w:rPr>
              <w:t>5</w:t>
            </w:r>
            <w:r>
              <w:rPr>
                <w:rFonts w:hint="eastAsia" w:ascii="宋体" w:hAnsi="宋体" w:cs="宋体"/>
                <w:color w:val="auto"/>
                <w:szCs w:val="21"/>
              </w:rPr>
              <w:t>.</w:t>
            </w:r>
            <w:r>
              <w:rPr>
                <w:rFonts w:hint="eastAsia" w:ascii="宋体" w:hAnsi="宋体" w:cs="宋体"/>
                <w:color w:val="auto"/>
                <w:szCs w:val="21"/>
                <w:highlight w:val="none"/>
              </w:rPr>
              <w:t>商务要求响应表（格式后附）；（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2FA92023">
            <w:pPr>
              <w:spacing w:line="360" w:lineRule="exact"/>
              <w:rPr>
                <w:rFonts w:ascii="宋体" w:hAnsi="宋体" w:cs="宋体"/>
                <w:color w:val="auto"/>
                <w:szCs w:val="21"/>
              </w:rPr>
            </w:pPr>
            <w:r>
              <w:rPr>
                <w:rFonts w:hint="eastAsia" w:ascii="宋体" w:hAnsi="宋体" w:cs="宋体"/>
                <w:color w:val="auto"/>
                <w:szCs w:val="21"/>
              </w:rPr>
              <w:t>6.</w:t>
            </w:r>
            <w:r>
              <w:rPr>
                <w:rFonts w:hint="eastAsia" w:ascii="宋体" w:hAnsi="宋体"/>
                <w:color w:val="auto"/>
                <w:szCs w:val="21"/>
                <w:highlight w:val="none"/>
              </w:rPr>
              <w:t>服务方案，包括但不限于服务措施、技术实施、项目计划等</w:t>
            </w:r>
            <w:r>
              <w:rPr>
                <w:rFonts w:hint="eastAsia" w:ascii="宋体" w:hAnsi="宋体" w:cs="宋体"/>
                <w:color w:val="auto"/>
                <w:szCs w:val="21"/>
                <w:highlight w:val="none"/>
              </w:rPr>
              <w:t>（格式后附）</w:t>
            </w:r>
          </w:p>
          <w:p w14:paraId="09A5F60F">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7</w:t>
            </w:r>
            <w:r>
              <w:rPr>
                <w:rFonts w:ascii="宋体" w:hAnsi="宋体" w:cs="宋体"/>
                <w:color w:val="auto"/>
                <w:szCs w:val="21"/>
                <w:highlight w:val="none"/>
              </w:rPr>
              <w:t>.</w:t>
            </w:r>
            <w:r>
              <w:rPr>
                <w:rFonts w:hint="eastAsia" w:ascii="宋体" w:hAnsi="宋体"/>
                <w:color w:val="auto"/>
                <w:szCs w:val="21"/>
                <w:highlight w:val="none"/>
              </w:rPr>
              <w:t>项目配置方案，包括但不限于组织机构、人员配置、服务配置等</w:t>
            </w:r>
            <w:r>
              <w:rPr>
                <w:rFonts w:hint="eastAsia" w:ascii="宋体" w:hAnsi="宋体" w:cs="宋体"/>
                <w:color w:val="auto"/>
                <w:szCs w:val="21"/>
                <w:highlight w:val="none"/>
              </w:rPr>
              <w:t xml:space="preserve">（格式后附）； </w:t>
            </w:r>
          </w:p>
          <w:p w14:paraId="755CFC3F">
            <w:pPr>
              <w:spacing w:line="360" w:lineRule="auto"/>
              <w:rPr>
                <w:rFonts w:ascii="宋体" w:hAnsi="宋体" w:cs="宋体"/>
                <w:bCs/>
                <w:color w:val="auto"/>
                <w:szCs w:val="21"/>
                <w:highlight w:val="none"/>
              </w:rPr>
            </w:pPr>
            <w:r>
              <w:rPr>
                <w:rFonts w:hint="eastAsia" w:ascii="宋体" w:hAnsi="宋体" w:cs="宋体"/>
                <w:bCs/>
                <w:color w:val="auto"/>
                <w:szCs w:val="21"/>
                <w:highlight w:val="none"/>
                <w:lang w:val="en-US" w:eastAsia="zh-CN"/>
              </w:rPr>
              <w:t>8</w:t>
            </w:r>
            <w:r>
              <w:rPr>
                <w:rFonts w:hint="eastAsia" w:ascii="宋体" w:hAnsi="宋体" w:cs="宋体"/>
                <w:bCs/>
                <w:color w:val="auto"/>
                <w:szCs w:val="21"/>
                <w:highlight w:val="none"/>
              </w:rPr>
              <w:t>.</w:t>
            </w:r>
            <w:r>
              <w:rPr>
                <w:rFonts w:hint="eastAsia" w:ascii="宋体" w:hAnsi="宋体"/>
                <w:color w:val="auto"/>
                <w:szCs w:val="21"/>
                <w:highlight w:val="none"/>
              </w:rPr>
              <w:t>备品备件方案，包括但不限于备品备件完整度、备件调配实施能力等</w:t>
            </w:r>
            <w:r>
              <w:rPr>
                <w:rFonts w:hint="eastAsia" w:ascii="宋体" w:hAnsi="宋体" w:cs="宋体"/>
                <w:color w:val="auto"/>
                <w:szCs w:val="21"/>
                <w:highlight w:val="none"/>
              </w:rPr>
              <w:t>（格式后附）；</w:t>
            </w:r>
          </w:p>
          <w:p w14:paraId="1DC2A9B2">
            <w:pPr>
              <w:spacing w:line="360" w:lineRule="auto"/>
              <w:rPr>
                <w:rFonts w:hint="eastAsia" w:ascii="宋体" w:hAnsi="宋体" w:cs="宋体"/>
                <w:color w:val="auto"/>
                <w:szCs w:val="21"/>
                <w:highlight w:val="none"/>
              </w:rPr>
            </w:pPr>
            <w:r>
              <w:rPr>
                <w:rFonts w:hint="eastAsia" w:ascii="宋体" w:hAnsi="宋体"/>
                <w:color w:val="auto"/>
                <w:szCs w:val="21"/>
                <w:highlight w:val="none"/>
                <w:lang w:val="en-US" w:eastAsia="zh-CN"/>
              </w:rPr>
              <w:t>9</w:t>
            </w:r>
            <w:r>
              <w:rPr>
                <w:rFonts w:hint="eastAsia" w:ascii="宋体" w:hAnsi="宋体"/>
                <w:color w:val="auto"/>
                <w:szCs w:val="21"/>
                <w:highlight w:val="none"/>
              </w:rPr>
              <w:t>.应急服务方案，包括但不限于应急服务措施、突发事件应急处理等</w:t>
            </w:r>
            <w:r>
              <w:rPr>
                <w:rFonts w:hint="eastAsia" w:ascii="宋体" w:hAnsi="宋体" w:cs="宋体"/>
                <w:color w:val="auto"/>
                <w:szCs w:val="21"/>
                <w:highlight w:val="none"/>
              </w:rPr>
              <w:t>（格式后附）；</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.对应采购需求的服务内容及要求、商务要求提供的其他文件资料（格式自拟）；</w:t>
            </w:r>
          </w:p>
          <w:p w14:paraId="4147D2E6">
            <w:pPr>
              <w:spacing w:line="360" w:lineRule="auto"/>
              <w:rPr>
                <w:rFonts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lang w:val="en-US" w:eastAsia="zh-CN"/>
              </w:rPr>
              <w:t>1</w:t>
            </w:r>
            <w:r>
              <w:rPr>
                <w:rFonts w:ascii="宋体" w:hAnsi="宋体" w:cs="宋体"/>
                <w:color w:val="auto"/>
                <w:szCs w:val="21"/>
                <w:highlight w:val="none"/>
              </w:rPr>
              <w:t>.</w:t>
            </w:r>
            <w:r>
              <w:rPr>
                <w:rFonts w:hint="eastAsia" w:ascii="宋体" w:hAnsi="宋体" w:cs="宋体"/>
                <w:color w:val="auto"/>
                <w:szCs w:val="21"/>
                <w:highlight w:val="none"/>
              </w:rPr>
              <w:t>供应商认为需要提供的其他有关资料。</w:t>
            </w:r>
          </w:p>
          <w:p w14:paraId="1647EBED">
            <w:pPr>
              <w:snapToGrid w:val="0"/>
              <w:spacing w:line="360" w:lineRule="exact"/>
              <w:jc w:val="left"/>
              <w:rPr>
                <w:rFonts w:ascii="宋体" w:hAnsi="宋体" w:cs="宋体"/>
                <w:b/>
                <w:color w:val="auto"/>
                <w:szCs w:val="21"/>
              </w:rPr>
            </w:pPr>
            <w:r>
              <w:rPr>
                <w:rFonts w:hint="eastAsia" w:ascii="宋体" w:hAnsi="宋体" w:cs="宋体"/>
                <w:b/>
                <w:color w:val="auto"/>
                <w:szCs w:val="21"/>
                <w:highlight w:val="none"/>
              </w:rPr>
              <w:t>注：以上标明“必须提供”的材料必须加盖供应商电子签章，必须提供的材料在第五章“响应文件格式”中有要求法定代表人或委托代理人签字的，必须由法定代表人或委托代理人签字（或者电子签名），否则响应文件按无效处理。</w:t>
            </w:r>
          </w:p>
        </w:tc>
      </w:tr>
      <w:tr w14:paraId="18F29C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013C2734">
            <w:pPr>
              <w:spacing w:line="360" w:lineRule="auto"/>
              <w:jc w:val="center"/>
              <w:rPr>
                <w:rFonts w:ascii="宋体" w:hAnsi="宋体" w:cs="宋体"/>
                <w:color w:val="auto"/>
                <w:szCs w:val="21"/>
              </w:rPr>
            </w:pPr>
            <w:r>
              <w:rPr>
                <w:rFonts w:hint="eastAsia" w:ascii="宋体" w:hAnsi="宋体" w:cs="宋体"/>
                <w:color w:val="auto"/>
                <w:szCs w:val="21"/>
              </w:rPr>
              <w:t>15.2</w:t>
            </w:r>
          </w:p>
        </w:tc>
        <w:tc>
          <w:tcPr>
            <w:tcW w:w="7912" w:type="dxa"/>
            <w:vAlign w:val="center"/>
          </w:tcPr>
          <w:p w14:paraId="22AEFF20">
            <w:pPr>
              <w:spacing w:line="360" w:lineRule="exact"/>
              <w:contextualSpacing/>
              <w:jc w:val="left"/>
              <w:rPr>
                <w:rFonts w:ascii="宋体" w:hAnsi="宋体"/>
                <w:b/>
                <w:color w:val="auto"/>
                <w:szCs w:val="21"/>
              </w:rPr>
            </w:pPr>
            <w:r>
              <w:rPr>
                <w:rFonts w:hint="eastAsia" w:ascii="宋体" w:hAnsi="宋体"/>
                <w:color w:val="auto"/>
                <w:szCs w:val="21"/>
                <w:lang w:eastAsia="zh-CN"/>
              </w:rPr>
              <w:t>磋商报价</w:t>
            </w:r>
            <w:r>
              <w:rPr>
                <w:rFonts w:hint="eastAsia" w:ascii="宋体" w:hAnsi="宋体"/>
                <w:color w:val="auto"/>
                <w:szCs w:val="21"/>
              </w:rPr>
              <w:t>是履行合同的最终价格，</w:t>
            </w:r>
            <w:r>
              <w:rPr>
                <w:rFonts w:hint="eastAsia" w:ascii="宋体" w:hAnsi="宋体" w:cs="宋体"/>
                <w:color w:val="auto"/>
                <w:szCs w:val="21"/>
                <w:highlight w:val="none"/>
              </w:rPr>
              <w:t>报价应全面包含服务费用、零配件及耗材、备品备件、标准附件、专用工具、每次上门维修服务工程师的人工费、差旅费、交通费，以及安装、调试、技术支持、检测检验、必要的保险费用、各项税费，同时还应包括本文件未具体列明但供应商认为必需的所有其他费用。对于本文件中未列明，而供应商认为必需的费用，也必须列入总报价中。在合同执行阶段，采购人将不予承担供应商未列入报价的任何项目费用，并视为该费用已包含在供应商提供的总报价内</w:t>
            </w:r>
            <w:r>
              <w:rPr>
                <w:rFonts w:hint="eastAsia" w:ascii="宋体" w:hAnsi="宋体"/>
                <w:color w:val="auto"/>
                <w:szCs w:val="21"/>
              </w:rPr>
              <w:t>。</w:t>
            </w:r>
          </w:p>
        </w:tc>
      </w:tr>
      <w:tr w14:paraId="45D78B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DD2005A">
            <w:pPr>
              <w:spacing w:line="360" w:lineRule="auto"/>
              <w:jc w:val="center"/>
              <w:rPr>
                <w:rFonts w:ascii="宋体" w:hAnsi="宋体" w:cs="宋体"/>
                <w:color w:val="auto"/>
                <w:szCs w:val="21"/>
              </w:rPr>
            </w:pPr>
            <w:r>
              <w:rPr>
                <w:rFonts w:hint="eastAsia" w:ascii="宋体" w:hAnsi="宋体" w:cs="宋体"/>
                <w:color w:val="auto"/>
                <w:szCs w:val="21"/>
              </w:rPr>
              <w:t>16.</w:t>
            </w:r>
            <w:r>
              <w:rPr>
                <w:rFonts w:ascii="宋体" w:hAnsi="宋体" w:cs="宋体"/>
                <w:color w:val="auto"/>
                <w:szCs w:val="21"/>
              </w:rPr>
              <w:t>2</w:t>
            </w:r>
          </w:p>
        </w:tc>
        <w:tc>
          <w:tcPr>
            <w:tcW w:w="7912" w:type="dxa"/>
            <w:vAlign w:val="center"/>
          </w:tcPr>
          <w:p w14:paraId="15A570F2">
            <w:pPr>
              <w:pStyle w:val="12"/>
              <w:widowControl w:val="0"/>
              <w:tabs>
                <w:tab w:val="clear" w:pos="454"/>
              </w:tabs>
              <w:snapToGrid w:val="0"/>
              <w:spacing w:afterLines="0" w:line="360" w:lineRule="exact"/>
              <w:ind w:left="283" w:hanging="283" w:hangingChars="135"/>
              <w:rPr>
                <w:rFonts w:ascii="宋体" w:hAnsi="宋体" w:cs="宋体"/>
                <w:color w:val="auto"/>
                <w:kern w:val="2"/>
                <w:sz w:val="21"/>
                <w:szCs w:val="21"/>
              </w:rPr>
            </w:pPr>
            <w:r>
              <w:rPr>
                <w:rFonts w:hint="eastAsia" w:ascii="宋体" w:hAnsi="宋体" w:cs="宋体"/>
                <w:color w:val="auto"/>
                <w:kern w:val="2"/>
                <w:sz w:val="21"/>
                <w:szCs w:val="21"/>
              </w:rPr>
              <w:t>竞标有效期：自首次响应文件提交截止之日起</w:t>
            </w:r>
            <w:r>
              <w:rPr>
                <w:rFonts w:hint="eastAsia" w:ascii="宋体" w:hAnsi="宋体" w:cs="宋体"/>
                <w:color w:val="auto"/>
                <w:kern w:val="2"/>
                <w:sz w:val="21"/>
                <w:szCs w:val="21"/>
                <w:u w:val="single"/>
                <w:lang w:val="en-US" w:eastAsia="zh-CN"/>
              </w:rPr>
              <w:t>9</w:t>
            </w:r>
            <w:r>
              <w:rPr>
                <w:rFonts w:ascii="宋体" w:hAnsi="宋体" w:cs="宋体"/>
                <w:color w:val="auto"/>
                <w:kern w:val="2"/>
                <w:sz w:val="21"/>
                <w:szCs w:val="21"/>
                <w:u w:val="single"/>
              </w:rPr>
              <w:t>0</w:t>
            </w:r>
            <w:r>
              <w:rPr>
                <w:rFonts w:hint="eastAsia" w:ascii="宋体" w:hAnsi="宋体" w:cs="宋体"/>
                <w:color w:val="auto"/>
                <w:kern w:val="2"/>
                <w:sz w:val="21"/>
                <w:szCs w:val="21"/>
              </w:rPr>
              <w:t>日。</w:t>
            </w:r>
          </w:p>
        </w:tc>
      </w:tr>
      <w:tr w14:paraId="6777E9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649D2738">
            <w:pPr>
              <w:spacing w:line="360" w:lineRule="auto"/>
              <w:jc w:val="center"/>
              <w:rPr>
                <w:rFonts w:ascii="宋体" w:hAnsi="宋体" w:cs="宋体"/>
                <w:color w:val="auto"/>
                <w:szCs w:val="21"/>
              </w:rPr>
            </w:pPr>
            <w:r>
              <w:rPr>
                <w:rFonts w:hint="eastAsia" w:ascii="宋体" w:hAnsi="宋体" w:cs="宋体"/>
                <w:color w:val="auto"/>
                <w:szCs w:val="21"/>
              </w:rPr>
              <w:t>17.1</w:t>
            </w:r>
          </w:p>
        </w:tc>
        <w:tc>
          <w:tcPr>
            <w:tcW w:w="7912" w:type="dxa"/>
            <w:vAlign w:val="center"/>
          </w:tcPr>
          <w:p w14:paraId="5AA0062F">
            <w:pPr>
              <w:autoSpaceDE w:val="0"/>
              <w:autoSpaceDN w:val="0"/>
              <w:snapToGrid w:val="0"/>
              <w:spacing w:line="360" w:lineRule="exact"/>
              <w:rPr>
                <w:rFonts w:ascii="宋体" w:hAnsi="宋体" w:cs="宋体"/>
                <w:color w:val="auto"/>
                <w:szCs w:val="21"/>
              </w:rPr>
            </w:pPr>
            <w:r>
              <w:rPr>
                <w:rFonts w:hint="eastAsia" w:ascii="宋体" w:hAnsi="宋体"/>
                <w:color w:val="auto"/>
                <w:szCs w:val="21"/>
              </w:rPr>
              <w:t>本项目不收取磋商保证金。</w:t>
            </w:r>
          </w:p>
        </w:tc>
      </w:tr>
      <w:tr w14:paraId="72591E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589240C0">
            <w:pPr>
              <w:spacing w:line="360" w:lineRule="auto"/>
              <w:jc w:val="center"/>
              <w:rPr>
                <w:rFonts w:ascii="宋体" w:hAnsi="宋体" w:cs="宋体"/>
                <w:color w:val="auto"/>
                <w:szCs w:val="21"/>
              </w:rPr>
            </w:pPr>
            <w:r>
              <w:rPr>
                <w:rFonts w:ascii="宋体" w:hAnsi="宋体" w:cs="宋体"/>
                <w:color w:val="auto"/>
                <w:szCs w:val="21"/>
              </w:rPr>
              <w:t>19</w:t>
            </w:r>
          </w:p>
        </w:tc>
        <w:tc>
          <w:tcPr>
            <w:tcW w:w="7912" w:type="dxa"/>
            <w:vAlign w:val="center"/>
          </w:tcPr>
          <w:p w14:paraId="41AE8222">
            <w:pPr>
              <w:spacing w:line="360" w:lineRule="exact"/>
              <w:rPr>
                <w:rFonts w:ascii="宋体" w:hAnsi="宋体" w:cs="宋体"/>
                <w:color w:val="auto"/>
                <w:szCs w:val="21"/>
              </w:rPr>
            </w:pPr>
            <w:r>
              <w:rPr>
                <w:rFonts w:hint="eastAsia" w:ascii="宋体" w:hAnsi="宋体"/>
                <w:color w:val="auto"/>
                <w:szCs w:val="21"/>
              </w:rPr>
              <w:t>本项目不接受</w:t>
            </w:r>
            <w:r>
              <w:rPr>
                <w:rFonts w:hint="eastAsia"/>
                <w:color w:val="auto"/>
              </w:rPr>
              <w:t>电子</w:t>
            </w:r>
            <w:r>
              <w:rPr>
                <w:rFonts w:hint="eastAsia" w:ascii="宋体" w:hAnsi="宋体"/>
                <w:color w:val="auto"/>
                <w:szCs w:val="21"/>
              </w:rPr>
              <w:t>备份响应文件。</w:t>
            </w:r>
          </w:p>
        </w:tc>
      </w:tr>
      <w:tr w14:paraId="0BB453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9396B0A">
            <w:pPr>
              <w:spacing w:line="360" w:lineRule="auto"/>
              <w:jc w:val="center"/>
              <w:rPr>
                <w:rFonts w:ascii="宋体" w:hAnsi="宋体" w:cs="宋体"/>
                <w:color w:val="auto"/>
                <w:szCs w:val="21"/>
              </w:rPr>
            </w:pPr>
            <w:r>
              <w:rPr>
                <w:rFonts w:hint="eastAsia" w:ascii="宋体" w:hAnsi="宋体" w:cs="宋体"/>
                <w:color w:val="auto"/>
                <w:szCs w:val="21"/>
              </w:rPr>
              <w:t>20.1</w:t>
            </w:r>
          </w:p>
        </w:tc>
        <w:tc>
          <w:tcPr>
            <w:tcW w:w="7912" w:type="dxa"/>
            <w:vAlign w:val="center"/>
          </w:tcPr>
          <w:p w14:paraId="0508444E">
            <w:pPr>
              <w:spacing w:line="360" w:lineRule="exact"/>
              <w:contextualSpacing/>
              <w:jc w:val="left"/>
              <w:rPr>
                <w:rFonts w:ascii="宋体" w:hAnsi="宋体" w:cs="宋体"/>
                <w:color w:val="auto"/>
                <w:szCs w:val="21"/>
                <w:u w:val="single"/>
              </w:rPr>
            </w:pPr>
            <w:r>
              <w:rPr>
                <w:rFonts w:hint="eastAsia" w:ascii="宋体" w:hAnsi="宋体" w:cs="宋体"/>
                <w:color w:val="auto"/>
                <w:szCs w:val="21"/>
              </w:rPr>
              <w:t>响应文件提交截止时间：详见竞争性磋商公告。</w:t>
            </w:r>
          </w:p>
          <w:p w14:paraId="6D1968E6">
            <w:pPr>
              <w:spacing w:line="360" w:lineRule="exact"/>
              <w:contextualSpacing/>
              <w:jc w:val="left"/>
              <w:rPr>
                <w:rFonts w:ascii="宋体" w:hAnsi="宋体" w:cs="宋体"/>
                <w:color w:val="auto"/>
                <w:szCs w:val="21"/>
              </w:rPr>
            </w:pPr>
            <w:r>
              <w:rPr>
                <w:rFonts w:hint="eastAsia" w:ascii="宋体" w:hAnsi="宋体" w:cs="宋体"/>
                <w:color w:val="auto"/>
                <w:szCs w:val="21"/>
              </w:rPr>
              <w:t>响应文件提交地点：详见竞争性磋商公告。</w:t>
            </w:r>
          </w:p>
        </w:tc>
      </w:tr>
      <w:tr w14:paraId="75226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088BA58C">
            <w:pPr>
              <w:spacing w:line="360" w:lineRule="auto"/>
              <w:jc w:val="center"/>
              <w:rPr>
                <w:rFonts w:ascii="宋体" w:hAnsi="宋体" w:cs="宋体"/>
                <w:color w:val="auto"/>
                <w:szCs w:val="21"/>
              </w:rPr>
            </w:pPr>
            <w:r>
              <w:rPr>
                <w:rFonts w:hint="eastAsia" w:ascii="宋体" w:hAnsi="宋体" w:cs="宋体"/>
                <w:color w:val="auto"/>
                <w:szCs w:val="21"/>
              </w:rPr>
              <w:t>24.1</w:t>
            </w:r>
          </w:p>
        </w:tc>
        <w:tc>
          <w:tcPr>
            <w:tcW w:w="7912" w:type="dxa"/>
            <w:vAlign w:val="center"/>
          </w:tcPr>
          <w:p w14:paraId="03F29FAC">
            <w:pPr>
              <w:snapToGrid w:val="0"/>
              <w:spacing w:line="360" w:lineRule="exact"/>
              <w:jc w:val="left"/>
              <w:rPr>
                <w:rFonts w:ascii="宋体" w:hAnsi="宋体" w:cs="宋体"/>
                <w:color w:val="auto"/>
                <w:szCs w:val="21"/>
                <w:u w:val="single"/>
              </w:rPr>
            </w:pPr>
            <w:r>
              <w:rPr>
                <w:rFonts w:hint="eastAsia" w:ascii="宋体" w:hAnsi="宋体" w:cs="宋体"/>
                <w:color w:val="auto"/>
                <w:szCs w:val="21"/>
              </w:rPr>
              <w:t>磋商小组的人数：</w:t>
            </w:r>
            <w:r>
              <w:rPr>
                <w:rFonts w:ascii="宋体" w:hAnsi="宋体" w:cs="宋体"/>
                <w:color w:val="auto"/>
                <w:szCs w:val="21"/>
                <w:u w:val="single"/>
              </w:rPr>
              <w:t>3</w:t>
            </w:r>
            <w:r>
              <w:rPr>
                <w:rFonts w:hint="eastAsia" w:ascii="宋体" w:hAnsi="宋体" w:cs="宋体"/>
                <w:color w:val="auto"/>
                <w:szCs w:val="21"/>
              </w:rPr>
              <w:t>人。</w:t>
            </w:r>
          </w:p>
        </w:tc>
      </w:tr>
      <w:tr w14:paraId="5875D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1CD648C8">
            <w:pPr>
              <w:spacing w:line="360" w:lineRule="auto"/>
              <w:jc w:val="center"/>
              <w:rPr>
                <w:rFonts w:ascii="宋体" w:hAnsi="宋体" w:cs="宋体"/>
                <w:color w:val="auto"/>
                <w:szCs w:val="21"/>
              </w:rPr>
            </w:pPr>
            <w:r>
              <w:rPr>
                <w:rFonts w:hint="eastAsia" w:ascii="宋体" w:hAnsi="宋体" w:cs="宋体"/>
                <w:color w:val="auto"/>
                <w:szCs w:val="21"/>
              </w:rPr>
              <w:t>2</w:t>
            </w:r>
            <w:r>
              <w:rPr>
                <w:rFonts w:ascii="宋体" w:hAnsi="宋体" w:cs="宋体"/>
                <w:color w:val="auto"/>
                <w:szCs w:val="21"/>
              </w:rPr>
              <w:t>5</w:t>
            </w:r>
          </w:p>
        </w:tc>
        <w:tc>
          <w:tcPr>
            <w:tcW w:w="7912" w:type="dxa"/>
            <w:vAlign w:val="center"/>
          </w:tcPr>
          <w:p w14:paraId="304E52B8">
            <w:pPr>
              <w:snapToGrid w:val="0"/>
              <w:spacing w:line="360" w:lineRule="exact"/>
              <w:jc w:val="left"/>
              <w:rPr>
                <w:rFonts w:ascii="宋体" w:hAnsi="宋体" w:cs="宋体"/>
                <w:color w:val="auto"/>
                <w:szCs w:val="21"/>
              </w:rPr>
            </w:pPr>
            <w:r>
              <w:rPr>
                <w:rFonts w:hint="eastAsia" w:ascii="宋体" w:hAnsi="宋体" w:cs="宋体"/>
                <w:color w:val="auto"/>
                <w:szCs w:val="21"/>
              </w:rPr>
              <w:t>首次响应文件开启时间详见“竞争性磋商公告”。</w:t>
            </w:r>
          </w:p>
          <w:p w14:paraId="2B43BA72">
            <w:pPr>
              <w:snapToGrid w:val="0"/>
              <w:spacing w:line="360" w:lineRule="exact"/>
              <w:jc w:val="left"/>
              <w:rPr>
                <w:rFonts w:ascii="宋体" w:hAnsi="宋体" w:cs="宋体"/>
                <w:color w:val="auto"/>
                <w:szCs w:val="21"/>
              </w:rPr>
            </w:pPr>
            <w:r>
              <w:rPr>
                <w:rFonts w:hint="eastAsia" w:ascii="宋体" w:hAnsi="宋体" w:cs="宋体"/>
                <w:color w:val="auto"/>
                <w:szCs w:val="21"/>
              </w:rPr>
              <w:t>首次响应文件解密时间：</w:t>
            </w:r>
            <w:r>
              <w:rPr>
                <w:rFonts w:ascii="宋体" w:hAnsi="宋体"/>
                <w:color w:val="auto"/>
                <w:u w:val="single"/>
              </w:rPr>
              <w:t>30</w:t>
            </w:r>
            <w:r>
              <w:rPr>
                <w:rFonts w:hint="eastAsia" w:ascii="宋体" w:hAnsi="宋体"/>
                <w:color w:val="auto"/>
              </w:rPr>
              <w:t>分钟。</w:t>
            </w:r>
          </w:p>
        </w:tc>
      </w:tr>
      <w:tr w14:paraId="5A8D05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992" w:type="dxa"/>
            <w:vAlign w:val="center"/>
          </w:tcPr>
          <w:p w14:paraId="5DCCA7AA">
            <w:pPr>
              <w:spacing w:line="360" w:lineRule="auto"/>
              <w:jc w:val="center"/>
              <w:rPr>
                <w:rFonts w:ascii="宋体" w:hAnsi="宋体" w:cs="宋体"/>
                <w:color w:val="auto"/>
                <w:szCs w:val="21"/>
              </w:rPr>
            </w:pPr>
            <w:r>
              <w:rPr>
                <w:rFonts w:hint="eastAsia" w:ascii="宋体" w:hAnsi="宋体" w:cs="宋体"/>
                <w:color w:val="auto"/>
                <w:szCs w:val="21"/>
              </w:rPr>
              <w:t>2</w:t>
            </w:r>
            <w:r>
              <w:rPr>
                <w:rFonts w:ascii="宋体" w:hAnsi="宋体" w:cs="宋体"/>
                <w:color w:val="auto"/>
                <w:szCs w:val="21"/>
              </w:rPr>
              <w:t>6.3</w:t>
            </w:r>
          </w:p>
        </w:tc>
        <w:tc>
          <w:tcPr>
            <w:tcW w:w="7912" w:type="dxa"/>
            <w:vAlign w:val="center"/>
          </w:tcPr>
          <w:p w14:paraId="7AE76906">
            <w:pPr>
              <w:snapToGrid w:val="0"/>
              <w:spacing w:line="360" w:lineRule="exact"/>
              <w:rPr>
                <w:rFonts w:ascii="宋体" w:hAnsi="宋体" w:cs="宋体"/>
                <w:color w:val="auto"/>
                <w:szCs w:val="21"/>
              </w:rPr>
            </w:pPr>
            <w:r>
              <w:rPr>
                <w:rFonts w:hint="eastAsia" w:ascii="宋体" w:hAnsi="宋体" w:cs="宋体"/>
                <w:color w:val="auto"/>
                <w:szCs w:val="21"/>
              </w:rPr>
              <w:t>商务要求评审中允许负偏离的条款数为:</w:t>
            </w:r>
            <w:r>
              <w:rPr>
                <w:rFonts w:hint="eastAsia" w:ascii="宋体" w:hAnsi="宋体" w:cs="宋体"/>
                <w:color w:val="auto"/>
                <w:szCs w:val="21"/>
                <w:u w:val="single"/>
              </w:rPr>
              <w:t xml:space="preserve"> </w:t>
            </w:r>
            <w:r>
              <w:rPr>
                <w:rFonts w:ascii="宋体" w:hAnsi="宋体" w:cs="宋体"/>
                <w:color w:val="auto"/>
                <w:szCs w:val="21"/>
                <w:u w:val="single"/>
              </w:rPr>
              <w:t>0</w:t>
            </w:r>
            <w:r>
              <w:rPr>
                <w:rFonts w:hint="eastAsia" w:ascii="宋体" w:hAnsi="宋体" w:cs="宋体"/>
                <w:color w:val="auto"/>
                <w:szCs w:val="21"/>
                <w:u w:val="single"/>
              </w:rPr>
              <w:t xml:space="preserve"> </w:t>
            </w:r>
            <w:r>
              <w:rPr>
                <w:rFonts w:hint="eastAsia" w:ascii="宋体" w:hAnsi="宋体" w:cs="宋体"/>
                <w:color w:val="auto"/>
                <w:szCs w:val="21"/>
              </w:rPr>
              <w:t>项。</w:t>
            </w:r>
          </w:p>
          <w:p w14:paraId="3FA74AC1">
            <w:pPr>
              <w:snapToGrid w:val="0"/>
              <w:spacing w:line="360" w:lineRule="exact"/>
              <w:rPr>
                <w:rFonts w:ascii="宋体" w:hAnsi="宋体" w:cs="宋体"/>
                <w:color w:val="auto"/>
                <w:szCs w:val="21"/>
              </w:rPr>
            </w:pPr>
            <w:r>
              <w:rPr>
                <w:rFonts w:hint="eastAsia" w:ascii="宋体" w:hAnsi="宋体" w:cs="宋体"/>
                <w:color w:val="auto"/>
                <w:szCs w:val="21"/>
                <w:highlight w:val="none"/>
              </w:rPr>
              <w:t>服务内容及要求评审</w:t>
            </w:r>
            <w:r>
              <w:rPr>
                <w:rFonts w:hint="eastAsia" w:ascii="宋体" w:hAnsi="宋体" w:eastAsia="宋体" w:cs="宋体"/>
                <w:color w:val="auto"/>
                <w:szCs w:val="21"/>
                <w:highlight w:val="none"/>
              </w:rPr>
              <w:t>中允许带“▲”的条款负</w:t>
            </w:r>
            <w:r>
              <w:rPr>
                <w:rFonts w:hint="eastAsia" w:ascii="宋体" w:hAnsi="宋体" w:cs="宋体"/>
                <w:color w:val="auto"/>
                <w:szCs w:val="21"/>
                <w:highlight w:val="none"/>
              </w:rPr>
              <w:t>偏离的条款数为</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0</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w:t>
            </w:r>
            <w:r>
              <w:rPr>
                <w:rFonts w:hint="eastAsia" w:ascii="宋体" w:hAnsi="宋体" w:cs="宋体"/>
                <w:color w:val="auto"/>
                <w:szCs w:val="21"/>
              </w:rPr>
              <w:t>。</w:t>
            </w:r>
          </w:p>
        </w:tc>
      </w:tr>
      <w:tr w14:paraId="10D35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51A37A22">
            <w:pPr>
              <w:spacing w:line="360" w:lineRule="auto"/>
              <w:jc w:val="center"/>
              <w:rPr>
                <w:rFonts w:ascii="宋体" w:hAnsi="宋体" w:cs="宋体"/>
                <w:color w:val="auto"/>
                <w:szCs w:val="21"/>
              </w:rPr>
            </w:pPr>
            <w:r>
              <w:rPr>
                <w:rFonts w:ascii="宋体" w:hAnsi="宋体" w:cs="宋体"/>
                <w:color w:val="auto"/>
                <w:szCs w:val="21"/>
              </w:rPr>
              <w:t>28.1</w:t>
            </w:r>
          </w:p>
        </w:tc>
        <w:tc>
          <w:tcPr>
            <w:tcW w:w="7912" w:type="dxa"/>
            <w:vAlign w:val="center"/>
          </w:tcPr>
          <w:p w14:paraId="299FB550">
            <w:pPr>
              <w:autoSpaceDE w:val="0"/>
              <w:autoSpaceDN w:val="0"/>
              <w:snapToGrid w:val="0"/>
              <w:spacing w:line="360" w:lineRule="exact"/>
              <w:rPr>
                <w:rFonts w:ascii="宋体" w:hAnsi="宋体"/>
                <w:color w:val="auto"/>
                <w:szCs w:val="21"/>
              </w:rPr>
            </w:pPr>
            <w:r>
              <w:rPr>
                <w:rFonts w:hint="eastAsia" w:ascii="宋体" w:hAnsi="宋体"/>
                <w:color w:val="auto"/>
                <w:szCs w:val="21"/>
                <w:lang w:eastAsia="zh-CN"/>
              </w:rPr>
              <w:t>☑</w:t>
            </w:r>
            <w:r>
              <w:rPr>
                <w:rFonts w:hint="eastAsia" w:ascii="宋体" w:hAnsi="宋体"/>
                <w:color w:val="auto"/>
                <w:szCs w:val="21"/>
              </w:rPr>
              <w:t>本项目不收取履约保证金。</w:t>
            </w:r>
          </w:p>
          <w:p w14:paraId="37192D20">
            <w:pPr>
              <w:snapToGrid w:val="0"/>
              <w:spacing w:line="360" w:lineRule="exact"/>
              <w:rPr>
                <w:rFonts w:ascii="宋体" w:hAnsi="宋体" w:cs="宋体"/>
                <w:color w:val="auto"/>
                <w:szCs w:val="21"/>
              </w:rPr>
            </w:pPr>
            <w:r>
              <w:rPr>
                <w:rFonts w:hint="eastAsia" w:ascii="Segoe UI Symbol" w:hAnsi="Segoe UI Symbol" w:cs="Segoe UI Symbol"/>
                <w:color w:val="auto"/>
                <w:szCs w:val="21"/>
                <w:lang w:eastAsia="zh-CN"/>
              </w:rPr>
              <w:t>□</w:t>
            </w:r>
            <w:r>
              <w:rPr>
                <w:rFonts w:hint="eastAsia" w:ascii="宋体" w:hAnsi="宋体"/>
                <w:color w:val="auto"/>
                <w:szCs w:val="21"/>
              </w:rPr>
              <w:t>本</w:t>
            </w:r>
            <w:r>
              <w:rPr>
                <w:rFonts w:hint="eastAsia" w:ascii="宋体" w:hAnsi="宋体" w:cs="宋体"/>
                <w:color w:val="auto"/>
                <w:szCs w:val="21"/>
              </w:rPr>
              <w:t>项目收取履约保证金，具体规定如下：</w:t>
            </w:r>
          </w:p>
          <w:p w14:paraId="1D3A19A7">
            <w:pPr>
              <w:spacing w:line="360" w:lineRule="auto"/>
              <w:contextualSpacing/>
              <w:jc w:val="left"/>
              <w:rPr>
                <w:rFonts w:hint="eastAsia" w:ascii="宋体" w:hAnsi="宋体" w:cs="宋体"/>
                <w:color w:val="auto"/>
                <w:szCs w:val="21"/>
                <w:highlight w:val="none"/>
              </w:rPr>
            </w:pPr>
            <w:r>
              <w:rPr>
                <w:rFonts w:hint="eastAsia" w:ascii="宋体" w:hAnsi="宋体" w:cs="宋体"/>
                <w:color w:val="auto"/>
                <w:szCs w:val="21"/>
                <w:highlight w:val="none"/>
              </w:rPr>
              <w:t>履约保证金金额：按成交金额的5%（如成交供应商为中小企业的，履约保证金按成交金额的2%）。</w:t>
            </w:r>
          </w:p>
          <w:p w14:paraId="1724AFF9">
            <w:pPr>
              <w:spacing w:line="360" w:lineRule="auto"/>
              <w:contextualSpacing/>
              <w:jc w:val="left"/>
              <w:rPr>
                <w:rFonts w:hint="eastAsia" w:ascii="宋体" w:hAnsi="宋体" w:cs="宋体"/>
                <w:color w:val="auto"/>
                <w:szCs w:val="21"/>
                <w:highlight w:val="none"/>
              </w:rPr>
            </w:pPr>
            <w:r>
              <w:rPr>
                <w:rFonts w:hint="eastAsia" w:ascii="宋体" w:hAnsi="宋体" w:cs="宋体"/>
                <w:color w:val="auto"/>
                <w:szCs w:val="21"/>
                <w:highlight w:val="none"/>
              </w:rPr>
              <w:t>履约保证金提交方式：银行转账、支票、汇票、本票或者金融机构、担保机构出具的保函（包含电子保函）等非现金方式。</w:t>
            </w:r>
          </w:p>
          <w:p w14:paraId="66C71210">
            <w:pPr>
              <w:spacing w:line="360" w:lineRule="auto"/>
              <w:contextualSpacing/>
              <w:jc w:val="left"/>
              <w:rPr>
                <w:rFonts w:hint="eastAsia" w:ascii="宋体" w:hAnsi="宋体" w:cs="宋体"/>
                <w:color w:val="auto"/>
                <w:szCs w:val="21"/>
                <w:highlight w:val="none"/>
              </w:rPr>
            </w:pPr>
            <w:r>
              <w:rPr>
                <w:rFonts w:hint="eastAsia" w:ascii="宋体" w:hAnsi="宋体" w:cs="宋体"/>
                <w:color w:val="auto"/>
                <w:szCs w:val="21"/>
                <w:highlight w:val="none"/>
              </w:rPr>
              <w:t>履约保证金缴纳期限：自成交通知书发出之日起</w:t>
            </w:r>
            <w:r>
              <w:rPr>
                <w:rFonts w:ascii="宋体" w:hAnsi="宋体" w:cs="宋体"/>
                <w:color w:val="auto"/>
                <w:szCs w:val="21"/>
                <w:highlight w:val="none"/>
              </w:rPr>
              <w:t>25</w:t>
            </w:r>
            <w:r>
              <w:rPr>
                <w:rFonts w:hint="eastAsia" w:ascii="宋体" w:hAnsi="宋体" w:cs="宋体"/>
                <w:color w:val="auto"/>
                <w:szCs w:val="21"/>
                <w:highlight w:val="none"/>
              </w:rPr>
              <w:t>日内(但必须在签订合同前)。</w:t>
            </w:r>
          </w:p>
          <w:p w14:paraId="00753D95">
            <w:pPr>
              <w:spacing w:line="360" w:lineRule="auto"/>
              <w:contextualSpacing/>
              <w:jc w:val="left"/>
              <w:rPr>
                <w:rFonts w:ascii="宋体" w:hAnsi="宋体" w:cs="宋体"/>
                <w:color w:val="auto"/>
                <w:szCs w:val="21"/>
                <w:highlight w:val="none"/>
              </w:rPr>
            </w:pPr>
            <w:r>
              <w:rPr>
                <w:rFonts w:hint="eastAsia" w:ascii="宋体" w:hAnsi="宋体" w:cs="宋体"/>
                <w:color w:val="auto"/>
                <w:szCs w:val="21"/>
                <w:highlight w:val="none"/>
              </w:rPr>
              <w:t>履约保证金退付方式、时间及条件：</w:t>
            </w:r>
          </w:p>
          <w:p w14:paraId="5D45BC06">
            <w:pPr>
              <w:spacing w:line="360" w:lineRule="auto"/>
              <w:contextualSpacing/>
              <w:jc w:val="left"/>
              <w:rPr>
                <w:rFonts w:hint="eastAsia" w:ascii="宋体" w:hAnsi="宋体" w:cs="宋体"/>
                <w:color w:val="auto"/>
                <w:szCs w:val="21"/>
                <w:highlight w:val="none"/>
              </w:rPr>
            </w:pPr>
            <w:r>
              <w:rPr>
                <w:rFonts w:hint="eastAsia" w:ascii="宋体" w:hAnsi="宋体" w:cs="宋体"/>
                <w:color w:val="auto"/>
                <w:szCs w:val="21"/>
                <w:highlight w:val="none"/>
              </w:rPr>
              <w:t>（1）由成交供应商向履约保证金收取单位提供《广西壮族自治区政府采购项目合同验收书》（详见桂财采〔2015〕22号），保证金收取单位在收到合格材料后7个工作日内办理退还手续（不计利息）。</w:t>
            </w:r>
          </w:p>
          <w:p w14:paraId="3638F5CA">
            <w:pPr>
              <w:spacing w:line="360" w:lineRule="auto"/>
              <w:contextualSpacing/>
              <w:jc w:val="left"/>
              <w:rPr>
                <w:rFonts w:ascii="宋体" w:hAnsi="宋体" w:cs="宋体"/>
                <w:color w:val="auto"/>
                <w:szCs w:val="21"/>
                <w:highlight w:val="none"/>
              </w:rPr>
            </w:pPr>
            <w:r>
              <w:rPr>
                <w:rFonts w:hint="eastAsia" w:ascii="宋体" w:hAnsi="宋体" w:cs="宋体"/>
                <w:color w:val="auto"/>
                <w:szCs w:val="21"/>
                <w:highlight w:val="none"/>
              </w:rPr>
              <w:t>（2）在履约保证金退还日期前，若成交供应商的开户名称、开户银行、账号有变动的，请以书面形式通知履约保证金收取单位，否则由此产生的后果由成交供应商自负。</w:t>
            </w:r>
          </w:p>
          <w:p w14:paraId="041AD363">
            <w:pPr>
              <w:spacing w:line="360" w:lineRule="auto"/>
              <w:contextualSpacing/>
              <w:jc w:val="left"/>
              <w:rPr>
                <w:rFonts w:hint="eastAsia" w:ascii="宋体" w:hAnsi="宋体" w:cs="宋体"/>
                <w:color w:val="auto"/>
                <w:szCs w:val="21"/>
                <w:highlight w:val="none"/>
              </w:rPr>
            </w:pPr>
            <w:r>
              <w:rPr>
                <w:rFonts w:hint="eastAsia" w:ascii="宋体" w:hAnsi="宋体" w:cs="宋体"/>
                <w:color w:val="auto"/>
                <w:szCs w:val="21"/>
                <w:highlight w:val="none"/>
              </w:rPr>
              <w:t>（3）成交供应商在签订合同后存在违约情形的，履约保证金不予退还。履约保证金不足以赔偿损失的，按实际损失赔偿。</w:t>
            </w:r>
          </w:p>
          <w:p w14:paraId="0AAB165D">
            <w:pPr>
              <w:spacing w:line="360" w:lineRule="auto"/>
              <w:contextualSpacing/>
              <w:jc w:val="left"/>
              <w:rPr>
                <w:rFonts w:hint="eastAsia" w:ascii="宋体" w:hAnsi="宋体" w:cs="宋体"/>
                <w:color w:val="auto"/>
                <w:szCs w:val="21"/>
                <w:highlight w:val="none"/>
              </w:rPr>
            </w:pPr>
            <w:r>
              <w:rPr>
                <w:rFonts w:hint="eastAsia" w:ascii="宋体" w:hAnsi="宋体" w:cs="宋体"/>
                <w:color w:val="auto"/>
                <w:szCs w:val="21"/>
                <w:highlight w:val="none"/>
              </w:rPr>
              <w:t>履约保证金指定账户：</w:t>
            </w:r>
          </w:p>
          <w:p w14:paraId="4758BEEE">
            <w:pPr>
              <w:spacing w:line="360" w:lineRule="auto"/>
              <w:contextualSpacing/>
              <w:rPr>
                <w:rFonts w:hint="eastAsia" w:ascii="宋体" w:hAnsi="宋体" w:cs="宋体"/>
                <w:color w:val="auto"/>
                <w:szCs w:val="21"/>
                <w:highlight w:val="none"/>
              </w:rPr>
            </w:pPr>
            <w:r>
              <w:rPr>
                <w:rFonts w:hint="eastAsia" w:ascii="宋体" w:hAnsi="宋体" w:cs="宋体"/>
                <w:color w:val="auto"/>
                <w:szCs w:val="21"/>
                <w:highlight w:val="none"/>
              </w:rPr>
              <w:t>开户名称：桂林医科大学第一附属医院</w:t>
            </w:r>
          </w:p>
          <w:p w14:paraId="6E7A4AA6">
            <w:pPr>
              <w:spacing w:line="360" w:lineRule="auto"/>
              <w:contextualSpacing/>
              <w:rPr>
                <w:rFonts w:hint="eastAsia" w:ascii="宋体" w:hAnsi="宋体" w:cs="宋体"/>
                <w:color w:val="auto"/>
                <w:szCs w:val="21"/>
                <w:highlight w:val="none"/>
              </w:rPr>
            </w:pPr>
            <w:r>
              <w:rPr>
                <w:rFonts w:hint="eastAsia" w:ascii="宋体" w:hAnsi="宋体" w:cs="宋体"/>
                <w:color w:val="auto"/>
                <w:szCs w:val="21"/>
                <w:highlight w:val="none"/>
              </w:rPr>
              <w:t>开户银行：中国建设银行股份有限公司桂林叠彩支行</w:t>
            </w:r>
          </w:p>
          <w:p w14:paraId="14A96ECE">
            <w:pPr>
              <w:spacing w:line="360" w:lineRule="auto"/>
              <w:contextualSpacing/>
              <w:rPr>
                <w:rFonts w:hint="eastAsia" w:ascii="宋体" w:hAnsi="宋体" w:cs="宋体"/>
                <w:color w:val="auto"/>
                <w:szCs w:val="21"/>
                <w:highlight w:val="none"/>
              </w:rPr>
            </w:pPr>
            <w:r>
              <w:rPr>
                <w:rFonts w:hint="eastAsia" w:ascii="宋体" w:hAnsi="宋体" w:cs="宋体"/>
                <w:color w:val="auto"/>
                <w:szCs w:val="21"/>
                <w:highlight w:val="none"/>
              </w:rPr>
              <w:t>账号：4500 1635 4100 5050 1922</w:t>
            </w:r>
          </w:p>
          <w:p w14:paraId="4476AF05">
            <w:pPr>
              <w:snapToGrid w:val="0"/>
              <w:spacing w:line="360" w:lineRule="exact"/>
              <w:rPr>
                <w:rFonts w:ascii="宋体" w:hAnsi="宋体" w:cs="宋体"/>
                <w:color w:val="auto"/>
                <w:szCs w:val="21"/>
              </w:rPr>
            </w:pPr>
            <w:r>
              <w:rPr>
                <w:rFonts w:hint="eastAsia" w:ascii="宋体" w:hAnsi="宋体" w:cs="宋体"/>
                <w:b/>
                <w:color w:val="auto"/>
                <w:szCs w:val="21"/>
                <w:highlight w:val="none"/>
              </w:rPr>
              <w:t>注：</w:t>
            </w:r>
            <w:r>
              <w:rPr>
                <w:rFonts w:hint="eastAsia" w:ascii="宋体" w:hAnsi="宋体"/>
                <w:b/>
                <w:color w:val="auto"/>
                <w:szCs w:val="21"/>
                <w:highlight w:val="none"/>
              </w:rPr>
              <w:t>履约保证金不足额缴纳的（包含保函额度不足的），或者不按规定提交方式提交的，或者</w:t>
            </w:r>
            <w:r>
              <w:rPr>
                <w:rFonts w:ascii="宋体" w:hAnsi="宋体"/>
                <w:b/>
                <w:color w:val="auto"/>
                <w:szCs w:val="21"/>
                <w:highlight w:val="none"/>
              </w:rPr>
              <w:t>未在规定</w:t>
            </w:r>
            <w:r>
              <w:rPr>
                <w:rFonts w:hint="eastAsia" w:ascii="宋体" w:hAnsi="宋体"/>
                <w:b/>
                <w:color w:val="auto"/>
                <w:szCs w:val="21"/>
                <w:highlight w:val="none"/>
              </w:rPr>
              <w:t>缴纳期限缴纳</w:t>
            </w:r>
            <w:r>
              <w:rPr>
                <w:rFonts w:ascii="宋体" w:hAnsi="宋体"/>
                <w:b/>
                <w:color w:val="auto"/>
                <w:szCs w:val="21"/>
                <w:highlight w:val="none"/>
              </w:rPr>
              <w:t>的，</w:t>
            </w:r>
            <w:r>
              <w:rPr>
                <w:rFonts w:hint="eastAsia" w:ascii="宋体" w:hAnsi="宋体"/>
                <w:b/>
                <w:color w:val="auto"/>
                <w:szCs w:val="21"/>
                <w:highlight w:val="none"/>
              </w:rPr>
              <w:t>或者保函有效期低于合同履行期限（即合同中规定的当事人履行自己的义务，如交付标的物、价款或者报酬，履行劳务、完成工作的时间界限）的，不予签订合同。</w:t>
            </w:r>
          </w:p>
        </w:tc>
      </w:tr>
      <w:tr w14:paraId="400F1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0651835E">
            <w:pPr>
              <w:spacing w:line="360" w:lineRule="auto"/>
              <w:jc w:val="center"/>
              <w:rPr>
                <w:rFonts w:ascii="宋体" w:hAnsi="宋体" w:cs="宋体"/>
                <w:color w:val="auto"/>
                <w:szCs w:val="21"/>
              </w:rPr>
            </w:pPr>
            <w:r>
              <w:rPr>
                <w:rFonts w:ascii="宋体" w:hAnsi="宋体" w:cs="宋体"/>
                <w:color w:val="auto"/>
                <w:szCs w:val="21"/>
              </w:rPr>
              <w:t>29.1</w:t>
            </w:r>
          </w:p>
        </w:tc>
        <w:tc>
          <w:tcPr>
            <w:tcW w:w="7912" w:type="dxa"/>
            <w:vAlign w:val="center"/>
          </w:tcPr>
          <w:p w14:paraId="627D02C1">
            <w:pPr>
              <w:autoSpaceDE w:val="0"/>
              <w:autoSpaceDN w:val="0"/>
              <w:snapToGrid w:val="0"/>
              <w:spacing w:line="360" w:lineRule="exact"/>
              <w:rPr>
                <w:rFonts w:ascii="宋体" w:hAnsi="宋体"/>
                <w:color w:val="auto"/>
                <w:szCs w:val="21"/>
              </w:rPr>
            </w:pPr>
            <w:r>
              <w:rPr>
                <w:rFonts w:hint="eastAsia" w:ascii="宋体" w:hAnsi="宋体"/>
                <w:color w:val="auto"/>
                <w:szCs w:val="21"/>
              </w:rPr>
              <w:t xml:space="preserve">签订合同携带的证明材料： </w:t>
            </w:r>
          </w:p>
          <w:p w14:paraId="61484BCC">
            <w:pPr>
              <w:autoSpaceDE w:val="0"/>
              <w:autoSpaceDN w:val="0"/>
              <w:snapToGrid w:val="0"/>
              <w:spacing w:line="360" w:lineRule="exact"/>
              <w:rPr>
                <w:rFonts w:ascii="宋体" w:hAnsi="宋体"/>
                <w:color w:val="auto"/>
                <w:szCs w:val="21"/>
              </w:rPr>
            </w:pPr>
            <w:r>
              <w:rPr>
                <w:rFonts w:hint="eastAsia" w:ascii="宋体" w:hAnsi="宋体"/>
                <w:color w:val="auto"/>
                <w:szCs w:val="21"/>
              </w:rPr>
              <w:t>委托代理人负责签订合同的，须携带授权委托书及委托代理人身份证原件等其他资格证件。</w:t>
            </w:r>
          </w:p>
          <w:p w14:paraId="39EB5F6C">
            <w:pPr>
              <w:snapToGrid w:val="0"/>
              <w:spacing w:line="360" w:lineRule="exact"/>
              <w:rPr>
                <w:rFonts w:ascii="宋体" w:hAnsi="宋体" w:cs="宋体"/>
                <w:color w:val="auto"/>
                <w:szCs w:val="21"/>
              </w:rPr>
            </w:pPr>
            <w:r>
              <w:rPr>
                <w:rFonts w:hint="eastAsia" w:ascii="宋体" w:hAnsi="宋体"/>
                <w:color w:val="auto"/>
                <w:szCs w:val="21"/>
              </w:rPr>
              <w:t>法定代表人负责签订合同的，须携带法定代表人</w:t>
            </w:r>
            <w:r>
              <w:rPr>
                <w:rFonts w:ascii="宋体" w:hAnsi="宋体"/>
                <w:color w:val="auto"/>
                <w:szCs w:val="21"/>
              </w:rPr>
              <w:t>身份证明原件</w:t>
            </w:r>
            <w:r>
              <w:rPr>
                <w:rFonts w:hint="eastAsia" w:ascii="宋体" w:hAnsi="宋体"/>
                <w:color w:val="auto"/>
                <w:szCs w:val="21"/>
              </w:rPr>
              <w:t>及</w:t>
            </w:r>
            <w:r>
              <w:rPr>
                <w:rFonts w:ascii="宋体" w:hAnsi="宋体"/>
                <w:color w:val="auto"/>
                <w:szCs w:val="21"/>
              </w:rPr>
              <w:t>身份证原件</w:t>
            </w:r>
            <w:r>
              <w:rPr>
                <w:rFonts w:hint="eastAsia" w:ascii="宋体" w:hAnsi="宋体"/>
                <w:color w:val="auto"/>
                <w:szCs w:val="21"/>
              </w:rPr>
              <w:t>等其他证明材料。</w:t>
            </w:r>
          </w:p>
        </w:tc>
      </w:tr>
      <w:tr w14:paraId="3374B2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A9BC005">
            <w:pPr>
              <w:spacing w:line="360" w:lineRule="auto"/>
              <w:jc w:val="center"/>
              <w:rPr>
                <w:rFonts w:ascii="宋体" w:hAnsi="宋体" w:cs="宋体"/>
                <w:color w:val="auto"/>
                <w:szCs w:val="21"/>
              </w:rPr>
            </w:pPr>
            <w:r>
              <w:rPr>
                <w:rFonts w:hint="eastAsia" w:ascii="宋体" w:hAnsi="宋体" w:cs="宋体"/>
                <w:color w:val="auto"/>
                <w:szCs w:val="21"/>
              </w:rPr>
              <w:t>3</w:t>
            </w:r>
            <w:r>
              <w:rPr>
                <w:rFonts w:ascii="宋体" w:hAnsi="宋体" w:cs="宋体"/>
                <w:color w:val="auto"/>
                <w:szCs w:val="21"/>
              </w:rPr>
              <w:t>1.2</w:t>
            </w:r>
          </w:p>
        </w:tc>
        <w:tc>
          <w:tcPr>
            <w:tcW w:w="7912" w:type="dxa"/>
            <w:vAlign w:val="center"/>
          </w:tcPr>
          <w:p w14:paraId="4F2401F3">
            <w:pPr>
              <w:snapToGrid w:val="0"/>
              <w:spacing w:line="360" w:lineRule="exact"/>
              <w:rPr>
                <w:rFonts w:ascii="宋体" w:hAnsi="宋体" w:cs="宋体"/>
                <w:color w:val="auto"/>
                <w:szCs w:val="21"/>
              </w:rPr>
            </w:pPr>
            <w:r>
              <w:rPr>
                <w:rFonts w:hint="eastAsia" w:ascii="宋体" w:hAnsi="宋体" w:cs="宋体"/>
                <w:color w:val="auto"/>
                <w:szCs w:val="21"/>
              </w:rPr>
              <w:t>接收质疑函方式：以书面形式。</w:t>
            </w:r>
          </w:p>
          <w:p w14:paraId="7EDF71B6">
            <w:pPr>
              <w:autoSpaceDE w:val="0"/>
              <w:autoSpaceDN w:val="0"/>
              <w:snapToGrid w:val="0"/>
              <w:spacing w:line="360" w:lineRule="exact"/>
              <w:rPr>
                <w:rFonts w:hAnsi="宋体" w:cs="宋体"/>
                <w:color w:val="auto"/>
              </w:rPr>
            </w:pPr>
            <w:r>
              <w:rPr>
                <w:rFonts w:hint="eastAsia" w:hAnsi="宋体" w:cs="宋体"/>
                <w:color w:val="auto"/>
              </w:rPr>
              <w:t>质疑联系部门：</w:t>
            </w:r>
            <w:r>
              <w:rPr>
                <w:rFonts w:hint="eastAsia" w:ascii="宋体" w:hAnsi="宋体" w:cs="宋体"/>
                <w:color w:val="auto"/>
                <w:szCs w:val="21"/>
              </w:rPr>
              <w:t>欧邦工程管理集团有限公司，联系人：</w:t>
            </w:r>
            <w:r>
              <w:rPr>
                <w:rFonts w:hint="eastAsia" w:ascii="宋体" w:hAnsi="宋体" w:cs="宋体"/>
                <w:color w:val="auto"/>
                <w:szCs w:val="21"/>
                <w:lang w:eastAsia="zh-CN"/>
              </w:rPr>
              <w:t>李丹</w:t>
            </w:r>
            <w:r>
              <w:rPr>
                <w:rFonts w:hint="eastAsia" w:ascii="宋体" w:hAnsi="宋体" w:cs="宋体"/>
                <w:color w:val="auto"/>
                <w:szCs w:val="21"/>
              </w:rPr>
              <w:t>，联系电话：0773-2567907</w:t>
            </w:r>
            <w:r>
              <w:rPr>
                <w:rFonts w:ascii="宋体" w:hAnsi="宋体" w:cs="宋体"/>
                <w:color w:val="auto"/>
                <w:szCs w:val="21"/>
              </w:rPr>
              <w:t xml:space="preserve"> </w:t>
            </w:r>
            <w:r>
              <w:rPr>
                <w:rFonts w:hint="eastAsia" w:ascii="宋体" w:hAnsi="宋体" w:cs="宋体"/>
                <w:color w:val="auto"/>
                <w:szCs w:val="21"/>
              </w:rPr>
              <w:t>。通讯地址：桂林市七星区穿山街道办莫家里二路文化室四楼</w:t>
            </w:r>
          </w:p>
          <w:p w14:paraId="5A6624E0">
            <w:pPr>
              <w:autoSpaceDE w:val="0"/>
              <w:autoSpaceDN w:val="0"/>
              <w:snapToGrid w:val="0"/>
              <w:spacing w:line="360" w:lineRule="exact"/>
              <w:rPr>
                <w:rFonts w:ascii="宋体" w:hAnsi="宋体"/>
                <w:color w:val="auto"/>
                <w:szCs w:val="21"/>
              </w:rPr>
            </w:pPr>
            <w:r>
              <w:rPr>
                <w:rFonts w:hint="eastAsia" w:hAnsi="宋体" w:cs="宋体"/>
                <w:color w:val="auto"/>
              </w:rPr>
              <w:t>业务时间：上午9时00分到12时00分，下午3时00分到5时00分，双休日和法定节假日不办理业务。</w:t>
            </w:r>
          </w:p>
        </w:tc>
      </w:tr>
      <w:tr w14:paraId="69F9E0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3552D758">
            <w:pPr>
              <w:spacing w:line="360" w:lineRule="auto"/>
              <w:jc w:val="center"/>
              <w:rPr>
                <w:rFonts w:ascii="宋体" w:hAnsi="宋体" w:cs="宋体"/>
                <w:color w:val="auto"/>
                <w:szCs w:val="21"/>
              </w:rPr>
            </w:pPr>
            <w:r>
              <w:rPr>
                <w:rFonts w:hint="eastAsia" w:ascii="宋体" w:hAnsi="宋体" w:cs="宋体"/>
                <w:color w:val="auto"/>
                <w:szCs w:val="21"/>
              </w:rPr>
              <w:t>32</w:t>
            </w:r>
          </w:p>
        </w:tc>
        <w:tc>
          <w:tcPr>
            <w:tcW w:w="7912" w:type="dxa"/>
            <w:vAlign w:val="center"/>
          </w:tcPr>
          <w:p w14:paraId="32C083D0">
            <w:pPr>
              <w:pStyle w:val="17"/>
              <w:snapToGrid w:val="0"/>
              <w:spacing w:line="360" w:lineRule="exact"/>
              <w:rPr>
                <w:rFonts w:hAnsi="宋体" w:cs="宋体"/>
                <w:color w:val="auto"/>
                <w:sz w:val="21"/>
              </w:rPr>
            </w:pPr>
            <w:r>
              <w:rPr>
                <w:rFonts w:hint="eastAsia" w:hAnsi="宋体" w:cs="宋体"/>
                <w:color w:val="auto"/>
                <w:sz w:val="21"/>
              </w:rPr>
              <w:t>32.1采购代理费支付方式：</w:t>
            </w:r>
          </w:p>
          <w:p w14:paraId="4E6308D4">
            <w:pPr>
              <w:spacing w:line="360" w:lineRule="exact"/>
              <w:contextualSpacing/>
              <w:rPr>
                <w:rFonts w:ascii="宋体" w:hAnsi="宋体" w:cs="宋体"/>
                <w:color w:val="auto"/>
              </w:rPr>
            </w:pPr>
            <w:r>
              <w:rPr>
                <w:rFonts w:hint="eastAsia" w:ascii="宋体" w:hAnsi="宋体" w:cs="宋体"/>
                <w:color w:val="auto"/>
              </w:rPr>
              <w:t>☑本项目代理服务费由成交人一次性向采购代理机构支付。□采购人支付。</w:t>
            </w:r>
          </w:p>
          <w:p w14:paraId="513AE626">
            <w:pPr>
              <w:spacing w:line="360" w:lineRule="exact"/>
              <w:contextualSpacing/>
              <w:rPr>
                <w:rFonts w:ascii="宋体" w:hAnsi="宋体" w:cs="宋体"/>
                <w:color w:val="auto"/>
              </w:rPr>
            </w:pPr>
            <w:r>
              <w:rPr>
                <w:rFonts w:hint="eastAsia" w:ascii="宋体" w:hAnsi="宋体" w:cs="宋体"/>
                <w:color w:val="auto"/>
              </w:rPr>
              <w:t>32.2采购代理费收取标准：</w:t>
            </w:r>
          </w:p>
          <w:p w14:paraId="1EED4603">
            <w:pPr>
              <w:spacing w:line="360" w:lineRule="exact"/>
              <w:contextualSpacing/>
              <w:rPr>
                <w:rFonts w:ascii="宋体" w:hAnsi="宋体" w:cs="宋体"/>
                <w:color w:val="auto"/>
              </w:rPr>
            </w:pPr>
            <w:r>
              <w:rPr>
                <w:rFonts w:hint="eastAsia" w:ascii="宋体" w:hAnsi="宋体" w:cs="宋体"/>
                <w:color w:val="auto"/>
              </w:rPr>
              <w:t>☑以项目（☑成交金额/□采购预算/□暂定成交金额/□其他）为计费额，按本须知正文第32.3条规定的收费计算标准（□货物招标/☑服务招标/□工程招标）采用差额定率累进法计算出收费基准价格，采购代理收费以（□收费基准价格/☑收费基准价格下浮30%/□收费基准价格上浮   %）收取。□固定采购代理收费。</w:t>
            </w:r>
          </w:p>
          <w:p w14:paraId="3D424B35">
            <w:pPr>
              <w:spacing w:line="360" w:lineRule="exact"/>
              <w:contextualSpacing/>
              <w:rPr>
                <w:rFonts w:ascii="宋体" w:hAnsi="宋体" w:cs="宋体"/>
                <w:color w:val="auto"/>
              </w:rPr>
            </w:pPr>
            <w:r>
              <w:rPr>
                <w:rFonts w:hint="eastAsia" w:ascii="宋体" w:hAnsi="宋体" w:cs="宋体"/>
                <w:color w:val="auto"/>
              </w:rPr>
              <w:t>3.开户名称：欧邦工程管理集团有限公司桂林分公司</w:t>
            </w:r>
          </w:p>
          <w:p w14:paraId="21CD416A">
            <w:pPr>
              <w:spacing w:line="360" w:lineRule="exact"/>
              <w:contextualSpacing/>
              <w:rPr>
                <w:rFonts w:ascii="宋体" w:hAnsi="宋体" w:cs="宋体"/>
                <w:color w:val="auto"/>
              </w:rPr>
            </w:pPr>
            <w:r>
              <w:rPr>
                <w:rFonts w:hint="eastAsia" w:ascii="宋体" w:hAnsi="宋体" w:cs="宋体"/>
                <w:color w:val="auto"/>
              </w:rPr>
              <w:t>银行账号：660010123185600010</w:t>
            </w:r>
          </w:p>
          <w:p w14:paraId="03ED2F55">
            <w:pPr>
              <w:tabs>
                <w:tab w:val="left" w:pos="2835"/>
              </w:tabs>
              <w:spacing w:line="360" w:lineRule="exact"/>
              <w:contextualSpacing/>
              <w:rPr>
                <w:rFonts w:hAnsi="宋体" w:cs="宋体"/>
                <w:color w:val="auto"/>
              </w:rPr>
            </w:pPr>
            <w:r>
              <w:rPr>
                <w:rFonts w:hint="eastAsia" w:hAnsi="宋体" w:cs="宋体"/>
                <w:color w:val="auto"/>
              </w:rPr>
              <w:t>开户银行：桂林银行股份有限公司观音阁支行</w:t>
            </w:r>
            <w:r>
              <w:rPr>
                <w:rFonts w:hint="eastAsia" w:ascii="宋体" w:hAnsi="宋体" w:cs="宋体"/>
                <w:color w:val="auto"/>
                <w:szCs w:val="21"/>
              </w:rPr>
              <w:t>。</w:t>
            </w:r>
          </w:p>
        </w:tc>
      </w:tr>
      <w:tr w14:paraId="7FFF69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51E05D65">
            <w:pPr>
              <w:spacing w:line="360" w:lineRule="auto"/>
              <w:jc w:val="center"/>
              <w:rPr>
                <w:rFonts w:ascii="宋体" w:hAnsi="宋体" w:cs="宋体"/>
                <w:color w:val="auto"/>
                <w:szCs w:val="21"/>
              </w:rPr>
            </w:pPr>
            <w:r>
              <w:rPr>
                <w:rFonts w:hint="eastAsia" w:ascii="宋体" w:hAnsi="宋体" w:cs="宋体"/>
                <w:color w:val="auto"/>
                <w:szCs w:val="21"/>
              </w:rPr>
              <w:t>3</w:t>
            </w:r>
            <w:r>
              <w:rPr>
                <w:rFonts w:ascii="宋体" w:hAnsi="宋体" w:cs="宋体"/>
                <w:color w:val="auto"/>
                <w:szCs w:val="21"/>
              </w:rPr>
              <w:t>3.1</w:t>
            </w:r>
          </w:p>
        </w:tc>
        <w:tc>
          <w:tcPr>
            <w:tcW w:w="7912" w:type="dxa"/>
            <w:vAlign w:val="center"/>
          </w:tcPr>
          <w:p w14:paraId="0D27143B">
            <w:pPr>
              <w:pStyle w:val="17"/>
              <w:snapToGrid w:val="0"/>
              <w:spacing w:line="360" w:lineRule="exact"/>
              <w:rPr>
                <w:rFonts w:hAnsi="宋体" w:cs="宋体"/>
                <w:color w:val="auto"/>
                <w:kern w:val="2"/>
                <w:sz w:val="21"/>
              </w:rPr>
            </w:pPr>
            <w:r>
              <w:rPr>
                <w:rFonts w:hint="eastAsia" w:hAnsi="宋体"/>
                <w:color w:val="auto"/>
                <w:sz w:val="21"/>
              </w:rPr>
              <w:t>解释：</w:t>
            </w:r>
            <w:r>
              <w:rPr>
                <w:rFonts w:hAnsi="宋体"/>
                <w:color w:val="auto"/>
                <w:sz w:val="21"/>
              </w:rPr>
              <w:t>构成本</w:t>
            </w:r>
            <w:r>
              <w:rPr>
                <w:rFonts w:hint="eastAsia" w:hAnsi="宋体"/>
                <w:color w:val="auto"/>
                <w:sz w:val="21"/>
              </w:rPr>
              <w:t>磋商文件</w:t>
            </w:r>
            <w:r>
              <w:rPr>
                <w:rFonts w:hAnsi="宋体"/>
                <w:color w:val="auto"/>
                <w:sz w:val="21"/>
              </w:rPr>
              <w:t>的各个组成文件应互为解释，互为说明；除</w:t>
            </w:r>
            <w:r>
              <w:rPr>
                <w:rFonts w:hint="eastAsia" w:hAnsi="宋体"/>
                <w:color w:val="auto"/>
                <w:sz w:val="21"/>
              </w:rPr>
              <w:t>磋商文件</w:t>
            </w:r>
            <w:r>
              <w:rPr>
                <w:rFonts w:hAnsi="宋体"/>
                <w:color w:val="auto"/>
                <w:sz w:val="21"/>
              </w:rPr>
              <w:t>中有特别规定外，仅适用于</w:t>
            </w:r>
            <w:r>
              <w:rPr>
                <w:rFonts w:hint="eastAsia" w:hAnsi="宋体"/>
                <w:color w:val="auto"/>
                <w:sz w:val="21"/>
              </w:rPr>
              <w:t>竞标</w:t>
            </w:r>
            <w:r>
              <w:rPr>
                <w:rFonts w:hAnsi="宋体"/>
                <w:color w:val="auto"/>
                <w:sz w:val="21"/>
              </w:rPr>
              <w:t>阶段的规定，按</w:t>
            </w:r>
            <w:r>
              <w:rPr>
                <w:rFonts w:hint="eastAsia" w:hAnsi="宋体"/>
                <w:color w:val="auto"/>
                <w:sz w:val="21"/>
              </w:rPr>
              <w:t>更正公告（澄清公告）</w:t>
            </w:r>
            <w:r>
              <w:rPr>
                <w:rFonts w:hAnsi="宋体"/>
                <w:color w:val="auto"/>
                <w:sz w:val="21"/>
              </w:rPr>
              <w:t>、</w:t>
            </w:r>
            <w:r>
              <w:rPr>
                <w:rFonts w:hint="eastAsia" w:hAnsi="宋体"/>
                <w:color w:val="auto"/>
                <w:sz w:val="21"/>
              </w:rPr>
              <w:t>竞争性磋商</w:t>
            </w:r>
            <w:r>
              <w:rPr>
                <w:rFonts w:hAnsi="宋体"/>
                <w:color w:val="auto"/>
                <w:sz w:val="21"/>
              </w:rPr>
              <w:t>公告、</w:t>
            </w:r>
            <w:r>
              <w:rPr>
                <w:rFonts w:hint="eastAsia" w:hAnsi="宋体"/>
                <w:color w:val="auto"/>
                <w:sz w:val="21"/>
              </w:rPr>
              <w:t>供应商</w:t>
            </w:r>
            <w:r>
              <w:rPr>
                <w:rFonts w:hAnsi="宋体"/>
                <w:color w:val="auto"/>
                <w:sz w:val="21"/>
              </w:rPr>
              <w:t>须知</w:t>
            </w:r>
            <w:r>
              <w:rPr>
                <w:rFonts w:hint="eastAsia" w:hAnsi="宋体"/>
                <w:color w:val="auto"/>
                <w:sz w:val="21"/>
              </w:rPr>
              <w:t>、采购需求</w:t>
            </w:r>
            <w:r>
              <w:rPr>
                <w:rFonts w:hAnsi="宋体"/>
                <w:color w:val="auto"/>
                <w:sz w:val="21"/>
              </w:rPr>
              <w:t>、</w:t>
            </w:r>
            <w:r>
              <w:rPr>
                <w:rFonts w:hint="eastAsia"/>
                <w:color w:val="auto"/>
                <w:sz w:val="21"/>
              </w:rPr>
              <w:t>评审程序、评审方法和评审标准</w:t>
            </w:r>
            <w:r>
              <w:rPr>
                <w:rFonts w:hAnsi="宋体"/>
                <w:color w:val="auto"/>
                <w:sz w:val="21"/>
              </w:rPr>
              <w:t>、</w:t>
            </w:r>
            <w:r>
              <w:rPr>
                <w:rFonts w:hint="eastAsia" w:hAnsi="宋体"/>
                <w:color w:val="auto"/>
                <w:sz w:val="21"/>
              </w:rPr>
              <w:t>响应</w:t>
            </w:r>
            <w:r>
              <w:rPr>
                <w:rFonts w:hAnsi="宋体"/>
                <w:color w:val="auto"/>
                <w:sz w:val="21"/>
              </w:rPr>
              <w:t>文件格式</w:t>
            </w:r>
            <w:r>
              <w:rPr>
                <w:rFonts w:hint="eastAsia" w:hAnsi="宋体"/>
                <w:color w:val="auto"/>
                <w:sz w:val="21"/>
              </w:rPr>
              <w:t>、合同文本</w:t>
            </w:r>
            <w:r>
              <w:rPr>
                <w:rFonts w:hAnsi="宋体"/>
                <w:color w:val="auto"/>
                <w:sz w:val="21"/>
              </w:rPr>
              <w:t>的先后顺序解释；同一组成文件中就同一事项的规定或者约定不一致的，以编排顺序在后者为准；同一组成文件不同版本之间有不一致的，以形成时间在后者为准；</w:t>
            </w:r>
            <w:r>
              <w:rPr>
                <w:rFonts w:hint="eastAsia" w:hAnsi="宋体"/>
                <w:color w:val="auto"/>
                <w:sz w:val="21"/>
              </w:rPr>
              <w:t>更正公告（澄清公告）</w:t>
            </w:r>
            <w:r>
              <w:rPr>
                <w:rFonts w:hAnsi="宋体"/>
                <w:color w:val="auto"/>
                <w:sz w:val="21"/>
              </w:rPr>
              <w:t>与同步更新的</w:t>
            </w:r>
            <w:r>
              <w:rPr>
                <w:rFonts w:hint="eastAsia" w:hAnsi="宋体"/>
                <w:color w:val="auto"/>
                <w:sz w:val="21"/>
              </w:rPr>
              <w:t>磋商文件</w:t>
            </w:r>
            <w:r>
              <w:rPr>
                <w:rFonts w:hAnsi="宋体"/>
                <w:color w:val="auto"/>
                <w:sz w:val="21"/>
              </w:rPr>
              <w:t>不一致时以</w:t>
            </w:r>
            <w:r>
              <w:rPr>
                <w:rFonts w:hint="eastAsia" w:hAnsi="宋体"/>
                <w:color w:val="auto"/>
                <w:sz w:val="21"/>
              </w:rPr>
              <w:t>更正公告（澄清公告）</w:t>
            </w:r>
            <w:r>
              <w:rPr>
                <w:rFonts w:hAnsi="宋体"/>
                <w:color w:val="auto"/>
                <w:sz w:val="21"/>
              </w:rPr>
              <w:t>为准。按本款前述规定仍不能形成结论的，由</w:t>
            </w:r>
            <w:r>
              <w:rPr>
                <w:rFonts w:hint="eastAsia" w:hAnsi="宋体"/>
                <w:color w:val="auto"/>
                <w:sz w:val="21"/>
              </w:rPr>
              <w:t>采购</w:t>
            </w:r>
            <w:r>
              <w:rPr>
                <w:rFonts w:hAnsi="宋体"/>
                <w:color w:val="auto"/>
                <w:sz w:val="21"/>
              </w:rPr>
              <w:t>人</w:t>
            </w:r>
            <w:r>
              <w:rPr>
                <w:rFonts w:hint="eastAsia" w:hAnsi="宋体"/>
                <w:color w:val="auto"/>
                <w:sz w:val="21"/>
              </w:rPr>
              <w:t>或者采购代理机构</w:t>
            </w:r>
            <w:r>
              <w:rPr>
                <w:rFonts w:hAnsi="宋体"/>
                <w:color w:val="auto"/>
                <w:sz w:val="21"/>
              </w:rPr>
              <w:t>负责解释。</w:t>
            </w:r>
          </w:p>
        </w:tc>
      </w:tr>
      <w:tr w14:paraId="612784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353BEC92">
            <w:pPr>
              <w:spacing w:line="360" w:lineRule="auto"/>
              <w:jc w:val="center"/>
              <w:rPr>
                <w:rFonts w:ascii="宋体" w:hAnsi="宋体" w:cs="宋体"/>
                <w:color w:val="auto"/>
                <w:szCs w:val="21"/>
              </w:rPr>
            </w:pPr>
            <w:r>
              <w:rPr>
                <w:rFonts w:hint="eastAsia" w:ascii="宋体" w:hAnsi="宋体" w:cs="宋体"/>
                <w:color w:val="auto"/>
                <w:szCs w:val="21"/>
              </w:rPr>
              <w:t>3</w:t>
            </w:r>
            <w:r>
              <w:rPr>
                <w:rFonts w:ascii="宋体" w:hAnsi="宋体" w:cs="宋体"/>
                <w:color w:val="auto"/>
                <w:szCs w:val="21"/>
              </w:rPr>
              <w:t>3.2</w:t>
            </w:r>
          </w:p>
        </w:tc>
        <w:tc>
          <w:tcPr>
            <w:tcW w:w="7912" w:type="dxa"/>
            <w:vAlign w:val="center"/>
          </w:tcPr>
          <w:p w14:paraId="72DABCBE">
            <w:pPr>
              <w:pStyle w:val="17"/>
              <w:snapToGrid w:val="0"/>
              <w:spacing w:line="360" w:lineRule="exact"/>
              <w:rPr>
                <w:rFonts w:hAnsi="宋体" w:cs="宋体"/>
                <w:color w:val="auto"/>
                <w:sz w:val="21"/>
              </w:rPr>
            </w:pPr>
            <w:r>
              <w:rPr>
                <w:rFonts w:hint="eastAsia" w:hAnsi="宋体" w:cs="宋体"/>
                <w:color w:val="auto"/>
                <w:sz w:val="21"/>
              </w:rPr>
              <w:t>1.本磋商文件中描述供应商的“公章”是指根据我国对公章的管理规定，用供应商法定主体行为名称制作的印章，除本磋商文件有特殊规定外，供应商的其他形式印章均不能代替公章。</w:t>
            </w:r>
          </w:p>
          <w:p w14:paraId="4E8A916E">
            <w:pPr>
              <w:pStyle w:val="17"/>
              <w:snapToGrid w:val="0"/>
              <w:spacing w:line="360" w:lineRule="exact"/>
              <w:rPr>
                <w:rFonts w:hAnsi="宋体" w:cs="宋体"/>
                <w:color w:val="auto"/>
                <w:sz w:val="21"/>
              </w:rPr>
            </w:pPr>
            <w:r>
              <w:rPr>
                <w:rFonts w:hint="eastAsia" w:hAnsi="宋体" w:cs="宋体"/>
                <w:bCs/>
                <w:color w:val="auto"/>
                <w:sz w:val="21"/>
              </w:rPr>
              <w:t>2</w:t>
            </w:r>
            <w:r>
              <w:rPr>
                <w:rFonts w:hint="eastAsia" w:hAnsi="宋体" w:cs="宋体"/>
                <w:color w:val="auto"/>
                <w:sz w:val="21"/>
              </w:rPr>
              <w:t>.本磋商文件所称的“电子签章”、“电子签名”，是指经广西政府采购云平台认可的CA认证的电子签名数据为表现形式的印章，可用于签署电子响应文件，电子印章与实物印章具有同等法律效力，不因其采用电子化表现形式而否定其法律效力。</w:t>
            </w:r>
          </w:p>
          <w:p w14:paraId="6B8AF825">
            <w:pPr>
              <w:pStyle w:val="17"/>
              <w:snapToGrid w:val="0"/>
              <w:spacing w:line="360" w:lineRule="exact"/>
              <w:rPr>
                <w:rFonts w:hAnsi="宋体" w:cs="宋体"/>
                <w:bCs/>
                <w:color w:val="auto"/>
                <w:sz w:val="21"/>
              </w:rPr>
            </w:pPr>
            <w:r>
              <w:rPr>
                <w:rFonts w:hAnsi="宋体" w:cs="宋体"/>
                <w:color w:val="auto"/>
                <w:sz w:val="21"/>
              </w:rPr>
              <w:t>3</w:t>
            </w:r>
            <w:r>
              <w:rPr>
                <w:rFonts w:hint="eastAsia" w:hAnsi="宋体" w:cs="宋体"/>
                <w:color w:val="auto"/>
                <w:sz w:val="21"/>
              </w:rPr>
              <w:t>.供应商为其他组织或者自然人时，本磋商文件规定的法定代表人指负责人或者自然人。本磋商文件所称负责人是指参加竞标的其他组织</w:t>
            </w:r>
            <w:r>
              <w:rPr>
                <w:rFonts w:hint="eastAsia" w:hAnsi="宋体" w:cs="宋体"/>
                <w:bCs/>
                <w:color w:val="auto"/>
                <w:sz w:val="21"/>
              </w:rPr>
              <w:t>营业执照或者执业许可证等证照上</w:t>
            </w:r>
            <w:r>
              <w:rPr>
                <w:rFonts w:hint="eastAsia" w:hAnsi="宋体" w:cs="宋体"/>
                <w:color w:val="auto"/>
                <w:sz w:val="21"/>
              </w:rPr>
              <w:t>的负责人，本磋商文件所称自然人指参与竞标的自然人本人，</w:t>
            </w:r>
            <w:r>
              <w:rPr>
                <w:rFonts w:hint="eastAsia" w:hAnsi="宋体" w:cs="宋体"/>
                <w:bCs/>
                <w:color w:val="auto"/>
                <w:sz w:val="21"/>
              </w:rPr>
              <w:t>且应具备独立承担民事责任能力，自然人应当为年满18岁以上成年人（十六周岁以上的未成年人，以自己的劳动收入为主要生活来源的，视为完全民事行为能力人）。</w:t>
            </w:r>
          </w:p>
          <w:p w14:paraId="72863ECE">
            <w:pPr>
              <w:pStyle w:val="17"/>
              <w:snapToGrid w:val="0"/>
              <w:spacing w:line="360" w:lineRule="exact"/>
              <w:rPr>
                <w:rFonts w:hAnsi="宋体" w:cs="宋体"/>
                <w:color w:val="auto"/>
                <w:sz w:val="21"/>
              </w:rPr>
            </w:pPr>
            <w:r>
              <w:rPr>
                <w:rFonts w:hAnsi="宋体" w:cs="宋体"/>
                <w:color w:val="auto"/>
                <w:sz w:val="21"/>
              </w:rPr>
              <w:t>4.</w:t>
            </w:r>
            <w:r>
              <w:rPr>
                <w:rFonts w:hint="eastAsia" w:hAnsi="宋体" w:cs="宋体"/>
                <w:color w:val="auto"/>
                <w:sz w:val="21"/>
              </w:rPr>
              <w:t>本磋商文件中描述供应商的“签字”是指供应商的法定代表人或者委托代理人亲自在文件规定签署处亲笔写上个人的名字的行为。</w:t>
            </w:r>
          </w:p>
          <w:p w14:paraId="28A4F56F">
            <w:pPr>
              <w:pStyle w:val="17"/>
              <w:snapToGrid w:val="0"/>
              <w:spacing w:line="360" w:lineRule="exact"/>
              <w:rPr>
                <w:rFonts w:hAnsi="宋体" w:cs="宋体"/>
                <w:color w:val="auto"/>
                <w:sz w:val="21"/>
              </w:rPr>
            </w:pPr>
            <w:r>
              <w:rPr>
                <w:rFonts w:hAnsi="宋体" w:cs="宋体"/>
                <w:color w:val="auto"/>
                <w:sz w:val="21"/>
              </w:rPr>
              <w:t>5.</w:t>
            </w:r>
            <w:r>
              <w:rPr>
                <w:rFonts w:hint="eastAsia" w:hAnsi="宋体" w:cs="宋体"/>
                <w:color w:val="auto"/>
                <w:sz w:val="21"/>
              </w:rPr>
              <w:t>本磋商文件所称的“以上”“以下”“以内”“届满”，包括本数；所称的“不满”“超过”“以外”，不包括本数。</w:t>
            </w:r>
          </w:p>
        </w:tc>
      </w:tr>
    </w:tbl>
    <w:p w14:paraId="71E0E160">
      <w:pPr>
        <w:spacing w:line="400" w:lineRule="exact"/>
        <w:jc w:val="center"/>
        <w:rPr>
          <w:rFonts w:ascii="宋体" w:hAnsi="宋体"/>
          <w:b/>
          <w:color w:val="auto"/>
          <w:sz w:val="32"/>
          <w:szCs w:val="32"/>
        </w:rPr>
      </w:pPr>
      <w:r>
        <w:rPr>
          <w:rFonts w:ascii="宋体" w:hAnsi="宋体"/>
          <w:b/>
          <w:color w:val="auto"/>
          <w:sz w:val="32"/>
          <w:szCs w:val="32"/>
        </w:rPr>
        <w:br w:type="page"/>
      </w:r>
      <w:r>
        <w:rPr>
          <w:rFonts w:hint="eastAsia" w:ascii="宋体" w:hAnsi="宋体"/>
          <w:b/>
          <w:color w:val="auto"/>
          <w:sz w:val="32"/>
          <w:szCs w:val="32"/>
        </w:rPr>
        <w:t>供应商须知正文</w:t>
      </w:r>
    </w:p>
    <w:p w14:paraId="3E4AE855">
      <w:pPr>
        <w:spacing w:line="400" w:lineRule="exact"/>
        <w:jc w:val="center"/>
        <w:rPr>
          <w:rFonts w:ascii="宋体" w:hAnsi="宋体"/>
          <w:b/>
          <w:color w:val="auto"/>
          <w:sz w:val="32"/>
          <w:szCs w:val="32"/>
        </w:rPr>
      </w:pPr>
    </w:p>
    <w:p w14:paraId="021A8B11">
      <w:pPr>
        <w:spacing w:line="400" w:lineRule="exact"/>
        <w:jc w:val="center"/>
        <w:rPr>
          <w:rFonts w:ascii="宋体" w:hAnsi="宋体"/>
          <w:b/>
          <w:color w:val="auto"/>
          <w:sz w:val="32"/>
          <w:szCs w:val="32"/>
        </w:rPr>
      </w:pPr>
      <w:r>
        <w:rPr>
          <w:rFonts w:hint="eastAsia" w:ascii="宋体" w:hAnsi="宋体"/>
          <w:b/>
          <w:color w:val="auto"/>
          <w:sz w:val="32"/>
          <w:szCs w:val="32"/>
        </w:rPr>
        <w:t>一、总则</w:t>
      </w:r>
    </w:p>
    <w:p w14:paraId="352B7150">
      <w:pPr>
        <w:spacing w:line="400" w:lineRule="exact"/>
        <w:rPr>
          <w:rFonts w:ascii="宋体" w:hAnsi="宋体"/>
          <w:color w:val="auto"/>
          <w:szCs w:val="21"/>
        </w:rPr>
      </w:pPr>
    </w:p>
    <w:p w14:paraId="57CEDCB6">
      <w:pPr>
        <w:spacing w:line="400" w:lineRule="exact"/>
        <w:ind w:firstLine="482" w:firstLineChars="200"/>
        <w:contextualSpacing/>
        <w:rPr>
          <w:rFonts w:ascii="黑体" w:hAnsi="黑体" w:eastAsia="黑体" w:cs="宋体"/>
          <w:b/>
          <w:bCs/>
          <w:color w:val="auto"/>
          <w:sz w:val="24"/>
        </w:rPr>
      </w:pPr>
      <w:r>
        <w:rPr>
          <w:rFonts w:hint="eastAsia" w:ascii="黑体" w:hAnsi="黑体" w:eastAsia="黑体" w:cs="宋体"/>
          <w:b/>
          <w:bCs/>
          <w:color w:val="auto"/>
          <w:sz w:val="24"/>
        </w:rPr>
        <w:t>1.适用范围</w:t>
      </w:r>
    </w:p>
    <w:p w14:paraId="53840C2D">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1.1本项目采购人、采购代理机构、供应商、磋商小组的相关行为均受《中华人民共和国政府采购法》《中华人民共和国政府采购法实施条例》</w:t>
      </w:r>
      <w:r>
        <w:rPr>
          <w:rFonts w:hint="eastAsia" w:ascii="宋体" w:hAnsi="宋体"/>
          <w:color w:val="auto"/>
          <w:szCs w:val="21"/>
        </w:rPr>
        <w:t>《政府采购竞争性磋商采购方式管理暂行办法》《财政部关于政府采购竞争性磋商采购方式管理暂行办法有关问题的补充通知》</w:t>
      </w:r>
      <w:r>
        <w:rPr>
          <w:rFonts w:hint="eastAsia" w:ascii="宋体" w:hAnsi="宋体" w:cs="宋体"/>
          <w:color w:val="auto"/>
          <w:szCs w:val="21"/>
        </w:rPr>
        <w:t>及本项目本级和上级财政部门政府采购有关规定的约束和保护。</w:t>
      </w:r>
    </w:p>
    <w:p w14:paraId="1E46A364">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1.2</w:t>
      </w:r>
      <w:r>
        <w:rPr>
          <w:rFonts w:hint="eastAsia" w:ascii="宋体" w:hAnsi="宋体" w:cs="宋体"/>
          <w:color w:val="auto"/>
          <w:spacing w:val="-6"/>
          <w:szCs w:val="21"/>
        </w:rPr>
        <w:t>本竞争性磋商文件（以下简称磋商文件）适用于本项目的所有采购程序和环节（法律、法规另有规定的，从其规定）。</w:t>
      </w:r>
    </w:p>
    <w:p w14:paraId="740FBED2">
      <w:pPr>
        <w:spacing w:line="400" w:lineRule="exact"/>
        <w:ind w:firstLine="482" w:firstLineChars="200"/>
        <w:contextualSpacing/>
        <w:rPr>
          <w:rFonts w:ascii="黑体" w:hAnsi="黑体" w:eastAsia="黑体" w:cs="宋体"/>
          <w:b/>
          <w:bCs/>
          <w:color w:val="auto"/>
          <w:sz w:val="24"/>
        </w:rPr>
      </w:pPr>
      <w:r>
        <w:rPr>
          <w:rFonts w:hint="eastAsia" w:ascii="黑体" w:hAnsi="黑体" w:eastAsia="黑体" w:cs="宋体"/>
          <w:b/>
          <w:bCs/>
          <w:color w:val="auto"/>
          <w:sz w:val="24"/>
        </w:rPr>
        <w:t>2.定义</w:t>
      </w:r>
    </w:p>
    <w:p w14:paraId="4AD9CAA4">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2.1“采购人”是指依法进行政府采购的国家机关、事业单位、团体组织。</w:t>
      </w:r>
    </w:p>
    <w:p w14:paraId="0FA2C4BD">
      <w:pPr>
        <w:spacing w:line="400" w:lineRule="exact"/>
        <w:ind w:firstLine="420" w:firstLineChars="200"/>
        <w:contextualSpacing/>
        <w:rPr>
          <w:rFonts w:ascii="宋体" w:hAnsi="宋体" w:cs="宋体"/>
          <w:color w:val="auto"/>
          <w:szCs w:val="21"/>
          <w:u w:val="single"/>
        </w:rPr>
      </w:pPr>
      <w:r>
        <w:rPr>
          <w:rFonts w:hint="eastAsia" w:ascii="宋体" w:hAnsi="宋体" w:cs="宋体"/>
          <w:color w:val="auto"/>
          <w:szCs w:val="21"/>
        </w:rPr>
        <w:t>2.2“采购代理机构”是指政府采购集中采购机构和集中采购机构以外的采购代理机构。</w:t>
      </w:r>
    </w:p>
    <w:p w14:paraId="2E2DB862">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2.3“供应商”是指向采购人提供货物、工程或者服务的法人、其他组织或者自然人。</w:t>
      </w:r>
    </w:p>
    <w:p w14:paraId="77F55AB0">
      <w:pPr>
        <w:spacing w:line="400" w:lineRule="exact"/>
        <w:ind w:firstLine="420" w:firstLineChars="200"/>
        <w:contextualSpacing/>
        <w:rPr>
          <w:rFonts w:ascii="宋体" w:hAnsi="宋体" w:cs="宋体"/>
          <w:color w:val="auto"/>
          <w:szCs w:val="21"/>
        </w:rPr>
      </w:pPr>
      <w:r>
        <w:rPr>
          <w:rFonts w:hint="eastAsia" w:ascii="宋体" w:hAnsi="宋体"/>
          <w:color w:val="auto"/>
          <w:szCs w:val="21"/>
        </w:rPr>
        <w:t>2.4</w:t>
      </w:r>
      <w:r>
        <w:rPr>
          <w:rFonts w:hint="eastAsia" w:ascii="宋体" w:hAnsi="宋体" w:cs="宋体"/>
          <w:color w:val="auto"/>
          <w:szCs w:val="21"/>
        </w:rPr>
        <w:t>“货物”是指各种形态和种类的物品，包括原材料、燃料、设备、产品等。</w:t>
      </w:r>
    </w:p>
    <w:p w14:paraId="06E9CD66">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2.</w:t>
      </w:r>
      <w:r>
        <w:rPr>
          <w:rFonts w:ascii="宋体" w:hAnsi="宋体" w:cs="宋体"/>
          <w:color w:val="auto"/>
          <w:szCs w:val="21"/>
        </w:rPr>
        <w:t>5</w:t>
      </w:r>
      <w:r>
        <w:rPr>
          <w:rFonts w:hint="eastAsia" w:ascii="宋体" w:hAnsi="宋体" w:cs="宋体"/>
          <w:color w:val="auto"/>
          <w:szCs w:val="21"/>
        </w:rPr>
        <w:t>“竞标”是指供应商按照本项目竞争性磋商公告或者邀请函规定的方式获取磋商文件、提交响应文件并希望获得标的的行为。</w:t>
      </w:r>
    </w:p>
    <w:p w14:paraId="70AC7D89">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2.6“书面形式”是指合同书、信件和数据电文（包括电报、电传、传真、电子数据交换和电子邮件）等可以有形地表现所载内容的形式。</w:t>
      </w:r>
    </w:p>
    <w:p w14:paraId="724481B1">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2.7“响应文件”</w:t>
      </w:r>
      <w:r>
        <w:rPr>
          <w:rFonts w:hint="eastAsia" w:ascii="宋体" w:hAnsi="宋体" w:cs="宋体"/>
          <w:color w:val="auto"/>
          <w:spacing w:val="-6"/>
          <w:szCs w:val="21"/>
        </w:rPr>
        <w:t>是指：供应商根据本磋商文件要求，编制包含资格证明、报价、商务技术等所有内容的文件。</w:t>
      </w:r>
    </w:p>
    <w:p w14:paraId="29EEDDE3">
      <w:pPr>
        <w:spacing w:line="400" w:lineRule="exact"/>
        <w:ind w:firstLine="422" w:firstLineChars="200"/>
        <w:contextualSpacing/>
        <w:rPr>
          <w:rFonts w:hint="eastAsia" w:ascii="宋体" w:hAnsi="宋体" w:cs="宋体"/>
          <w:b/>
          <w:color w:val="auto"/>
          <w:szCs w:val="21"/>
        </w:rPr>
      </w:pPr>
      <w:r>
        <w:rPr>
          <w:rFonts w:hint="eastAsia" w:ascii="宋体" w:hAnsi="宋体" w:cs="宋体"/>
          <w:b/>
          <w:bCs/>
          <w:color w:val="auto"/>
          <w:szCs w:val="21"/>
        </w:rPr>
        <w:t>2.8</w:t>
      </w:r>
      <w:r>
        <w:rPr>
          <w:rFonts w:hint="eastAsia" w:ascii="宋体" w:hAnsi="宋体" w:cs="宋体"/>
          <w:b/>
          <w:bCs/>
          <w:color w:val="auto"/>
          <w:szCs w:val="21"/>
          <w:highlight w:val="none"/>
        </w:rPr>
        <w:t>“</w:t>
      </w:r>
      <w:r>
        <w:rPr>
          <w:rFonts w:hint="eastAsia" w:ascii="宋体" w:hAnsi="宋体" w:cs="宋体"/>
          <w:b/>
          <w:color w:val="auto"/>
          <w:szCs w:val="21"/>
          <w:highlight w:val="none"/>
        </w:rPr>
        <w:t>实质性要求”是指磋商文件中已经指明不满足则响应文件按无效响应处理的条款，或者不能负偏离的条款，或者采购需求中带“▲”的条款。若有一项负偏离，响应文件按无效处理</w:t>
      </w:r>
    </w:p>
    <w:p w14:paraId="6CD250D7">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2.9“正偏离”，是指响应文件对磋商文件“采购需求”中有关条款作出的响应优于条款要求并有利于采购人的情形。</w:t>
      </w:r>
    </w:p>
    <w:p w14:paraId="6F2180DE">
      <w:pPr>
        <w:spacing w:line="400" w:lineRule="exact"/>
        <w:ind w:firstLine="420" w:firstLineChars="200"/>
        <w:contextualSpacing/>
        <w:rPr>
          <w:rFonts w:ascii="宋体" w:hAnsi="宋体" w:cs="宋体"/>
          <w:color w:val="auto"/>
          <w:szCs w:val="21"/>
        </w:rPr>
      </w:pPr>
      <w:r>
        <w:rPr>
          <w:rFonts w:ascii="宋体" w:hAnsi="宋体" w:cs="宋体"/>
          <w:color w:val="auto"/>
          <w:szCs w:val="21"/>
        </w:rPr>
        <w:t>2.</w:t>
      </w:r>
      <w:r>
        <w:rPr>
          <w:rFonts w:hint="eastAsia" w:ascii="宋体" w:hAnsi="宋体" w:cs="宋体"/>
          <w:color w:val="auto"/>
          <w:szCs w:val="21"/>
        </w:rPr>
        <w:t>10“负偏离”，是指响应文件对磋商文件“采购需求”中有关条款作出的响应不满足条款要求，导致采购人要求不能得到满足的情形。</w:t>
      </w:r>
    </w:p>
    <w:p w14:paraId="1EBF51CA">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2.11“允许负偏离的条款”是指采购需求中的不属于“实质性要求”的条款。</w:t>
      </w:r>
    </w:p>
    <w:p w14:paraId="168474A4">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2.</w:t>
      </w:r>
      <w:r>
        <w:rPr>
          <w:rFonts w:ascii="宋体" w:hAnsi="宋体" w:cs="宋体"/>
          <w:color w:val="auto"/>
          <w:szCs w:val="21"/>
        </w:rPr>
        <w:t>1</w:t>
      </w:r>
      <w:r>
        <w:rPr>
          <w:rFonts w:hint="eastAsia" w:ascii="宋体" w:hAnsi="宋体" w:cs="宋体"/>
          <w:color w:val="auto"/>
          <w:szCs w:val="21"/>
        </w:rPr>
        <w:t>2“首次报价”是指供应商提交的首次响应文件中的报价。</w:t>
      </w:r>
    </w:p>
    <w:p w14:paraId="2A289E0B">
      <w:pPr>
        <w:spacing w:line="400" w:lineRule="exact"/>
        <w:ind w:firstLine="482" w:firstLineChars="200"/>
        <w:contextualSpacing/>
        <w:rPr>
          <w:rFonts w:ascii="黑体" w:hAnsi="黑体" w:eastAsia="黑体" w:cs="宋体"/>
          <w:b/>
          <w:bCs/>
          <w:color w:val="auto"/>
          <w:sz w:val="24"/>
        </w:rPr>
      </w:pPr>
      <w:r>
        <w:rPr>
          <w:rFonts w:hint="eastAsia" w:ascii="黑体" w:hAnsi="黑体" w:eastAsia="黑体" w:cs="宋体"/>
          <w:b/>
          <w:bCs/>
          <w:color w:val="auto"/>
          <w:sz w:val="24"/>
        </w:rPr>
        <w:t>3.供应商的资格条件</w:t>
      </w:r>
    </w:p>
    <w:p w14:paraId="3B6BCF33">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供应商的资格条件详见“供应商须知前附表”。</w:t>
      </w:r>
    </w:p>
    <w:p w14:paraId="396D8CD6">
      <w:pPr>
        <w:spacing w:line="400" w:lineRule="exact"/>
        <w:ind w:firstLine="482" w:firstLineChars="200"/>
        <w:contextualSpacing/>
        <w:rPr>
          <w:rFonts w:ascii="黑体" w:hAnsi="黑体" w:eastAsia="黑体" w:cs="宋体"/>
          <w:b/>
          <w:bCs/>
          <w:color w:val="auto"/>
          <w:sz w:val="24"/>
        </w:rPr>
      </w:pPr>
      <w:r>
        <w:rPr>
          <w:rFonts w:hint="eastAsia" w:ascii="黑体" w:hAnsi="黑体" w:eastAsia="黑体" w:cs="宋体"/>
          <w:b/>
          <w:bCs/>
          <w:color w:val="auto"/>
          <w:sz w:val="24"/>
        </w:rPr>
        <w:t>4.竞标费用</w:t>
      </w:r>
    </w:p>
    <w:p w14:paraId="3595587B">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供应商应承担参与本次采购活动有关的所有费用，包括但不限于获取磋商文件、勘查现场、编制和提交响应文件、参加磋商与应答、签订合同等，不论竞标结果如何，均应自行承担。</w:t>
      </w:r>
    </w:p>
    <w:p w14:paraId="760E6CF1">
      <w:pPr>
        <w:spacing w:line="400" w:lineRule="exact"/>
        <w:ind w:firstLine="482" w:firstLineChars="200"/>
        <w:contextualSpacing/>
        <w:rPr>
          <w:rFonts w:ascii="黑体" w:hAnsi="黑体" w:eastAsia="黑体" w:cs="宋体"/>
          <w:b/>
          <w:bCs/>
          <w:color w:val="auto"/>
          <w:sz w:val="24"/>
        </w:rPr>
      </w:pPr>
      <w:r>
        <w:rPr>
          <w:rFonts w:hint="eastAsia" w:ascii="黑体" w:hAnsi="黑体" w:eastAsia="黑体" w:cs="宋体"/>
          <w:b/>
          <w:bCs/>
          <w:color w:val="auto"/>
          <w:sz w:val="24"/>
        </w:rPr>
        <w:t>5.联合体竞标</w:t>
      </w:r>
    </w:p>
    <w:p w14:paraId="1D3297F1">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5.1本项目是否接受联合体竞标，详见“供应商须知前附表”。</w:t>
      </w:r>
    </w:p>
    <w:p w14:paraId="61BA6968">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5.2如接受联合体竞标，联合体竞标要求详见“供应商须知前附表”。</w:t>
      </w:r>
    </w:p>
    <w:p w14:paraId="7D61BC59">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5.3</w:t>
      </w:r>
      <w:bookmarkStart w:id="64" w:name="_Hlk65857072"/>
      <w:r>
        <w:rPr>
          <w:rFonts w:hint="eastAsia" w:ascii="宋体" w:hAnsi="宋体"/>
          <w:bCs/>
          <w:color w:val="auto"/>
          <w:szCs w:val="21"/>
        </w:rPr>
        <w:t>根据《政府采购促进中小企业发展管理办法》（财库〔</w:t>
      </w:r>
      <w:r>
        <w:rPr>
          <w:rFonts w:ascii="宋体" w:hAnsi="宋体"/>
          <w:bCs/>
          <w:color w:val="auto"/>
          <w:szCs w:val="21"/>
        </w:rPr>
        <w:t>2020</w:t>
      </w:r>
      <w:r>
        <w:rPr>
          <w:rFonts w:hint="eastAsia" w:ascii="宋体" w:hAnsi="宋体"/>
          <w:bCs/>
          <w:color w:val="auto"/>
          <w:szCs w:val="21"/>
        </w:rPr>
        <w:t>〕</w:t>
      </w:r>
      <w:r>
        <w:rPr>
          <w:rFonts w:ascii="宋体" w:hAnsi="宋体"/>
          <w:bCs/>
          <w:color w:val="auto"/>
          <w:szCs w:val="21"/>
        </w:rPr>
        <w:t>46</w:t>
      </w:r>
      <w:r>
        <w:rPr>
          <w:rFonts w:hint="eastAsia" w:ascii="宋体" w:hAnsi="宋体"/>
          <w:bCs/>
          <w:color w:val="auto"/>
          <w:szCs w:val="21"/>
        </w:rPr>
        <w:t>号）第九条第二款及《广西壮族自治区财政厅关于持续优化政府采购营商环境推动高质量发展的通知》（桂财采〔2024〕55号）规定，接受大中型企业与小微企业组成联合体或者允许大中型企业向一家或者多家小微企业分包的采购项目，对于联合协议或者分包意向协议约定小微企业的合同份额占到合同总金额</w:t>
      </w:r>
      <w:r>
        <w:rPr>
          <w:rFonts w:ascii="宋体" w:hAnsi="宋体"/>
          <w:bCs/>
          <w:color w:val="auto"/>
          <w:szCs w:val="21"/>
        </w:rPr>
        <w:t>30%</w:t>
      </w:r>
      <w:r>
        <w:rPr>
          <w:rFonts w:hint="eastAsia" w:ascii="宋体" w:hAnsi="宋体"/>
          <w:bCs/>
          <w:color w:val="auto"/>
          <w:szCs w:val="21"/>
        </w:rPr>
        <w:t>以上的，采购人、采购代理机构应当对联合体或者大中型企业的报价给予</w:t>
      </w:r>
      <w:r>
        <w:rPr>
          <w:rFonts w:ascii="宋体" w:hAnsi="宋体"/>
          <w:bCs/>
          <w:color w:val="auto"/>
          <w:szCs w:val="21"/>
        </w:rPr>
        <w:t>4%-6%</w:t>
      </w:r>
      <w:r>
        <w:rPr>
          <w:rFonts w:hint="eastAsia" w:ascii="宋体" w:hAnsi="宋体"/>
          <w:bCs/>
          <w:color w:val="auto"/>
          <w:szCs w:val="21"/>
        </w:rPr>
        <w:t>的扣除，用扣除后的价格参加评审。</w:t>
      </w:r>
      <w:bookmarkEnd w:id="64"/>
    </w:p>
    <w:p w14:paraId="6D85E622">
      <w:pPr>
        <w:spacing w:line="400" w:lineRule="exact"/>
        <w:ind w:firstLine="482" w:firstLineChars="200"/>
        <w:contextualSpacing/>
        <w:rPr>
          <w:rFonts w:ascii="黑体" w:hAnsi="黑体" w:eastAsia="黑体" w:cs="宋体"/>
          <w:b/>
          <w:bCs/>
          <w:color w:val="auto"/>
          <w:sz w:val="24"/>
        </w:rPr>
      </w:pPr>
      <w:r>
        <w:rPr>
          <w:rFonts w:hint="eastAsia" w:ascii="黑体" w:hAnsi="黑体" w:eastAsia="黑体" w:cs="宋体"/>
          <w:b/>
          <w:bCs/>
          <w:color w:val="auto"/>
          <w:sz w:val="24"/>
        </w:rPr>
        <w:t xml:space="preserve">6.转包与分包             </w:t>
      </w:r>
    </w:p>
    <w:p w14:paraId="032D445B">
      <w:pPr>
        <w:pStyle w:val="7"/>
        <w:keepNext w:val="0"/>
        <w:keepLines w:val="0"/>
        <w:spacing w:before="0" w:after="0" w:line="400" w:lineRule="exact"/>
        <w:ind w:left="420" w:leftChars="200"/>
        <w:rPr>
          <w:rFonts w:ascii="宋体" w:hAnsi="宋体"/>
          <w:b w:val="0"/>
          <w:color w:val="auto"/>
          <w:sz w:val="21"/>
          <w:szCs w:val="21"/>
        </w:rPr>
      </w:pPr>
      <w:bookmarkStart w:id="65" w:name="_Toc254970673"/>
      <w:bookmarkStart w:id="66" w:name="_Toc254970532"/>
      <w:r>
        <w:rPr>
          <w:rFonts w:hint="eastAsia" w:ascii="宋体" w:hAnsi="宋体"/>
          <w:b w:val="0"/>
          <w:color w:val="auto"/>
          <w:sz w:val="21"/>
          <w:szCs w:val="21"/>
        </w:rPr>
        <w:t>6.1本项目不允许转包。</w:t>
      </w:r>
    </w:p>
    <w:p w14:paraId="01CFF82A">
      <w:pPr>
        <w:pStyle w:val="7"/>
        <w:keepNext w:val="0"/>
        <w:keepLines w:val="0"/>
        <w:spacing w:before="0" w:after="0" w:line="400" w:lineRule="exact"/>
        <w:ind w:firstLine="315" w:firstLineChars="150"/>
        <w:rPr>
          <w:rFonts w:ascii="宋体" w:hAnsi="宋体"/>
          <w:b w:val="0"/>
          <w:color w:val="auto"/>
          <w:sz w:val="21"/>
          <w:szCs w:val="21"/>
        </w:rPr>
      </w:pPr>
      <w:r>
        <w:rPr>
          <w:rFonts w:hint="eastAsia" w:ascii="宋体" w:hAnsi="宋体"/>
          <w:b w:val="0"/>
          <w:color w:val="auto"/>
          <w:sz w:val="21"/>
          <w:szCs w:val="21"/>
        </w:rPr>
        <w:t xml:space="preserve"> 6.2本项目是否允许分包详见“供应商须知前附表”，本项目不允许违法分包。允许分包的非主体、非关键性工作，根据法律法规规定承担该工作需要行政许可的，如该工作由供应商自行承担，供应商应具备相应的行政许可，如供应商不具备相应的行政许可必须采用分包的方式，但分包供应商应具备相应行政许可。</w:t>
      </w:r>
    </w:p>
    <w:p w14:paraId="7B456029">
      <w:pPr>
        <w:pStyle w:val="7"/>
        <w:keepNext w:val="0"/>
        <w:keepLines w:val="0"/>
        <w:spacing w:before="0" w:after="0" w:line="400" w:lineRule="exact"/>
        <w:ind w:firstLine="315" w:firstLineChars="150"/>
        <w:rPr>
          <w:rFonts w:ascii="宋体" w:hAnsi="宋体"/>
          <w:b w:val="0"/>
          <w:color w:val="auto"/>
          <w:sz w:val="21"/>
          <w:szCs w:val="21"/>
        </w:rPr>
      </w:pPr>
      <w:r>
        <w:rPr>
          <w:rFonts w:hint="eastAsia" w:ascii="宋体" w:hAnsi="宋体"/>
          <w:b w:val="0"/>
          <w:color w:val="auto"/>
          <w:sz w:val="21"/>
          <w:szCs w:val="21"/>
        </w:rPr>
        <w:t xml:space="preserve"> 6.3供应商根据磋商文件的规定和采购项目的实际情况，拟在成交后将成交项目的非主体、非关键性工作分包的，应当在响应文件中载明分包承担主体，分包承担主体应当具备相应资质条件且不得再次分包。</w:t>
      </w:r>
    </w:p>
    <w:p w14:paraId="6B304654">
      <w:pPr>
        <w:spacing w:line="400" w:lineRule="exact"/>
        <w:ind w:firstLine="482" w:firstLineChars="200"/>
        <w:contextualSpacing/>
        <w:rPr>
          <w:rFonts w:ascii="黑体" w:hAnsi="黑体" w:eastAsia="黑体" w:cs="宋体"/>
          <w:b/>
          <w:bCs/>
          <w:color w:val="auto"/>
          <w:sz w:val="24"/>
        </w:rPr>
      </w:pPr>
      <w:r>
        <w:rPr>
          <w:rFonts w:hint="eastAsia" w:ascii="黑体" w:hAnsi="黑体" w:eastAsia="黑体" w:cs="宋体"/>
          <w:b/>
          <w:bCs/>
          <w:color w:val="auto"/>
          <w:sz w:val="24"/>
        </w:rPr>
        <w:t>7.特别说明</w:t>
      </w:r>
      <w:bookmarkEnd w:id="65"/>
      <w:bookmarkEnd w:id="66"/>
    </w:p>
    <w:p w14:paraId="361C349E">
      <w:pPr>
        <w:spacing w:line="400" w:lineRule="exact"/>
        <w:ind w:firstLine="420" w:firstLineChars="200"/>
        <w:contextualSpacing/>
        <w:rPr>
          <w:rFonts w:ascii="宋体" w:hAnsi="宋体" w:cs="宋体"/>
          <w:color w:val="auto"/>
          <w:szCs w:val="21"/>
        </w:rPr>
      </w:pPr>
      <w:bookmarkStart w:id="67" w:name="_8.1提供相同品牌产品且通过资格审查、符合性审查的不同投标人参加同一合"/>
      <w:bookmarkEnd w:id="67"/>
      <w:r>
        <w:rPr>
          <w:rFonts w:hint="eastAsia" w:ascii="宋体" w:hAnsi="宋体"/>
          <w:color w:val="auto"/>
          <w:szCs w:val="21"/>
        </w:rPr>
        <w:t>7.1如果本磋商文件要求提供供应商或制造商的资格、信誉、荣誉、业绩与企业认证等材料的，资格、信誉、荣誉、业绩与企业认证等必须为供应商或者制造商所拥有或自身获得</w:t>
      </w:r>
      <w:r>
        <w:rPr>
          <w:rFonts w:hint="eastAsia" w:ascii="宋体" w:hAnsi="宋体" w:cs="宋体"/>
          <w:color w:val="auto"/>
          <w:szCs w:val="21"/>
        </w:rPr>
        <w:t>。</w:t>
      </w:r>
    </w:p>
    <w:p w14:paraId="2D8644B9">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7.2供应商应仔细阅读磋商文件的所有内容，按照磋商文件的要求提交响应文件，并对所提供的全部资料的真实性承担法律责任。</w:t>
      </w:r>
    </w:p>
    <w:p w14:paraId="2ED512CA">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0EEB4B8F">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7.4在政府采购活动中，采购人员及相关人员与供应商有下列利害关系之一的，应当回避：</w:t>
      </w:r>
    </w:p>
    <w:p w14:paraId="0B5A43B0">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（1）参加采购活动前3年内与供应商存在劳动关系；</w:t>
      </w:r>
    </w:p>
    <w:p w14:paraId="189E6B13">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（2）参加采购活动前3年内担任供应商的董事、监事；</w:t>
      </w:r>
    </w:p>
    <w:p w14:paraId="62F746D5">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（3）参加采购活动前3年内是供应商的控股股东或者实际控制人；</w:t>
      </w:r>
    </w:p>
    <w:p w14:paraId="3FA27A2F">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（4）与供应商的法定代表人或者负责人有夫妻、直系血亲、三代以内旁系血亲或者近姻亲关系；</w:t>
      </w:r>
    </w:p>
    <w:p w14:paraId="7F9B4978">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（5）与供应商有其他可能影响政府采购活动公平、公正进行的关系。</w:t>
      </w:r>
    </w:p>
    <w:p w14:paraId="3903807B">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1C549F3C">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7.5有下列情形之一的视为供应商相互串通竞标，响应文件将被视为无效：</w:t>
      </w:r>
    </w:p>
    <w:p w14:paraId="5261AAE0">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 xml:space="preserve">（1）不同供应商的响应文件由同一单位或者个人编制； </w:t>
      </w:r>
    </w:p>
    <w:p w14:paraId="4CC9DA93">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（2）不同供应商委托同一单位或者个人办理竞标事宜；</w:t>
      </w:r>
    </w:p>
    <w:p w14:paraId="39D77399">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（3）不同的供应商的响应文件载明的项目管理员为同一个人；</w:t>
      </w:r>
    </w:p>
    <w:p w14:paraId="16EDCC54">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（4）不同供应商的响应文件异常一致或者报价呈规律性差异；</w:t>
      </w:r>
    </w:p>
    <w:p w14:paraId="746F03CE">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（5）不同供应商的响应文件相互混装；</w:t>
      </w:r>
    </w:p>
    <w:p w14:paraId="0103FB3C">
      <w:pPr>
        <w:tabs>
          <w:tab w:val="left" w:pos="6931"/>
        </w:tabs>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（6）不同供应商的磋商保证金从同一单位或者个人账户转出。</w:t>
      </w:r>
      <w:r>
        <w:rPr>
          <w:rFonts w:ascii="宋体" w:hAnsi="宋体" w:cs="宋体"/>
          <w:color w:val="auto"/>
          <w:szCs w:val="21"/>
        </w:rPr>
        <w:tab/>
      </w:r>
    </w:p>
    <w:p w14:paraId="2C655FF0">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7.6供应商有下列情形之一的，属于恶意串通行为，将报同级监督管理部门：</w:t>
      </w:r>
    </w:p>
    <w:p w14:paraId="632BF306">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（1）供应商直接或者间接从采购人或者采购代理机构处获得其他供应商的相关信息并修改其响应文件；</w:t>
      </w:r>
    </w:p>
    <w:p w14:paraId="7DD0D276">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（2）供应商按照采购人或者采购代理机构的授意撤换、修改响应文件；</w:t>
      </w:r>
    </w:p>
    <w:p w14:paraId="3A6107AB">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（3）供应商之间协商报价、技术方案等响应文件或者响应文件的实质性内容；</w:t>
      </w:r>
    </w:p>
    <w:p w14:paraId="6E450231">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（4）属于同一集团、协会、商会等组织成员的供应商按照该组织要求协同参加政府采购活动；</w:t>
      </w:r>
    </w:p>
    <w:p w14:paraId="56B4F9AF">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（5）供应商之间事先约定一致抬高或者压低报价，或者在政府采购活动中事先约定轮流以高价位或者低价位成交，或者事先约定由某一特定供应商成交，然后再参加竞标；</w:t>
      </w:r>
    </w:p>
    <w:p w14:paraId="36D2BB63">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（6）供应商之间商定部分供应商放弃参加政府采购活动或者放弃成交；</w:t>
      </w:r>
    </w:p>
    <w:p w14:paraId="4FF245B6">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（7）供应商与采购人或者采购代理机构之间、供应商相互之间，为谋求特定供应商成交或者排斥其他供应商的其他串通行为。</w:t>
      </w:r>
    </w:p>
    <w:p w14:paraId="2C51B341">
      <w:pPr>
        <w:spacing w:line="400" w:lineRule="exact"/>
        <w:ind w:firstLine="420" w:firstLineChars="200"/>
        <w:contextualSpacing/>
        <w:rPr>
          <w:rFonts w:ascii="宋体" w:hAnsi="宋体" w:cs="宋体"/>
          <w:color w:val="auto"/>
          <w:szCs w:val="21"/>
        </w:rPr>
      </w:pPr>
    </w:p>
    <w:p w14:paraId="5168FA26">
      <w:pPr>
        <w:spacing w:line="400" w:lineRule="exact"/>
        <w:ind w:left="1" w:firstLine="417" w:firstLineChars="199"/>
        <w:contextualSpacing/>
        <w:jc w:val="center"/>
        <w:rPr>
          <w:rFonts w:ascii="宋体" w:hAnsi="宋体"/>
          <w:color w:val="auto"/>
        </w:rPr>
      </w:pPr>
      <w:bookmarkStart w:id="68" w:name="_Toc254970534"/>
      <w:bookmarkStart w:id="69" w:name="_Toc254970675"/>
    </w:p>
    <w:p w14:paraId="11FB0390">
      <w:pPr>
        <w:spacing w:line="400" w:lineRule="exact"/>
        <w:contextualSpacing/>
        <w:jc w:val="center"/>
        <w:rPr>
          <w:rFonts w:ascii="宋体" w:hAnsi="宋体"/>
          <w:b/>
          <w:bCs/>
          <w:color w:val="auto"/>
          <w:sz w:val="32"/>
          <w:szCs w:val="32"/>
        </w:rPr>
      </w:pPr>
      <w:r>
        <w:rPr>
          <w:rFonts w:hint="eastAsia" w:ascii="宋体" w:hAnsi="宋体"/>
          <w:b/>
          <w:bCs/>
          <w:color w:val="auto"/>
          <w:sz w:val="32"/>
          <w:szCs w:val="32"/>
        </w:rPr>
        <w:t>二、磋商文件</w:t>
      </w:r>
      <w:bookmarkEnd w:id="68"/>
      <w:bookmarkEnd w:id="69"/>
    </w:p>
    <w:p w14:paraId="52635FDF">
      <w:pPr>
        <w:spacing w:line="400" w:lineRule="exact"/>
        <w:contextualSpacing/>
        <w:jc w:val="center"/>
        <w:rPr>
          <w:rFonts w:ascii="宋体" w:hAnsi="宋体"/>
          <w:color w:val="auto"/>
          <w:szCs w:val="21"/>
        </w:rPr>
      </w:pPr>
    </w:p>
    <w:p w14:paraId="71BC0743">
      <w:pPr>
        <w:spacing w:line="400" w:lineRule="exact"/>
        <w:ind w:firstLine="482" w:firstLineChars="200"/>
        <w:contextualSpacing/>
        <w:rPr>
          <w:rFonts w:ascii="黑体" w:hAnsi="黑体" w:eastAsia="黑体" w:cs="宋体"/>
          <w:b/>
          <w:bCs/>
          <w:color w:val="auto"/>
          <w:sz w:val="24"/>
        </w:rPr>
      </w:pPr>
      <w:r>
        <w:rPr>
          <w:rFonts w:hint="eastAsia" w:ascii="黑体" w:hAnsi="黑体" w:eastAsia="黑体" w:cs="宋体"/>
          <w:b/>
          <w:bCs/>
          <w:color w:val="auto"/>
          <w:sz w:val="24"/>
        </w:rPr>
        <w:t>8.磋商文件的构成</w:t>
      </w:r>
    </w:p>
    <w:p w14:paraId="0DC3F7F6">
      <w:pPr>
        <w:spacing w:line="400" w:lineRule="exact"/>
        <w:ind w:firstLine="420" w:firstLineChars="200"/>
        <w:contextualSpacing/>
        <w:jc w:val="left"/>
        <w:rPr>
          <w:rFonts w:ascii="宋体" w:hAnsi="宋体"/>
          <w:color w:val="auto"/>
          <w:szCs w:val="21"/>
        </w:rPr>
      </w:pPr>
      <w:r>
        <w:rPr>
          <w:rFonts w:hint="eastAsia" w:ascii="宋体" w:hAnsi="宋体"/>
          <w:color w:val="auto"/>
          <w:szCs w:val="21"/>
        </w:rPr>
        <w:t>（1）竞争性磋商公告；</w:t>
      </w:r>
    </w:p>
    <w:p w14:paraId="544691DC">
      <w:pPr>
        <w:spacing w:line="400" w:lineRule="exact"/>
        <w:ind w:firstLine="420" w:firstLineChars="200"/>
        <w:contextualSpacing/>
        <w:jc w:val="left"/>
        <w:rPr>
          <w:rFonts w:ascii="宋体" w:hAnsi="宋体"/>
          <w:color w:val="auto"/>
          <w:szCs w:val="21"/>
        </w:rPr>
      </w:pPr>
      <w:r>
        <w:rPr>
          <w:rFonts w:hint="eastAsia" w:ascii="宋体" w:hAnsi="宋体"/>
          <w:color w:val="auto"/>
          <w:szCs w:val="21"/>
        </w:rPr>
        <w:t xml:space="preserve">（2）供应商须知； </w:t>
      </w:r>
    </w:p>
    <w:p w14:paraId="3528ADF5">
      <w:pPr>
        <w:spacing w:line="400" w:lineRule="exact"/>
        <w:ind w:firstLine="420" w:firstLineChars="200"/>
        <w:contextualSpacing/>
        <w:jc w:val="left"/>
        <w:rPr>
          <w:rFonts w:ascii="宋体" w:hAnsi="宋体"/>
          <w:color w:val="auto"/>
          <w:szCs w:val="21"/>
        </w:rPr>
      </w:pPr>
      <w:r>
        <w:rPr>
          <w:rFonts w:hint="eastAsia" w:ascii="宋体" w:hAnsi="宋体"/>
          <w:color w:val="auto"/>
          <w:szCs w:val="21"/>
        </w:rPr>
        <w:t>（3）采购需求；</w:t>
      </w:r>
    </w:p>
    <w:p w14:paraId="3295309B">
      <w:pPr>
        <w:spacing w:line="400" w:lineRule="exact"/>
        <w:ind w:firstLine="420" w:firstLineChars="200"/>
        <w:contextualSpacing/>
        <w:jc w:val="left"/>
        <w:rPr>
          <w:rFonts w:ascii="宋体" w:hAnsi="宋体"/>
          <w:color w:val="auto"/>
          <w:szCs w:val="21"/>
        </w:rPr>
      </w:pPr>
      <w:r>
        <w:rPr>
          <w:rFonts w:hint="eastAsia" w:ascii="宋体" w:hAnsi="宋体"/>
          <w:color w:val="auto"/>
          <w:szCs w:val="21"/>
        </w:rPr>
        <w:t>（4）评审程序、评审方法和评审标准；</w:t>
      </w:r>
    </w:p>
    <w:p w14:paraId="66D8014C">
      <w:pPr>
        <w:spacing w:line="400" w:lineRule="exact"/>
        <w:ind w:firstLine="420" w:firstLineChars="200"/>
        <w:contextualSpacing/>
        <w:jc w:val="left"/>
        <w:rPr>
          <w:rFonts w:ascii="宋体" w:hAnsi="宋体"/>
          <w:color w:val="auto"/>
          <w:szCs w:val="21"/>
        </w:rPr>
      </w:pPr>
      <w:r>
        <w:rPr>
          <w:rFonts w:hint="eastAsia" w:ascii="宋体" w:hAnsi="宋体"/>
          <w:color w:val="auto"/>
          <w:szCs w:val="21"/>
        </w:rPr>
        <w:t>（5）响应文件格式；</w:t>
      </w:r>
    </w:p>
    <w:p w14:paraId="22517F91">
      <w:pPr>
        <w:spacing w:line="400" w:lineRule="exact"/>
        <w:ind w:firstLine="420" w:firstLineChars="200"/>
        <w:contextualSpacing/>
        <w:jc w:val="left"/>
        <w:rPr>
          <w:rFonts w:ascii="宋体" w:hAnsi="宋体"/>
          <w:color w:val="auto"/>
          <w:szCs w:val="21"/>
        </w:rPr>
      </w:pPr>
      <w:r>
        <w:rPr>
          <w:rFonts w:hint="eastAsia" w:ascii="宋体" w:hAnsi="宋体"/>
          <w:color w:val="auto"/>
          <w:szCs w:val="21"/>
        </w:rPr>
        <w:t>（6）合同文本。</w:t>
      </w:r>
    </w:p>
    <w:p w14:paraId="7BC11925">
      <w:pPr>
        <w:spacing w:line="400" w:lineRule="exact"/>
        <w:ind w:firstLine="482" w:firstLineChars="200"/>
        <w:contextualSpacing/>
        <w:rPr>
          <w:rFonts w:ascii="黑体" w:hAnsi="黑体" w:eastAsia="黑体" w:cs="宋体"/>
          <w:b/>
          <w:bCs/>
          <w:color w:val="auto"/>
          <w:sz w:val="24"/>
        </w:rPr>
      </w:pPr>
      <w:r>
        <w:rPr>
          <w:rFonts w:hint="eastAsia" w:ascii="黑体" w:hAnsi="黑体" w:eastAsia="黑体" w:cs="宋体"/>
          <w:b/>
          <w:bCs/>
          <w:color w:val="auto"/>
          <w:sz w:val="24"/>
        </w:rPr>
        <w:t>9.供应商的询问</w:t>
      </w:r>
    </w:p>
    <w:p w14:paraId="3BF4090C">
      <w:pPr>
        <w:spacing w:line="400" w:lineRule="exact"/>
        <w:ind w:firstLine="420" w:firstLineChars="200"/>
        <w:contextualSpacing/>
        <w:rPr>
          <w:rFonts w:ascii="宋体" w:hAnsi="宋体"/>
          <w:color w:val="auto"/>
          <w:szCs w:val="21"/>
        </w:rPr>
      </w:pPr>
      <w:r>
        <w:rPr>
          <w:rFonts w:hint="eastAsia" w:ascii="宋体" w:hAnsi="宋体"/>
          <w:color w:val="auto"/>
          <w:szCs w:val="21"/>
        </w:rPr>
        <w:t>供应商应认真阅读磋商文件的采购需求，如供应商对磋商文件有疑问的，如要求采购人作出澄清或者修改的，供应商尽可能在</w:t>
      </w:r>
      <w:r>
        <w:rPr>
          <w:rFonts w:ascii="宋体" w:hAnsi="宋体"/>
          <w:color w:val="auto"/>
          <w:szCs w:val="21"/>
        </w:rPr>
        <w:t>提交首次响应文件截止之日前</w:t>
      </w:r>
      <w:r>
        <w:rPr>
          <w:rFonts w:hint="eastAsia" w:ascii="宋体" w:hAnsi="宋体"/>
          <w:color w:val="auto"/>
          <w:szCs w:val="21"/>
        </w:rPr>
        <w:t>，以书面形式向</w:t>
      </w:r>
      <w:r>
        <w:rPr>
          <w:rFonts w:ascii="宋体" w:hAnsi="宋体"/>
          <w:color w:val="auto"/>
          <w:szCs w:val="21"/>
        </w:rPr>
        <w:t>采购人、采购代理机构</w:t>
      </w:r>
      <w:r>
        <w:rPr>
          <w:rFonts w:hint="eastAsia" w:ascii="宋体" w:hAnsi="宋体"/>
          <w:color w:val="auto"/>
          <w:szCs w:val="21"/>
        </w:rPr>
        <w:t>提出。</w:t>
      </w:r>
    </w:p>
    <w:p w14:paraId="6AF9F337">
      <w:pPr>
        <w:spacing w:line="400" w:lineRule="exact"/>
        <w:ind w:firstLine="482" w:firstLineChars="200"/>
        <w:contextualSpacing/>
        <w:rPr>
          <w:rFonts w:ascii="黑体" w:hAnsi="黑体" w:eastAsia="黑体" w:cs="宋体"/>
          <w:b/>
          <w:bCs/>
          <w:color w:val="auto"/>
          <w:sz w:val="24"/>
        </w:rPr>
      </w:pPr>
      <w:r>
        <w:rPr>
          <w:rFonts w:hint="eastAsia" w:ascii="黑体" w:hAnsi="黑体" w:eastAsia="黑体" w:cs="宋体"/>
          <w:b/>
          <w:bCs/>
          <w:color w:val="auto"/>
          <w:sz w:val="24"/>
        </w:rPr>
        <w:t>10.磋商文件的澄清和修改</w:t>
      </w:r>
    </w:p>
    <w:p w14:paraId="3FB7A540">
      <w:pPr>
        <w:spacing w:line="400" w:lineRule="exact"/>
        <w:ind w:firstLine="420" w:firstLineChars="200"/>
        <w:contextualSpacing/>
        <w:rPr>
          <w:rFonts w:ascii="宋体" w:hAnsi="宋体"/>
          <w:color w:val="auto"/>
          <w:szCs w:val="21"/>
        </w:rPr>
      </w:pPr>
      <w:r>
        <w:rPr>
          <w:rFonts w:ascii="宋体" w:hAnsi="宋体"/>
          <w:color w:val="auto"/>
          <w:szCs w:val="21"/>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3个工作日前，以书面形式通知所有</w:t>
      </w:r>
      <w:r>
        <w:rPr>
          <w:rFonts w:hint="eastAsia" w:ascii="宋体" w:hAnsi="宋体"/>
          <w:color w:val="auto"/>
          <w:szCs w:val="21"/>
        </w:rPr>
        <w:t>获取</w:t>
      </w:r>
      <w:r>
        <w:rPr>
          <w:rFonts w:ascii="宋体" w:hAnsi="宋体"/>
          <w:color w:val="auto"/>
          <w:szCs w:val="21"/>
        </w:rPr>
        <w:t>磋商文件的供应商，不足3个工作日的，应当顺延提交首次响应文件截止之日。</w:t>
      </w:r>
    </w:p>
    <w:p w14:paraId="33E58486">
      <w:pPr>
        <w:spacing w:line="400" w:lineRule="exact"/>
        <w:contextualSpacing/>
        <w:rPr>
          <w:rFonts w:ascii="宋体" w:hAnsi="宋体"/>
          <w:color w:val="auto"/>
          <w:szCs w:val="21"/>
        </w:rPr>
      </w:pPr>
    </w:p>
    <w:p w14:paraId="06E48197">
      <w:pPr>
        <w:spacing w:line="400" w:lineRule="exact"/>
        <w:contextualSpacing/>
        <w:jc w:val="center"/>
        <w:rPr>
          <w:rFonts w:ascii="宋体" w:hAnsi="宋体"/>
          <w:b/>
          <w:bCs/>
          <w:color w:val="auto"/>
          <w:szCs w:val="21"/>
        </w:rPr>
      </w:pPr>
      <w:r>
        <w:rPr>
          <w:rFonts w:hint="eastAsia" w:ascii="宋体" w:hAnsi="宋体"/>
          <w:b/>
          <w:bCs/>
          <w:color w:val="auto"/>
          <w:sz w:val="32"/>
          <w:szCs w:val="32"/>
        </w:rPr>
        <w:t>三、响应文件的编制</w:t>
      </w:r>
    </w:p>
    <w:p w14:paraId="0307645B">
      <w:pPr>
        <w:spacing w:line="400" w:lineRule="exact"/>
        <w:contextualSpacing/>
        <w:rPr>
          <w:rFonts w:ascii="宋体" w:hAnsi="宋体"/>
          <w:color w:val="auto"/>
          <w:szCs w:val="21"/>
        </w:rPr>
      </w:pPr>
    </w:p>
    <w:p w14:paraId="3C86D071">
      <w:pPr>
        <w:spacing w:line="400" w:lineRule="exact"/>
        <w:ind w:firstLine="482" w:firstLineChars="200"/>
        <w:contextualSpacing/>
        <w:rPr>
          <w:rFonts w:ascii="黑体" w:hAnsi="黑体" w:eastAsia="黑体" w:cs="宋体"/>
          <w:b/>
          <w:bCs/>
          <w:color w:val="auto"/>
          <w:sz w:val="24"/>
        </w:rPr>
      </w:pPr>
      <w:r>
        <w:rPr>
          <w:rFonts w:hint="eastAsia" w:ascii="黑体" w:hAnsi="黑体" w:eastAsia="黑体" w:cs="宋体"/>
          <w:b/>
          <w:bCs/>
          <w:color w:val="auto"/>
          <w:sz w:val="24"/>
        </w:rPr>
        <w:t>11.响应文件的编制原则</w:t>
      </w:r>
    </w:p>
    <w:p w14:paraId="3EA945F7">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供应商必须按照磋商文件的要求编制响应文件，并对其提交的响应文件的真实性、合法性承担法律责任。响应文件必须对磋商文件作出实质性响应。</w:t>
      </w:r>
    </w:p>
    <w:p w14:paraId="2C1825DE">
      <w:pPr>
        <w:spacing w:line="400" w:lineRule="exact"/>
        <w:ind w:firstLine="482" w:firstLineChars="200"/>
        <w:contextualSpacing/>
        <w:rPr>
          <w:rFonts w:ascii="黑体" w:hAnsi="黑体" w:eastAsia="黑体" w:cs="宋体"/>
          <w:b/>
          <w:bCs/>
          <w:color w:val="auto"/>
          <w:sz w:val="24"/>
        </w:rPr>
      </w:pPr>
      <w:r>
        <w:rPr>
          <w:rFonts w:hint="eastAsia" w:ascii="黑体" w:hAnsi="黑体" w:eastAsia="黑体" w:cs="宋体"/>
          <w:b/>
          <w:bCs/>
          <w:color w:val="auto"/>
          <w:sz w:val="24"/>
        </w:rPr>
        <w:t>12.响应文件的组成</w:t>
      </w:r>
    </w:p>
    <w:p w14:paraId="10C866CD">
      <w:pPr>
        <w:spacing w:line="400" w:lineRule="exact"/>
        <w:ind w:firstLine="420" w:firstLineChars="200"/>
        <w:rPr>
          <w:rFonts w:ascii="宋体" w:hAnsi="宋体" w:cs="宋体"/>
          <w:color w:val="auto"/>
          <w:szCs w:val="21"/>
        </w:rPr>
      </w:pPr>
      <w:r>
        <w:rPr>
          <w:rFonts w:hint="eastAsia" w:ascii="宋体" w:hAnsi="宋体" w:cs="宋体"/>
          <w:color w:val="auto"/>
          <w:szCs w:val="21"/>
        </w:rPr>
        <w:t>12.1响应文件由资格证明文件、报价文件、商务技术文件三部分组成。</w:t>
      </w:r>
    </w:p>
    <w:p w14:paraId="1EF096C9">
      <w:pPr>
        <w:spacing w:line="400" w:lineRule="exact"/>
        <w:ind w:left="840" w:leftChars="200" w:hanging="420" w:hangingChars="200"/>
        <w:rPr>
          <w:rFonts w:ascii="宋体" w:hAnsi="宋体" w:cs="宋体"/>
          <w:color w:val="auto"/>
          <w:szCs w:val="21"/>
        </w:rPr>
      </w:pPr>
      <w:r>
        <w:rPr>
          <w:rFonts w:hint="eastAsia" w:ascii="宋体" w:hAnsi="宋体" w:cs="宋体"/>
          <w:color w:val="auto"/>
          <w:szCs w:val="21"/>
        </w:rPr>
        <w:t>12.1.1资格证明文件：详见“供应商须知前附表”</w:t>
      </w:r>
    </w:p>
    <w:p w14:paraId="4456A909">
      <w:pPr>
        <w:spacing w:line="400" w:lineRule="exact"/>
        <w:ind w:left="840" w:leftChars="200" w:hanging="420" w:hangingChars="200"/>
        <w:rPr>
          <w:rFonts w:ascii="宋体" w:hAnsi="宋体" w:cs="宋体"/>
          <w:color w:val="auto"/>
          <w:szCs w:val="21"/>
        </w:rPr>
      </w:pPr>
      <w:r>
        <w:rPr>
          <w:rFonts w:hint="eastAsia" w:ascii="宋体" w:hAnsi="宋体" w:cs="宋体"/>
          <w:color w:val="auto"/>
          <w:szCs w:val="21"/>
        </w:rPr>
        <w:t>12.1.2报价文件：详见“供应商须知前附表”</w:t>
      </w:r>
    </w:p>
    <w:p w14:paraId="4F52D268">
      <w:pPr>
        <w:spacing w:line="400" w:lineRule="exact"/>
        <w:ind w:left="840" w:leftChars="200" w:hanging="420" w:hangingChars="200"/>
        <w:contextualSpacing/>
        <w:rPr>
          <w:rFonts w:ascii="宋体" w:hAnsi="宋体" w:cs="宋体"/>
          <w:color w:val="auto"/>
          <w:szCs w:val="21"/>
        </w:rPr>
      </w:pPr>
      <w:r>
        <w:rPr>
          <w:rFonts w:hint="eastAsia" w:ascii="宋体" w:hAnsi="宋体" w:cs="宋体"/>
          <w:color w:val="auto"/>
          <w:szCs w:val="21"/>
        </w:rPr>
        <w:t>12.1.3商务技术文件：详见“供应商须知前附表”</w:t>
      </w:r>
    </w:p>
    <w:p w14:paraId="00E6B1D4">
      <w:pPr>
        <w:spacing w:line="400" w:lineRule="exact"/>
        <w:ind w:firstLine="482" w:firstLineChars="200"/>
        <w:contextualSpacing/>
        <w:rPr>
          <w:rFonts w:ascii="黑体" w:hAnsi="黑体" w:eastAsia="黑体" w:cs="宋体"/>
          <w:b/>
          <w:bCs/>
          <w:color w:val="auto"/>
          <w:sz w:val="24"/>
        </w:rPr>
      </w:pPr>
      <w:r>
        <w:rPr>
          <w:rFonts w:hint="eastAsia" w:ascii="黑体" w:hAnsi="黑体" w:eastAsia="黑体" w:cs="宋体"/>
          <w:b/>
          <w:bCs/>
          <w:color w:val="auto"/>
          <w:sz w:val="24"/>
        </w:rPr>
        <w:t>13.计量单位</w:t>
      </w:r>
    </w:p>
    <w:p w14:paraId="435B8667">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磋商文件已有明确规定的，使用磋商文件规定的计量单位；磋商文件没有规定的，应采用中华人民共和国法定计量单位，货币种类为人民币，否则视同未响应。</w:t>
      </w:r>
    </w:p>
    <w:p w14:paraId="527CFF0D">
      <w:pPr>
        <w:spacing w:line="400" w:lineRule="exact"/>
        <w:ind w:firstLine="482" w:firstLineChars="200"/>
        <w:contextualSpacing/>
        <w:rPr>
          <w:rFonts w:ascii="黑体" w:hAnsi="黑体" w:eastAsia="黑体" w:cs="宋体"/>
          <w:b/>
          <w:bCs/>
          <w:color w:val="auto"/>
          <w:sz w:val="24"/>
        </w:rPr>
      </w:pPr>
      <w:r>
        <w:rPr>
          <w:rFonts w:hint="eastAsia" w:ascii="黑体" w:hAnsi="黑体" w:eastAsia="黑体" w:cs="宋体"/>
          <w:b/>
          <w:bCs/>
          <w:color w:val="auto"/>
          <w:sz w:val="24"/>
        </w:rPr>
        <w:t>14.竞标的风险</w:t>
      </w:r>
    </w:p>
    <w:p w14:paraId="74FD4EEF">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供应商没有按照磋商文件要求提供全部资料，或者供应商没有对磋商文件在各方面作出实质性响应可能导致其响应无效，是供应商应当考虑的风险。</w:t>
      </w:r>
    </w:p>
    <w:p w14:paraId="4FD21EC6">
      <w:pPr>
        <w:spacing w:line="400" w:lineRule="exact"/>
        <w:ind w:firstLine="482" w:firstLineChars="200"/>
        <w:contextualSpacing/>
        <w:rPr>
          <w:rFonts w:hint="eastAsia" w:ascii="黑体" w:hAnsi="黑体" w:eastAsia="黑体" w:cs="宋体"/>
          <w:b/>
          <w:bCs/>
          <w:color w:val="auto"/>
          <w:sz w:val="24"/>
          <w:lang w:eastAsia="zh-CN"/>
        </w:rPr>
      </w:pPr>
      <w:r>
        <w:rPr>
          <w:rFonts w:hint="eastAsia" w:ascii="黑体" w:hAnsi="黑体" w:eastAsia="黑体" w:cs="宋体"/>
          <w:b/>
          <w:bCs/>
          <w:color w:val="auto"/>
          <w:sz w:val="24"/>
        </w:rPr>
        <w:t>15.</w:t>
      </w:r>
      <w:r>
        <w:rPr>
          <w:rFonts w:hint="eastAsia" w:ascii="黑体" w:hAnsi="黑体" w:eastAsia="黑体" w:cs="宋体"/>
          <w:b/>
          <w:bCs/>
          <w:color w:val="auto"/>
          <w:sz w:val="24"/>
          <w:lang w:eastAsia="zh-CN"/>
        </w:rPr>
        <w:t>磋商报价</w:t>
      </w:r>
    </w:p>
    <w:p w14:paraId="6ED7BF44">
      <w:pPr>
        <w:tabs>
          <w:tab w:val="left" w:pos="2492"/>
        </w:tabs>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15.1</w:t>
      </w:r>
      <w:r>
        <w:rPr>
          <w:rFonts w:hint="eastAsia" w:ascii="宋体" w:hAnsi="宋体" w:cs="宋体"/>
          <w:color w:val="auto"/>
          <w:szCs w:val="21"/>
          <w:lang w:eastAsia="zh-CN"/>
        </w:rPr>
        <w:t>磋商报价</w:t>
      </w:r>
      <w:r>
        <w:rPr>
          <w:rFonts w:hint="eastAsia" w:ascii="宋体" w:hAnsi="宋体" w:cs="宋体"/>
          <w:color w:val="auto"/>
          <w:szCs w:val="21"/>
        </w:rPr>
        <w:t>应按磋商文件中“</w:t>
      </w:r>
      <w:r>
        <w:rPr>
          <w:rFonts w:hint="eastAsia" w:ascii="宋体" w:hAnsi="宋体" w:cs="宋体"/>
          <w:color w:val="auto"/>
          <w:szCs w:val="21"/>
          <w:lang w:eastAsia="zh-CN"/>
        </w:rPr>
        <w:t>磋商报价</w:t>
      </w:r>
      <w:r>
        <w:rPr>
          <w:rFonts w:hint="eastAsia" w:ascii="宋体" w:hAnsi="宋体" w:cs="宋体"/>
          <w:color w:val="auto"/>
          <w:szCs w:val="21"/>
        </w:rPr>
        <w:t>表”格式填写。</w:t>
      </w:r>
    </w:p>
    <w:p w14:paraId="0FAA70F4">
      <w:pPr>
        <w:tabs>
          <w:tab w:val="left" w:pos="2492"/>
        </w:tabs>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15.2</w:t>
      </w:r>
      <w:r>
        <w:rPr>
          <w:rFonts w:hint="eastAsia" w:ascii="宋体" w:hAnsi="宋体" w:cs="宋体"/>
          <w:color w:val="auto"/>
          <w:szCs w:val="21"/>
          <w:lang w:eastAsia="zh-CN"/>
        </w:rPr>
        <w:t>磋商报价</w:t>
      </w:r>
      <w:r>
        <w:rPr>
          <w:rFonts w:hint="eastAsia" w:ascii="宋体" w:hAnsi="宋体" w:cs="宋体"/>
          <w:color w:val="auto"/>
          <w:szCs w:val="21"/>
        </w:rPr>
        <w:t>的内容见“供应商须知前附表”。</w:t>
      </w:r>
    </w:p>
    <w:p w14:paraId="5B878883">
      <w:pPr>
        <w:spacing w:line="400" w:lineRule="exact"/>
        <w:ind w:left="426" w:leftChars="203"/>
        <w:contextualSpacing/>
        <w:rPr>
          <w:rFonts w:ascii="宋体" w:hAnsi="宋体" w:cs="宋体"/>
          <w:color w:val="auto"/>
          <w:szCs w:val="21"/>
        </w:rPr>
      </w:pPr>
      <w:r>
        <w:rPr>
          <w:rFonts w:hint="eastAsia" w:ascii="宋体" w:hAnsi="宋体" w:cs="宋体"/>
          <w:color w:val="auto"/>
          <w:szCs w:val="21"/>
        </w:rPr>
        <w:t>15.3</w:t>
      </w:r>
      <w:r>
        <w:rPr>
          <w:rFonts w:hint="eastAsia" w:ascii="宋体" w:hAnsi="宋体" w:cs="宋体"/>
          <w:color w:val="auto"/>
          <w:szCs w:val="21"/>
          <w:lang w:eastAsia="zh-CN"/>
        </w:rPr>
        <w:t>磋商报价</w:t>
      </w:r>
      <w:r>
        <w:rPr>
          <w:rFonts w:hint="eastAsia" w:ascii="宋体" w:hAnsi="宋体" w:cs="宋体"/>
          <w:color w:val="auto"/>
          <w:szCs w:val="21"/>
        </w:rPr>
        <w:t>要求</w:t>
      </w:r>
    </w:p>
    <w:p w14:paraId="197BA20C">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1</w:t>
      </w:r>
      <w:r>
        <w:rPr>
          <w:rFonts w:ascii="宋体" w:hAnsi="宋体" w:cs="宋体"/>
          <w:color w:val="auto"/>
          <w:szCs w:val="21"/>
        </w:rPr>
        <w:t>5.3.1</w:t>
      </w:r>
      <w:r>
        <w:rPr>
          <w:rFonts w:hint="eastAsia" w:ascii="宋体" w:hAnsi="宋体" w:cs="宋体"/>
          <w:color w:val="auto"/>
          <w:szCs w:val="21"/>
        </w:rPr>
        <w:t>供应商的</w:t>
      </w:r>
      <w:r>
        <w:rPr>
          <w:rFonts w:hint="eastAsia" w:ascii="宋体" w:hAnsi="宋体" w:cs="宋体"/>
          <w:color w:val="auto"/>
          <w:szCs w:val="21"/>
          <w:lang w:eastAsia="zh-CN"/>
        </w:rPr>
        <w:t>磋商报价</w:t>
      </w:r>
      <w:r>
        <w:rPr>
          <w:rFonts w:hint="eastAsia" w:ascii="宋体" w:hAnsi="宋体" w:cs="宋体"/>
          <w:color w:val="auto"/>
          <w:szCs w:val="21"/>
        </w:rPr>
        <w:t>应符合以下要求，否则响应文件按无效响应处理：</w:t>
      </w:r>
    </w:p>
    <w:p w14:paraId="7FDC7750">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（1）供应商必须就“采购需求”中所竞标的全部内容分别作完整唯一总价报价，不得存在漏项报价；</w:t>
      </w:r>
    </w:p>
    <w:p w14:paraId="1A826998">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2</w:t>
      </w:r>
      <w:r>
        <w:rPr>
          <w:rFonts w:hint="eastAsia" w:ascii="宋体" w:hAnsi="宋体" w:cs="宋体"/>
          <w:color w:val="auto"/>
          <w:szCs w:val="21"/>
        </w:rPr>
        <w:t>）项目为多分项的,供应商必须就单项内容作唯一报价。</w:t>
      </w:r>
    </w:p>
    <w:p w14:paraId="1006DD0E">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15.3.</w:t>
      </w:r>
      <w:r>
        <w:rPr>
          <w:rFonts w:ascii="宋体" w:hAnsi="宋体" w:cs="宋体"/>
          <w:color w:val="auto"/>
          <w:szCs w:val="21"/>
        </w:rPr>
        <w:t>2</w:t>
      </w:r>
      <w:r>
        <w:rPr>
          <w:rFonts w:hint="eastAsia" w:ascii="宋体" w:hAnsi="宋体" w:cs="宋体"/>
          <w:color w:val="auto"/>
          <w:szCs w:val="21"/>
          <w:lang w:eastAsia="zh-CN"/>
        </w:rPr>
        <w:t>磋商报价</w:t>
      </w:r>
      <w:r>
        <w:rPr>
          <w:rFonts w:hint="eastAsia" w:ascii="宋体" w:hAnsi="宋体" w:cs="宋体"/>
          <w:color w:val="auto"/>
          <w:szCs w:val="21"/>
        </w:rPr>
        <w:t>（包含首次报价、最后报价）超过规定的采购预算金额或者最高限价的，其响应文件将按无效处理。</w:t>
      </w:r>
    </w:p>
    <w:p w14:paraId="2A33FDA7">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15.3.</w:t>
      </w:r>
      <w:r>
        <w:rPr>
          <w:rFonts w:ascii="宋体" w:hAnsi="宋体" w:cs="宋体"/>
          <w:color w:val="auto"/>
          <w:szCs w:val="21"/>
        </w:rPr>
        <w:t>3</w:t>
      </w:r>
      <w:bookmarkStart w:id="70" w:name="_Hlk42592874"/>
      <w:r>
        <w:rPr>
          <w:rFonts w:hint="eastAsia" w:ascii="宋体" w:hAnsi="宋体" w:cs="宋体"/>
          <w:color w:val="auto"/>
          <w:szCs w:val="21"/>
          <w:lang w:eastAsia="zh-CN"/>
        </w:rPr>
        <w:t>磋商报价</w:t>
      </w:r>
      <w:r>
        <w:rPr>
          <w:rFonts w:hint="eastAsia" w:ascii="宋体" w:hAnsi="宋体" w:cs="宋体"/>
          <w:color w:val="auto"/>
          <w:szCs w:val="21"/>
        </w:rPr>
        <w:t>（包含首次报价、最后报价）超过分项采购预算金额或者最高限价的，其响应文件将按无效处理。</w:t>
      </w:r>
    </w:p>
    <w:bookmarkEnd w:id="70"/>
    <w:p w14:paraId="72CA6F92">
      <w:pPr>
        <w:spacing w:line="400" w:lineRule="exact"/>
        <w:ind w:firstLine="482" w:firstLineChars="200"/>
        <w:contextualSpacing/>
        <w:rPr>
          <w:rFonts w:ascii="黑体" w:hAnsi="黑体" w:eastAsia="黑体" w:cs="宋体"/>
          <w:b/>
          <w:bCs/>
          <w:color w:val="auto"/>
          <w:sz w:val="24"/>
        </w:rPr>
      </w:pPr>
      <w:r>
        <w:rPr>
          <w:rFonts w:hint="eastAsia" w:ascii="黑体" w:hAnsi="黑体" w:eastAsia="黑体" w:cs="宋体"/>
          <w:b/>
          <w:bCs/>
          <w:color w:val="auto"/>
          <w:sz w:val="24"/>
        </w:rPr>
        <w:t>16.竞标有效期</w:t>
      </w:r>
    </w:p>
    <w:p w14:paraId="51A2BDDC">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16.1竞标有效期是指为保证采购人有足够的时间在提交响应文件后完成评审、确定成交供应商、合同签订等工作而要求供应商提交的响应文件在一定时间内保持有效的期限。</w:t>
      </w:r>
    </w:p>
    <w:p w14:paraId="2A0F6FD0">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16.2 竞标有效期应由供应商按“供应商须知前附表”规定的期限作出响应。</w:t>
      </w:r>
    </w:p>
    <w:p w14:paraId="1FE87909">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16.3供应商的响应文件在竞标有效期内均保持有效。</w:t>
      </w:r>
    </w:p>
    <w:p w14:paraId="76C2B58D">
      <w:pPr>
        <w:spacing w:line="400" w:lineRule="exact"/>
        <w:ind w:firstLine="482" w:firstLineChars="200"/>
        <w:contextualSpacing/>
        <w:rPr>
          <w:rFonts w:ascii="黑体" w:hAnsi="黑体" w:eastAsia="黑体" w:cs="宋体"/>
          <w:b/>
          <w:bCs/>
          <w:color w:val="auto"/>
          <w:sz w:val="24"/>
        </w:rPr>
      </w:pPr>
      <w:r>
        <w:rPr>
          <w:rFonts w:hint="eastAsia" w:ascii="黑体" w:hAnsi="黑体" w:eastAsia="黑体" w:cs="宋体"/>
          <w:b/>
          <w:bCs/>
          <w:color w:val="auto"/>
          <w:sz w:val="24"/>
        </w:rPr>
        <w:t>17.磋商保证金</w:t>
      </w:r>
    </w:p>
    <w:p w14:paraId="084FFF0C">
      <w:pPr>
        <w:spacing w:line="400" w:lineRule="exact"/>
        <w:ind w:left="420" w:leftChars="200"/>
        <w:contextualSpacing/>
        <w:rPr>
          <w:rFonts w:ascii="宋体" w:hAnsi="宋体" w:cs="宋体"/>
          <w:color w:val="auto"/>
          <w:szCs w:val="21"/>
        </w:rPr>
      </w:pPr>
      <w:r>
        <w:rPr>
          <w:rFonts w:hint="eastAsia" w:ascii="宋体" w:hAnsi="宋体"/>
          <w:color w:val="auto"/>
          <w:szCs w:val="21"/>
        </w:rPr>
        <w:t>本项目不收取磋商保证金。</w:t>
      </w:r>
    </w:p>
    <w:p w14:paraId="2E0CA526">
      <w:pPr>
        <w:spacing w:line="400" w:lineRule="exact"/>
        <w:ind w:firstLine="482" w:firstLineChars="200"/>
        <w:contextualSpacing/>
        <w:rPr>
          <w:rFonts w:ascii="黑体" w:hAnsi="黑体" w:eastAsia="黑体" w:cs="宋体"/>
          <w:b/>
          <w:bCs/>
          <w:color w:val="auto"/>
          <w:sz w:val="24"/>
        </w:rPr>
      </w:pPr>
      <w:r>
        <w:rPr>
          <w:rFonts w:hint="eastAsia" w:ascii="黑体" w:hAnsi="黑体" w:eastAsia="黑体" w:cs="宋体"/>
          <w:b/>
          <w:bCs/>
          <w:color w:val="auto"/>
          <w:sz w:val="24"/>
        </w:rPr>
        <w:t>18.响应文件编制的要求</w:t>
      </w:r>
    </w:p>
    <w:p w14:paraId="328600B7">
      <w:pPr>
        <w:spacing w:line="400" w:lineRule="exact"/>
        <w:ind w:firstLine="420" w:firstLineChars="200"/>
        <w:rPr>
          <w:rFonts w:ascii="宋体" w:hAnsi="宋体" w:cs="宋体"/>
          <w:color w:val="auto"/>
          <w:szCs w:val="21"/>
        </w:rPr>
      </w:pPr>
      <w:r>
        <w:rPr>
          <w:rFonts w:hint="eastAsia" w:ascii="宋体" w:hAnsi="宋体" w:cs="宋体"/>
          <w:color w:val="auto"/>
          <w:szCs w:val="21"/>
        </w:rPr>
        <w:t>18.1供应商应按照本项目竞争性磋商文件规定的格式和顺序和广西政府采购云平台的要求编制并加密。响应文件内容不完整、编排混乱导致响应文件被误读、漏读或者查找不到相关内容的，由此引发的后果由供应商承担。</w:t>
      </w:r>
    </w:p>
    <w:p w14:paraId="1135E2C9">
      <w:pPr>
        <w:spacing w:line="400" w:lineRule="exact"/>
        <w:ind w:firstLine="420" w:firstLineChars="200"/>
        <w:rPr>
          <w:rFonts w:ascii="宋体" w:hAnsi="宋体" w:cs="宋体"/>
          <w:color w:val="auto"/>
          <w:szCs w:val="21"/>
        </w:rPr>
      </w:pPr>
      <w:r>
        <w:rPr>
          <w:rFonts w:hint="eastAsia" w:ascii="宋体" w:hAnsi="宋体" w:cs="宋体"/>
          <w:color w:val="auto"/>
          <w:szCs w:val="21"/>
        </w:rPr>
        <w:t>18.2为确保网上操作合法、有效和安全，供应商应当在提交响应文件截止时间前完成在</w:t>
      </w:r>
      <w:r>
        <w:rPr>
          <w:rFonts w:hint="eastAsia" w:ascii="宋体" w:hAnsi="宋体"/>
          <w:color w:val="auto"/>
          <w:szCs w:val="21"/>
        </w:rPr>
        <w:t>广西政府采购云平台</w:t>
      </w:r>
      <w:r>
        <w:rPr>
          <w:rFonts w:hint="eastAsia" w:ascii="宋体" w:hAnsi="宋体" w:cs="宋体"/>
          <w:color w:val="auto"/>
          <w:szCs w:val="21"/>
        </w:rPr>
        <w:t>的身份认证，确保在电子竞标过程中能够对相关数据电文进行加密和使用电子签章。</w:t>
      </w:r>
    </w:p>
    <w:p w14:paraId="631289B9">
      <w:pPr>
        <w:spacing w:line="400" w:lineRule="exact"/>
        <w:ind w:firstLine="420" w:firstLineChars="200"/>
        <w:rPr>
          <w:rFonts w:ascii="宋体" w:hAnsi="宋体" w:cs="宋体"/>
          <w:color w:val="auto"/>
          <w:szCs w:val="21"/>
        </w:rPr>
      </w:pPr>
      <w:r>
        <w:rPr>
          <w:rFonts w:hint="eastAsia" w:ascii="宋体" w:hAnsi="宋体" w:cs="宋体"/>
          <w:color w:val="auto"/>
          <w:szCs w:val="21"/>
        </w:rPr>
        <w:t>18.3响应文件须由供应商在规定位置签字、盖章（具体以供应商须知前附表或响应文件格式规定为准），否则按无效响应处理。</w:t>
      </w:r>
    </w:p>
    <w:p w14:paraId="714EB2E2">
      <w:pPr>
        <w:spacing w:line="400" w:lineRule="exact"/>
        <w:ind w:firstLine="420" w:firstLineChars="200"/>
        <w:rPr>
          <w:rFonts w:ascii="宋体" w:hAnsi="宋体" w:cs="宋体"/>
          <w:color w:val="auto"/>
          <w:szCs w:val="21"/>
        </w:rPr>
      </w:pPr>
      <w:r>
        <w:rPr>
          <w:rFonts w:hint="eastAsia" w:ascii="宋体" w:hAnsi="宋体" w:cs="宋体"/>
          <w:color w:val="auto"/>
          <w:szCs w:val="21"/>
        </w:rPr>
        <w:t>18.4响应文件中标注的供应商名称应与主体资格证明（如营业执照或者事业单位法人证书或者执业许可证或者登记证书等）及公章一致，供应商为自然人的，标注的供应商名称应与身份证姓名及签名一致，否则其响应文件按无效响应处理。</w:t>
      </w:r>
    </w:p>
    <w:p w14:paraId="4CB07767">
      <w:pPr>
        <w:spacing w:line="400" w:lineRule="exact"/>
        <w:ind w:firstLine="420" w:firstLineChars="200"/>
        <w:contextualSpacing/>
        <w:rPr>
          <w:rFonts w:ascii="宋体" w:hAnsi="宋体" w:cs="宋体"/>
          <w:color w:val="auto"/>
          <w:szCs w:val="21"/>
        </w:rPr>
      </w:pPr>
      <w:r>
        <w:rPr>
          <w:rFonts w:ascii="宋体" w:hAnsi="宋体" w:cs="宋体"/>
          <w:color w:val="auto"/>
          <w:szCs w:val="21"/>
        </w:rPr>
        <w:t>18.5响</w:t>
      </w:r>
      <w:r>
        <w:rPr>
          <w:color w:val="auto"/>
        </w:rPr>
        <w:t>应文件应尽量避免涂改、行间插字或者删除。如果出现上述情况，改动之处应由供应商的法定代表人或其委托代理人签字（或者电子签名）或者加盖供应商公章(或者加盖电子签章)。响应文件因涂改、行间插字或者删除导致字迹潦草或者表达不清所引起的后果由供应商承担。</w:t>
      </w:r>
    </w:p>
    <w:p w14:paraId="6C196D68">
      <w:pPr>
        <w:spacing w:line="400" w:lineRule="exact"/>
        <w:ind w:firstLine="482" w:firstLineChars="200"/>
        <w:rPr>
          <w:rFonts w:ascii="黑体" w:hAnsi="黑体" w:eastAsia="黑体"/>
          <w:color w:val="auto"/>
          <w:sz w:val="24"/>
        </w:rPr>
      </w:pPr>
      <w:r>
        <w:rPr>
          <w:rFonts w:hint="eastAsia" w:ascii="黑体" w:hAnsi="黑体" w:eastAsia="黑体" w:cs="宋体"/>
          <w:b/>
          <w:bCs/>
          <w:color w:val="auto"/>
          <w:sz w:val="24"/>
        </w:rPr>
        <w:t>19.电子</w:t>
      </w:r>
      <w:r>
        <w:rPr>
          <w:rFonts w:hint="eastAsia" w:ascii="黑体" w:hAnsi="黑体" w:eastAsia="黑体"/>
          <w:b/>
          <w:color w:val="auto"/>
          <w:sz w:val="24"/>
        </w:rPr>
        <w:t>备份响应文件</w:t>
      </w:r>
    </w:p>
    <w:p w14:paraId="26A4694D">
      <w:pPr>
        <w:spacing w:line="400" w:lineRule="exact"/>
        <w:ind w:firstLine="420" w:firstLineChars="200"/>
        <w:contextualSpacing/>
        <w:rPr>
          <w:rFonts w:ascii="宋体" w:hAnsi="宋体" w:cs="宋体"/>
          <w:color w:val="auto"/>
          <w:szCs w:val="21"/>
        </w:rPr>
      </w:pPr>
      <w:r>
        <w:rPr>
          <w:rFonts w:hint="eastAsia"/>
          <w:color w:val="auto"/>
        </w:rPr>
        <w:t>电子备份响应文件是指通过“</w:t>
      </w:r>
      <w:r>
        <w:rPr>
          <w:rFonts w:hint="eastAsia" w:ascii="宋体" w:hAnsi="宋体"/>
          <w:color w:val="auto"/>
          <w:szCs w:val="21"/>
        </w:rPr>
        <w:t>广西政府采购云平台</w:t>
      </w:r>
      <w:r>
        <w:rPr>
          <w:rFonts w:hint="eastAsia"/>
          <w:color w:val="auto"/>
        </w:rPr>
        <w:t>电子投标客户端”在线编制生成且后缀名为“</w:t>
      </w:r>
      <w:r>
        <w:rPr>
          <w:color w:val="auto"/>
        </w:rPr>
        <w:t>bfbs</w:t>
      </w:r>
      <w:r>
        <w:rPr>
          <w:rFonts w:hint="eastAsia"/>
          <w:color w:val="auto"/>
        </w:rPr>
        <w:t>”的文件，是否接受电子备份响应文件</w:t>
      </w:r>
      <w:r>
        <w:rPr>
          <w:rFonts w:hint="eastAsia" w:hAnsi="宋体"/>
          <w:bCs/>
          <w:color w:val="auto"/>
          <w:szCs w:val="21"/>
        </w:rPr>
        <w:t>详见在“供应商须知前附表”。</w:t>
      </w:r>
    </w:p>
    <w:p w14:paraId="17452EA4">
      <w:pPr>
        <w:spacing w:line="400" w:lineRule="exact"/>
        <w:ind w:firstLine="482" w:firstLineChars="200"/>
        <w:contextualSpacing/>
        <w:rPr>
          <w:rFonts w:ascii="黑体" w:hAnsi="黑体" w:eastAsia="黑体" w:cs="宋体"/>
          <w:b/>
          <w:bCs/>
          <w:color w:val="auto"/>
          <w:sz w:val="24"/>
        </w:rPr>
      </w:pPr>
      <w:r>
        <w:rPr>
          <w:rFonts w:hint="eastAsia" w:ascii="黑体" w:hAnsi="黑体" w:eastAsia="黑体" w:cs="宋体"/>
          <w:b/>
          <w:bCs/>
          <w:color w:val="auto"/>
          <w:sz w:val="24"/>
        </w:rPr>
        <w:t>20.响应文件的提交</w:t>
      </w:r>
    </w:p>
    <w:p w14:paraId="4CA4194C">
      <w:pPr>
        <w:spacing w:line="400" w:lineRule="exact"/>
        <w:ind w:firstLine="420" w:firstLineChars="200"/>
        <w:rPr>
          <w:rFonts w:hAnsi="宋体"/>
          <w:b/>
          <w:color w:val="auto"/>
        </w:rPr>
      </w:pPr>
      <w:r>
        <w:rPr>
          <w:rFonts w:hint="eastAsia" w:ascii="宋体" w:hAnsi="宋体" w:cs="宋体"/>
          <w:color w:val="auto"/>
          <w:szCs w:val="21"/>
        </w:rPr>
        <w:t>20.1供</w:t>
      </w:r>
      <w:r>
        <w:rPr>
          <w:rFonts w:hint="eastAsia" w:hAnsi="宋体"/>
          <w:bCs/>
          <w:color w:val="auto"/>
          <w:szCs w:val="21"/>
        </w:rPr>
        <w:t>应商必须按“供应商须知前附表”规定的</w:t>
      </w:r>
      <w:r>
        <w:rPr>
          <w:rFonts w:hint="eastAsia" w:ascii="宋体" w:hAnsi="宋体" w:cs="宋体"/>
          <w:color w:val="auto"/>
          <w:szCs w:val="21"/>
        </w:rPr>
        <w:t>时间</w:t>
      </w:r>
      <w:r>
        <w:rPr>
          <w:rFonts w:hint="eastAsia" w:ascii="宋体" w:hAnsi="宋体"/>
          <w:color w:val="auto"/>
          <w:szCs w:val="21"/>
        </w:rPr>
        <w:t>及</w:t>
      </w:r>
      <w:r>
        <w:rPr>
          <w:rFonts w:hint="eastAsia" w:hAnsi="宋体"/>
          <w:bCs/>
          <w:color w:val="auto"/>
          <w:szCs w:val="21"/>
        </w:rPr>
        <w:t>地点提交响应文件。电子响应文件应在制作完成后，</w:t>
      </w:r>
      <w:r>
        <w:rPr>
          <w:rFonts w:hAnsi="宋体"/>
          <w:bCs/>
          <w:color w:val="auto"/>
          <w:szCs w:val="21"/>
        </w:rPr>
        <w:t>在</w:t>
      </w:r>
      <w:r>
        <w:rPr>
          <w:rFonts w:hint="eastAsia" w:hAnsi="宋体"/>
          <w:bCs/>
          <w:color w:val="auto"/>
          <w:szCs w:val="21"/>
        </w:rPr>
        <w:t>提交响应文件截止</w:t>
      </w:r>
      <w:r>
        <w:rPr>
          <w:rFonts w:hAnsi="宋体"/>
          <w:bCs/>
          <w:color w:val="auto"/>
          <w:szCs w:val="21"/>
        </w:rPr>
        <w:t>时间前</w:t>
      </w:r>
      <w:r>
        <w:rPr>
          <w:rFonts w:hint="eastAsia" w:hAnsi="宋体"/>
          <w:bCs/>
          <w:color w:val="auto"/>
          <w:szCs w:val="21"/>
        </w:rPr>
        <w:t>通过有效数字证书（CA认证锁）进行电子签章、加密，然后通过网络将加密的电子响应文件提交至</w:t>
      </w:r>
      <w:r>
        <w:rPr>
          <w:rFonts w:hint="eastAsia" w:ascii="宋体" w:hAnsi="宋体"/>
          <w:color w:val="auto"/>
          <w:szCs w:val="21"/>
        </w:rPr>
        <w:t>广西政府采购云平台</w:t>
      </w:r>
      <w:r>
        <w:rPr>
          <w:rFonts w:hint="eastAsia" w:hAnsi="宋体"/>
          <w:bCs/>
          <w:color w:val="auto"/>
          <w:szCs w:val="21"/>
        </w:rPr>
        <w:t xml:space="preserve">。 </w:t>
      </w:r>
      <w:r>
        <w:rPr>
          <w:rFonts w:hint="eastAsia" w:hAnsi="宋体"/>
          <w:b/>
          <w:color w:val="auto"/>
        </w:rPr>
        <w:t xml:space="preserve"> </w:t>
      </w:r>
    </w:p>
    <w:p w14:paraId="72C66C38">
      <w:pPr>
        <w:spacing w:line="400" w:lineRule="exact"/>
        <w:ind w:firstLine="422" w:firstLineChars="200"/>
        <w:contextualSpacing/>
        <w:rPr>
          <w:rFonts w:ascii="宋体" w:hAnsi="宋体"/>
          <w:b/>
          <w:color w:val="auto"/>
          <w:szCs w:val="21"/>
        </w:rPr>
      </w:pPr>
      <w:r>
        <w:rPr>
          <w:rFonts w:hint="eastAsia" w:ascii="宋体" w:hAnsi="宋体"/>
          <w:b/>
          <w:color w:val="auto"/>
          <w:szCs w:val="21"/>
        </w:rPr>
        <w:t>20.</w:t>
      </w:r>
      <w:r>
        <w:rPr>
          <w:rFonts w:ascii="宋体" w:hAnsi="宋体"/>
          <w:b/>
          <w:color w:val="auto"/>
          <w:szCs w:val="21"/>
        </w:rPr>
        <w:t>2</w:t>
      </w:r>
      <w:r>
        <w:rPr>
          <w:rFonts w:hint="eastAsia" w:ascii="宋体" w:hAnsi="宋体"/>
          <w:b/>
          <w:color w:val="auto"/>
          <w:szCs w:val="21"/>
        </w:rPr>
        <w:t>未在规定时间内提交或者未按照磋商文件要求加密的电子响应文件，广西政府采购云平台将拒收。</w:t>
      </w:r>
    </w:p>
    <w:p w14:paraId="07C103B0">
      <w:pPr>
        <w:spacing w:line="400" w:lineRule="exact"/>
        <w:ind w:firstLine="482" w:firstLineChars="200"/>
        <w:contextualSpacing/>
        <w:rPr>
          <w:rFonts w:ascii="黑体" w:hAnsi="黑体" w:eastAsia="黑体" w:cs="宋体"/>
          <w:b/>
          <w:bCs/>
          <w:color w:val="auto"/>
          <w:sz w:val="24"/>
        </w:rPr>
      </w:pPr>
      <w:r>
        <w:rPr>
          <w:rFonts w:hint="eastAsia" w:ascii="黑体" w:hAnsi="黑体" w:eastAsia="黑体" w:cs="宋体"/>
          <w:b/>
          <w:bCs/>
          <w:color w:val="auto"/>
          <w:sz w:val="24"/>
        </w:rPr>
        <w:t>21.首次响应文件的补充、修改与撤回</w:t>
      </w:r>
    </w:p>
    <w:p w14:paraId="2C3860A0">
      <w:pPr>
        <w:snapToGrid w:val="0"/>
        <w:spacing w:line="400" w:lineRule="exact"/>
        <w:ind w:firstLine="420"/>
        <w:jc w:val="left"/>
        <w:rPr>
          <w:rFonts w:ascii="宋体" w:hAnsi="宋体"/>
          <w:color w:val="auto"/>
          <w:szCs w:val="21"/>
        </w:rPr>
      </w:pPr>
      <w:bookmarkStart w:id="71" w:name="_Toc254970543"/>
      <w:bookmarkStart w:id="72" w:name="_Toc254970684"/>
      <w:r>
        <w:rPr>
          <w:rFonts w:ascii="宋体" w:hAnsi="宋体" w:cs="宋体"/>
          <w:color w:val="auto"/>
          <w:szCs w:val="21"/>
        </w:rPr>
        <w:t>2</w:t>
      </w:r>
      <w:r>
        <w:rPr>
          <w:rFonts w:hint="eastAsia" w:ascii="宋体" w:hAnsi="宋体" w:cs="宋体"/>
          <w:color w:val="auto"/>
          <w:szCs w:val="21"/>
        </w:rPr>
        <w:t>1.1</w:t>
      </w:r>
      <w:r>
        <w:rPr>
          <w:rFonts w:hint="eastAsia" w:ascii="宋体" w:hAnsi="宋体"/>
          <w:bCs/>
          <w:color w:val="auto"/>
          <w:szCs w:val="21"/>
        </w:rPr>
        <w:t>供应商应当在</w:t>
      </w:r>
      <w:r>
        <w:rPr>
          <w:rFonts w:hint="eastAsia" w:hAnsi="宋体"/>
          <w:bCs/>
          <w:color w:val="auto"/>
          <w:szCs w:val="21"/>
        </w:rPr>
        <w:t>提交响应文件截止</w:t>
      </w:r>
      <w:r>
        <w:rPr>
          <w:rFonts w:hAnsi="宋体"/>
          <w:bCs/>
          <w:color w:val="auto"/>
          <w:szCs w:val="21"/>
        </w:rPr>
        <w:t>时间</w:t>
      </w:r>
      <w:r>
        <w:rPr>
          <w:rFonts w:hint="eastAsia" w:ascii="宋体" w:hAnsi="宋体"/>
          <w:bCs/>
          <w:color w:val="auto"/>
          <w:szCs w:val="21"/>
        </w:rPr>
        <w:t>前完成电子响应文件的提交（上传），</w:t>
      </w:r>
      <w:r>
        <w:rPr>
          <w:rFonts w:hint="eastAsia" w:hAnsi="宋体"/>
          <w:bCs/>
          <w:color w:val="auto"/>
          <w:szCs w:val="21"/>
        </w:rPr>
        <w:t>提交响应文件截止</w:t>
      </w:r>
      <w:r>
        <w:rPr>
          <w:rFonts w:hAnsi="宋体"/>
          <w:bCs/>
          <w:color w:val="auto"/>
          <w:szCs w:val="21"/>
        </w:rPr>
        <w:t>时间</w:t>
      </w:r>
      <w:r>
        <w:rPr>
          <w:rFonts w:hint="eastAsia" w:hAnsi="宋体"/>
          <w:bCs/>
          <w:color w:val="auto"/>
          <w:szCs w:val="21"/>
        </w:rPr>
        <w:t>前</w:t>
      </w:r>
      <w:r>
        <w:rPr>
          <w:rFonts w:hint="eastAsia" w:ascii="宋体" w:hAnsi="宋体"/>
          <w:bCs/>
          <w:color w:val="auto"/>
          <w:szCs w:val="21"/>
        </w:rPr>
        <w:t>可以补充、修改或者撤回响应文件。补充或者修改响应文件的，应当先行撤回原响应文件，补充、修改后重新提交（上传），</w:t>
      </w:r>
      <w:r>
        <w:rPr>
          <w:rFonts w:hint="eastAsia" w:hAnsi="宋体"/>
          <w:bCs/>
          <w:color w:val="auto"/>
          <w:szCs w:val="21"/>
        </w:rPr>
        <w:t>提交响应文件截止</w:t>
      </w:r>
      <w:r>
        <w:rPr>
          <w:rFonts w:hAnsi="宋体"/>
          <w:bCs/>
          <w:color w:val="auto"/>
          <w:szCs w:val="21"/>
        </w:rPr>
        <w:t>时间</w:t>
      </w:r>
      <w:r>
        <w:rPr>
          <w:rFonts w:hint="eastAsia" w:hAnsi="宋体"/>
          <w:bCs/>
          <w:color w:val="auto"/>
          <w:szCs w:val="21"/>
        </w:rPr>
        <w:t>前</w:t>
      </w:r>
      <w:r>
        <w:rPr>
          <w:rFonts w:hint="eastAsia" w:ascii="宋体" w:hAnsi="宋体"/>
          <w:bCs/>
          <w:color w:val="auto"/>
          <w:szCs w:val="21"/>
        </w:rPr>
        <w:t>未完成提交（上传）的，视为撤回响应文件。</w:t>
      </w:r>
      <w:r>
        <w:rPr>
          <w:rFonts w:hint="eastAsia" w:hAnsi="宋体"/>
          <w:bCs/>
          <w:color w:val="auto"/>
          <w:szCs w:val="21"/>
        </w:rPr>
        <w:t>提交响应文件截止</w:t>
      </w:r>
      <w:r>
        <w:rPr>
          <w:rFonts w:hAnsi="宋体"/>
          <w:bCs/>
          <w:color w:val="auto"/>
          <w:szCs w:val="21"/>
        </w:rPr>
        <w:t>时间</w:t>
      </w:r>
      <w:r>
        <w:rPr>
          <w:rFonts w:hint="eastAsia" w:ascii="宋体" w:hAnsi="宋体"/>
          <w:bCs/>
          <w:color w:val="auto"/>
          <w:szCs w:val="21"/>
        </w:rPr>
        <w:t>以后提交（上传）的响应文件，</w:t>
      </w:r>
      <w:r>
        <w:rPr>
          <w:rFonts w:hint="eastAsia" w:ascii="宋体" w:hAnsi="宋体"/>
          <w:color w:val="auto"/>
          <w:szCs w:val="21"/>
        </w:rPr>
        <w:t>广西政府采购云平台</w:t>
      </w:r>
      <w:r>
        <w:rPr>
          <w:rFonts w:hint="eastAsia" w:ascii="宋体" w:hAnsi="宋体"/>
          <w:bCs/>
          <w:color w:val="auto"/>
          <w:szCs w:val="21"/>
        </w:rPr>
        <w:t>将予以拒收。</w:t>
      </w:r>
      <w:r>
        <w:rPr>
          <w:rFonts w:hint="eastAsia" w:ascii="宋体" w:hAnsi="宋体" w:cs="宋体"/>
          <w:color w:val="auto"/>
          <w:szCs w:val="21"/>
        </w:rPr>
        <w:t>（补充、修改或者撤回方式可</w:t>
      </w:r>
      <w:r>
        <w:rPr>
          <w:rFonts w:hint="eastAsia" w:ascii="宋体" w:hAnsi="宋体"/>
          <w:color w:val="auto"/>
          <w:szCs w:val="21"/>
        </w:rPr>
        <w:t>登录广西政府采购云平台</w:t>
      </w:r>
      <w:r>
        <w:rPr>
          <w:rFonts w:hint="eastAsia" w:ascii="宋体" w:hAnsi="宋体" w:cs="宋体"/>
          <w:color w:val="auto"/>
          <w:kern w:val="0"/>
          <w:szCs w:val="21"/>
        </w:rPr>
        <w:t>，</w:t>
      </w:r>
      <w:r>
        <w:rPr>
          <w:rFonts w:hint="eastAsia" w:ascii="宋体" w:hAnsi="宋体"/>
          <w:color w:val="auto"/>
          <w:szCs w:val="21"/>
        </w:rPr>
        <w:t>进入“服务中心”中查看</w:t>
      </w:r>
      <w:r>
        <w:rPr>
          <w:rFonts w:hint="eastAsia" w:ascii="宋体" w:hAnsi="宋体" w:cs="宋体"/>
          <w:color w:val="auto"/>
          <w:szCs w:val="21"/>
        </w:rPr>
        <w:t xml:space="preserve"> “电子投标文件制作与投送教程”）</w:t>
      </w:r>
    </w:p>
    <w:bookmarkEnd w:id="71"/>
    <w:bookmarkEnd w:id="72"/>
    <w:p w14:paraId="0269328E">
      <w:pPr>
        <w:pStyle w:val="73"/>
        <w:spacing w:before="0" w:line="400" w:lineRule="exact"/>
        <w:ind w:firstLine="420"/>
        <w:rPr>
          <w:rFonts w:ascii="宋体" w:hAnsi="宋体" w:cs="宋体"/>
          <w:color w:val="auto"/>
          <w:sz w:val="21"/>
          <w:szCs w:val="21"/>
        </w:rPr>
      </w:pPr>
      <w:r>
        <w:rPr>
          <w:rFonts w:ascii="宋体" w:hAnsi="宋体" w:cs="宋体"/>
          <w:color w:val="auto"/>
          <w:sz w:val="21"/>
          <w:szCs w:val="21"/>
        </w:rPr>
        <w:t>2</w:t>
      </w:r>
      <w:r>
        <w:rPr>
          <w:rFonts w:hint="eastAsia" w:ascii="宋体" w:hAnsi="宋体" w:cs="宋体"/>
          <w:color w:val="auto"/>
          <w:sz w:val="21"/>
          <w:szCs w:val="21"/>
        </w:rPr>
        <w:t>1</w:t>
      </w:r>
      <w:r>
        <w:rPr>
          <w:rFonts w:ascii="宋体" w:hAnsi="宋体" w:cs="宋体"/>
          <w:color w:val="auto"/>
          <w:sz w:val="21"/>
          <w:szCs w:val="21"/>
        </w:rPr>
        <w:t>.</w:t>
      </w:r>
      <w:r>
        <w:rPr>
          <w:rFonts w:hint="eastAsia" w:ascii="宋体" w:hAnsi="宋体" w:cs="宋体"/>
          <w:color w:val="auto"/>
          <w:sz w:val="21"/>
          <w:szCs w:val="21"/>
        </w:rPr>
        <w:t>2在提交响应文件截止时间前，除供应商补充、修改或者撤回响应文件外，任何单位和个人不得解密或提取响应文件。</w:t>
      </w:r>
    </w:p>
    <w:p w14:paraId="67779A36">
      <w:pPr>
        <w:spacing w:line="400" w:lineRule="exact"/>
        <w:ind w:firstLine="482" w:firstLineChars="200"/>
        <w:contextualSpacing/>
        <w:rPr>
          <w:rFonts w:ascii="黑体" w:hAnsi="黑体" w:eastAsia="黑体" w:cs="宋体"/>
          <w:b/>
          <w:bCs/>
          <w:color w:val="auto"/>
          <w:sz w:val="24"/>
        </w:rPr>
      </w:pPr>
      <w:bookmarkStart w:id="73" w:name="_Hlk45702405"/>
      <w:r>
        <w:rPr>
          <w:rFonts w:hint="eastAsia" w:ascii="黑体" w:hAnsi="黑体" w:eastAsia="黑体" w:cs="宋体"/>
          <w:b/>
          <w:bCs/>
          <w:color w:val="auto"/>
          <w:sz w:val="24"/>
        </w:rPr>
        <w:t>22.响应文件的退回</w:t>
      </w:r>
    </w:p>
    <w:p w14:paraId="13985AD1">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采购人和采购代理机构对已提交的响应文件概不退回。</w:t>
      </w:r>
    </w:p>
    <w:p w14:paraId="0A5DBEF4">
      <w:pPr>
        <w:spacing w:line="400" w:lineRule="exact"/>
        <w:ind w:firstLine="482" w:firstLineChars="200"/>
        <w:contextualSpacing/>
        <w:rPr>
          <w:rFonts w:ascii="黑体" w:hAnsi="黑体" w:eastAsia="黑体" w:cs="宋体"/>
          <w:b/>
          <w:bCs/>
          <w:color w:val="auto"/>
          <w:sz w:val="24"/>
        </w:rPr>
      </w:pPr>
      <w:r>
        <w:rPr>
          <w:rFonts w:hint="eastAsia" w:ascii="黑体" w:hAnsi="黑体" w:eastAsia="黑体" w:cs="宋体"/>
          <w:b/>
          <w:bCs/>
          <w:color w:val="auto"/>
          <w:sz w:val="24"/>
        </w:rPr>
        <w:t>23.截止时间后的撤回</w:t>
      </w:r>
    </w:p>
    <w:p w14:paraId="6DA3E022">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供应商在响应文件提交截止时间后向采购人、采购代理机构书面申请撤回响应文件的，将根据本须知正文17.4的规定不予退还其磋商保证金。</w:t>
      </w:r>
    </w:p>
    <w:bookmarkEnd w:id="73"/>
    <w:p w14:paraId="3D187063">
      <w:pPr>
        <w:spacing w:line="400" w:lineRule="exact"/>
        <w:contextualSpacing/>
        <w:rPr>
          <w:rFonts w:ascii="宋体" w:hAnsi="宋体"/>
          <w:color w:val="auto"/>
          <w:szCs w:val="21"/>
        </w:rPr>
      </w:pPr>
    </w:p>
    <w:p w14:paraId="5357F001">
      <w:pPr>
        <w:spacing w:line="400" w:lineRule="exact"/>
        <w:ind w:left="420" w:firstLine="420"/>
        <w:contextualSpacing/>
        <w:jc w:val="center"/>
        <w:rPr>
          <w:rFonts w:ascii="宋体" w:hAnsi="宋体"/>
          <w:b/>
          <w:bCs/>
          <w:color w:val="auto"/>
          <w:sz w:val="32"/>
          <w:szCs w:val="32"/>
        </w:rPr>
      </w:pPr>
      <w:r>
        <w:rPr>
          <w:rFonts w:hint="eastAsia" w:ascii="宋体" w:hAnsi="宋体"/>
          <w:b/>
          <w:bCs/>
          <w:color w:val="auto"/>
          <w:sz w:val="32"/>
          <w:szCs w:val="32"/>
        </w:rPr>
        <w:t>四、评审及磋商</w:t>
      </w:r>
    </w:p>
    <w:p w14:paraId="6F13CB1C">
      <w:pPr>
        <w:spacing w:line="400" w:lineRule="exact"/>
        <w:ind w:left="420" w:firstLine="420"/>
        <w:contextualSpacing/>
        <w:rPr>
          <w:rFonts w:ascii="宋体" w:hAnsi="宋体"/>
          <w:color w:val="auto"/>
          <w:szCs w:val="21"/>
        </w:rPr>
      </w:pPr>
    </w:p>
    <w:p w14:paraId="6C6493BD">
      <w:pPr>
        <w:spacing w:line="400" w:lineRule="exact"/>
        <w:ind w:firstLine="482" w:firstLineChars="200"/>
        <w:contextualSpacing/>
        <w:rPr>
          <w:rFonts w:ascii="黑体" w:hAnsi="黑体" w:eastAsia="黑体" w:cs="宋体"/>
          <w:b/>
          <w:bCs/>
          <w:color w:val="auto"/>
          <w:sz w:val="24"/>
        </w:rPr>
      </w:pPr>
      <w:r>
        <w:rPr>
          <w:rFonts w:hint="eastAsia" w:ascii="黑体" w:hAnsi="黑体" w:eastAsia="黑体" w:cs="宋体"/>
          <w:b/>
          <w:bCs/>
          <w:color w:val="auto"/>
          <w:sz w:val="24"/>
        </w:rPr>
        <w:t>24.磋商小组成立</w:t>
      </w:r>
    </w:p>
    <w:p w14:paraId="5EF86E50">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24.1</w:t>
      </w:r>
      <w:bookmarkStart w:id="74" w:name="_Hlk71302993"/>
      <w:r>
        <w:rPr>
          <w:rFonts w:hint="eastAsia" w:ascii="宋体" w:hAnsi="宋体" w:cs="宋体"/>
          <w:color w:val="auto"/>
          <w:szCs w:val="21"/>
        </w:rPr>
        <w:t>磋商小组</w:t>
      </w:r>
      <w:bookmarkEnd w:id="74"/>
      <w:r>
        <w:rPr>
          <w:rFonts w:hint="eastAsia" w:ascii="宋体" w:hAnsi="宋体" w:cs="宋体"/>
          <w:color w:val="auto"/>
          <w:szCs w:val="21"/>
        </w:rPr>
        <w:t>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4E47B802">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5B38F5E1">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24.3</w:t>
      </w:r>
      <w:r>
        <w:rPr>
          <w:rFonts w:hint="eastAsia" w:hAnsi="宋体"/>
          <w:bCs/>
          <w:color w:val="auto"/>
          <w:szCs w:val="21"/>
        </w:rPr>
        <w:t>采购代理机构</w:t>
      </w:r>
      <w:r>
        <w:rPr>
          <w:rFonts w:hint="eastAsia" w:hAnsi="宋体"/>
          <w:bCs/>
          <w:color w:val="auto"/>
        </w:rPr>
        <w:t>应当</w:t>
      </w:r>
      <w:r>
        <w:rPr>
          <w:rFonts w:hint="eastAsia" w:hAnsi="宋体"/>
          <w:bCs/>
          <w:color w:val="auto"/>
          <w:szCs w:val="21"/>
        </w:rPr>
        <w:t>基于</w:t>
      </w:r>
      <w:r>
        <w:rPr>
          <w:rFonts w:hint="eastAsia" w:ascii="宋体" w:hAnsi="宋体"/>
          <w:color w:val="auto"/>
          <w:szCs w:val="21"/>
        </w:rPr>
        <w:t>广西政府采购云平台</w:t>
      </w:r>
      <w:r>
        <w:rPr>
          <w:rFonts w:hint="eastAsia" w:hAnsi="宋体"/>
          <w:bCs/>
          <w:color w:val="auto"/>
        </w:rPr>
        <w:t>抽（选）取</w:t>
      </w:r>
      <w:r>
        <w:rPr>
          <w:rFonts w:hint="eastAsia" w:hAnsi="宋体"/>
          <w:bCs/>
          <w:color w:val="auto"/>
          <w:szCs w:val="21"/>
        </w:rPr>
        <w:t>评审专家。</w:t>
      </w:r>
    </w:p>
    <w:p w14:paraId="401CE527">
      <w:pPr>
        <w:spacing w:line="400" w:lineRule="exact"/>
        <w:ind w:firstLine="482" w:firstLineChars="200"/>
        <w:rPr>
          <w:rFonts w:ascii="黑体" w:hAnsi="黑体" w:eastAsia="黑体" w:cs="宋体"/>
          <w:b/>
          <w:bCs/>
          <w:color w:val="auto"/>
          <w:sz w:val="24"/>
        </w:rPr>
      </w:pPr>
      <w:r>
        <w:rPr>
          <w:rFonts w:ascii="黑体" w:hAnsi="黑体" w:eastAsia="黑体" w:cs="宋体"/>
          <w:b/>
          <w:bCs/>
          <w:color w:val="auto"/>
          <w:sz w:val="24"/>
        </w:rPr>
        <w:t>25.</w:t>
      </w:r>
      <w:r>
        <w:rPr>
          <w:rFonts w:hint="eastAsia" w:ascii="黑体" w:hAnsi="黑体" w:eastAsia="黑体" w:cs="宋体"/>
          <w:b/>
          <w:bCs/>
          <w:color w:val="auto"/>
          <w:sz w:val="24"/>
        </w:rPr>
        <w:t>首次响应文件的开启和解密</w:t>
      </w:r>
    </w:p>
    <w:p w14:paraId="5CAEE5BA">
      <w:pPr>
        <w:spacing w:line="400" w:lineRule="exact"/>
        <w:ind w:firstLine="420" w:firstLineChars="200"/>
        <w:contextualSpacing/>
        <w:rPr>
          <w:rFonts w:ascii="宋体" w:hAnsi="宋体" w:cs="宋体"/>
          <w:color w:val="auto"/>
          <w:szCs w:val="21"/>
        </w:rPr>
      </w:pPr>
      <w:r>
        <w:rPr>
          <w:rFonts w:hint="eastAsia" w:hAnsi="宋体"/>
          <w:bCs/>
          <w:color w:val="auto"/>
        </w:rPr>
        <w:t>采购代理机构将在“供应商须知前附表”规定的时</w:t>
      </w:r>
      <w:r>
        <w:rPr>
          <w:rFonts w:hint="eastAsia" w:hAnsi="宋体"/>
          <w:color w:val="auto"/>
        </w:rPr>
        <w:t>间通过电子交易平台组织响应文件开启，供应商的法定代表人或其委托代理人须携带加密时所用的CA锁，按平台提示和磋商文件的规定登录到</w:t>
      </w:r>
      <w:r>
        <w:rPr>
          <w:rFonts w:hint="eastAsia" w:ascii="宋体" w:hAnsi="宋体"/>
          <w:color w:val="auto"/>
          <w:szCs w:val="21"/>
        </w:rPr>
        <w:t>广西政府采购云平台</w:t>
      </w:r>
      <w:r>
        <w:rPr>
          <w:rFonts w:hint="eastAsia" w:hAnsi="宋体"/>
          <w:color w:val="auto"/>
        </w:rPr>
        <w:t>电子开标大厅签到，</w:t>
      </w:r>
      <w:r>
        <w:rPr>
          <w:rFonts w:hint="eastAsia"/>
          <w:color w:val="auto"/>
        </w:rPr>
        <w:t>采购代理机构依托</w:t>
      </w:r>
      <w:r>
        <w:rPr>
          <w:rFonts w:hint="eastAsia" w:ascii="宋体" w:hAnsi="宋体"/>
          <w:color w:val="auto"/>
          <w:szCs w:val="21"/>
        </w:rPr>
        <w:t>广西政府采购云平台</w:t>
      </w:r>
      <w:r>
        <w:rPr>
          <w:rFonts w:hint="eastAsia"/>
          <w:color w:val="auto"/>
        </w:rPr>
        <w:t>向各供应商发出电子加密响应文件【开始解密】通知，由供应商按</w:t>
      </w:r>
      <w:r>
        <w:rPr>
          <w:rFonts w:hint="eastAsia" w:hAnsi="宋体"/>
          <w:bCs/>
          <w:color w:val="auto"/>
          <w:szCs w:val="21"/>
        </w:rPr>
        <w:t>“供应商须知前附表”</w:t>
      </w:r>
      <w:r>
        <w:rPr>
          <w:rFonts w:hint="eastAsia"/>
          <w:color w:val="auto"/>
        </w:rPr>
        <w:t>规定的时间内自行进行响应文件解密</w:t>
      </w:r>
      <w:r>
        <w:rPr>
          <w:rFonts w:hint="eastAsia" w:hAnsi="宋体"/>
          <w:color w:val="auto"/>
        </w:rPr>
        <w:t>。</w:t>
      </w:r>
      <w:r>
        <w:rPr>
          <w:rFonts w:hint="eastAsia"/>
          <w:b/>
          <w:color w:val="auto"/>
        </w:rPr>
        <w:t>供应商未在</w:t>
      </w:r>
      <w:r>
        <w:rPr>
          <w:b/>
          <w:color w:val="auto"/>
        </w:rPr>
        <w:t>规定的时间内解密</w:t>
      </w:r>
      <w:r>
        <w:rPr>
          <w:rFonts w:hint="eastAsia"/>
          <w:b/>
          <w:color w:val="auto"/>
        </w:rPr>
        <w:t>响应文件</w:t>
      </w:r>
      <w:r>
        <w:rPr>
          <w:b/>
          <w:color w:val="auto"/>
        </w:rPr>
        <w:t>或</w:t>
      </w:r>
      <w:r>
        <w:rPr>
          <w:rFonts w:hint="eastAsia"/>
          <w:b/>
          <w:color w:val="auto"/>
        </w:rPr>
        <w:t>者</w:t>
      </w:r>
      <w:r>
        <w:rPr>
          <w:b/>
          <w:color w:val="auto"/>
        </w:rPr>
        <w:t>解密失败的</w:t>
      </w:r>
      <w:r>
        <w:rPr>
          <w:rFonts w:hint="eastAsia"/>
          <w:b/>
          <w:color w:val="auto"/>
        </w:rPr>
        <w:t>，供应商</w:t>
      </w:r>
      <w:r>
        <w:rPr>
          <w:rFonts w:hint="eastAsia" w:ascii="宋体" w:hAnsi="宋体"/>
          <w:b/>
          <w:color w:val="auto"/>
          <w:szCs w:val="21"/>
        </w:rPr>
        <w:t>的响应文件作无效处理</w:t>
      </w:r>
      <w:r>
        <w:rPr>
          <w:b/>
          <w:color w:val="auto"/>
        </w:rPr>
        <w:t>。</w:t>
      </w:r>
    </w:p>
    <w:p w14:paraId="0CA2423F">
      <w:pPr>
        <w:spacing w:line="400" w:lineRule="exact"/>
        <w:ind w:firstLine="482" w:firstLineChars="200"/>
        <w:contextualSpacing/>
        <w:rPr>
          <w:rFonts w:ascii="黑体" w:hAnsi="黑体" w:eastAsia="黑体" w:cs="宋体"/>
          <w:b/>
          <w:bCs/>
          <w:color w:val="auto"/>
          <w:sz w:val="24"/>
        </w:rPr>
      </w:pPr>
      <w:r>
        <w:rPr>
          <w:rFonts w:ascii="黑体" w:hAnsi="黑体" w:eastAsia="黑体" w:cs="宋体"/>
          <w:b/>
          <w:bCs/>
          <w:color w:val="auto"/>
          <w:sz w:val="24"/>
        </w:rPr>
        <w:t>26</w:t>
      </w:r>
      <w:r>
        <w:rPr>
          <w:rFonts w:hint="eastAsia" w:ascii="黑体" w:hAnsi="黑体" w:eastAsia="黑体" w:cs="宋体"/>
          <w:b/>
          <w:bCs/>
          <w:color w:val="auto"/>
          <w:sz w:val="24"/>
        </w:rPr>
        <w:t>.评审程序、评审方法和评审标准</w:t>
      </w:r>
    </w:p>
    <w:p w14:paraId="7FB74DF6">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2</w:t>
      </w:r>
      <w:r>
        <w:rPr>
          <w:rFonts w:ascii="宋体" w:hAnsi="宋体" w:cs="宋体"/>
          <w:color w:val="auto"/>
          <w:szCs w:val="21"/>
        </w:rPr>
        <w:t>6</w:t>
      </w:r>
      <w:r>
        <w:rPr>
          <w:rFonts w:hint="eastAsia" w:ascii="宋体" w:hAnsi="宋体" w:cs="宋体"/>
          <w:color w:val="auto"/>
          <w:szCs w:val="21"/>
        </w:rPr>
        <w:t>.1本项目的评审方法为综合评分法。</w:t>
      </w:r>
    </w:p>
    <w:p w14:paraId="3BD1535D">
      <w:pPr>
        <w:spacing w:line="400" w:lineRule="exact"/>
        <w:ind w:firstLine="420" w:firstLineChars="200"/>
        <w:contextualSpacing/>
        <w:rPr>
          <w:rFonts w:ascii="宋体" w:hAnsi="宋体" w:cs="宋体"/>
          <w:color w:val="auto"/>
          <w:szCs w:val="21"/>
        </w:rPr>
      </w:pPr>
      <w:r>
        <w:rPr>
          <w:rFonts w:ascii="宋体" w:hAnsi="宋体" w:cs="宋体"/>
          <w:color w:val="auto"/>
          <w:szCs w:val="21"/>
        </w:rPr>
        <w:t>26.2</w:t>
      </w:r>
      <w:r>
        <w:rPr>
          <w:rFonts w:hint="eastAsia" w:ascii="宋体" w:hAnsi="宋体" w:cs="宋体"/>
          <w:color w:val="auto"/>
          <w:szCs w:val="21"/>
        </w:rPr>
        <w:t>磋商小组</w:t>
      </w:r>
      <w:r>
        <w:rPr>
          <w:rFonts w:ascii="宋体" w:hAnsi="宋体" w:cs="宋体"/>
          <w:color w:val="auto"/>
          <w:szCs w:val="21"/>
        </w:rPr>
        <w:t>按照</w:t>
      </w:r>
      <w:r>
        <w:rPr>
          <w:rFonts w:hint="eastAsia" w:ascii="宋体" w:hAnsi="宋体" w:cs="宋体"/>
          <w:color w:val="auto"/>
          <w:szCs w:val="21"/>
        </w:rPr>
        <w:t>“第四章 评审程序、评审方法和评审标准”</w:t>
      </w:r>
      <w:r>
        <w:rPr>
          <w:rFonts w:ascii="宋体" w:hAnsi="宋体" w:cs="宋体"/>
          <w:color w:val="auto"/>
          <w:szCs w:val="21"/>
        </w:rPr>
        <w:t>规定的方法、评审因素、标准和程序对</w:t>
      </w:r>
      <w:r>
        <w:rPr>
          <w:rFonts w:hint="eastAsia" w:ascii="宋体" w:hAnsi="宋体" w:cs="宋体"/>
          <w:color w:val="auto"/>
          <w:szCs w:val="21"/>
        </w:rPr>
        <w:t>响应</w:t>
      </w:r>
      <w:r>
        <w:rPr>
          <w:rFonts w:ascii="宋体" w:hAnsi="宋体" w:cs="宋体"/>
          <w:color w:val="auto"/>
          <w:szCs w:val="21"/>
        </w:rPr>
        <w:t>文件进行评审。</w:t>
      </w:r>
    </w:p>
    <w:p w14:paraId="13E9317F">
      <w:pPr>
        <w:spacing w:line="400" w:lineRule="exact"/>
        <w:ind w:firstLine="420" w:firstLineChars="200"/>
        <w:rPr>
          <w:rFonts w:ascii="宋体" w:hAnsi="宋体"/>
          <w:color w:val="auto"/>
          <w:szCs w:val="21"/>
        </w:rPr>
      </w:pPr>
      <w:r>
        <w:rPr>
          <w:rFonts w:hint="eastAsia" w:ascii="宋体" w:hAnsi="宋体"/>
          <w:color w:val="auto"/>
          <w:szCs w:val="21"/>
        </w:rPr>
        <w:t>2</w:t>
      </w:r>
      <w:r>
        <w:rPr>
          <w:rFonts w:ascii="宋体" w:hAnsi="宋体"/>
          <w:color w:val="auto"/>
          <w:szCs w:val="21"/>
        </w:rPr>
        <w:t xml:space="preserve">6.3 </w:t>
      </w:r>
      <w:r>
        <w:rPr>
          <w:rFonts w:hint="eastAsia" w:ascii="宋体" w:hAnsi="宋体"/>
          <w:color w:val="auto"/>
          <w:szCs w:val="21"/>
        </w:rPr>
        <w:t>商务/技术（服务）要求允许负偏离的条款数详见“供应商须知前附表”。</w:t>
      </w:r>
    </w:p>
    <w:p w14:paraId="50258D25">
      <w:pPr>
        <w:spacing w:line="400" w:lineRule="exact"/>
        <w:ind w:firstLine="420" w:firstLineChars="200"/>
        <w:rPr>
          <w:rFonts w:ascii="宋体" w:hAnsi="宋体"/>
          <w:color w:val="auto"/>
          <w:szCs w:val="21"/>
        </w:rPr>
      </w:pPr>
      <w:r>
        <w:rPr>
          <w:rFonts w:hint="eastAsia" w:ascii="宋体" w:hAnsi="宋体" w:cs="宋体"/>
          <w:color w:val="auto"/>
        </w:rPr>
        <w:t>26.</w:t>
      </w:r>
      <w:r>
        <w:rPr>
          <w:rFonts w:ascii="宋体" w:hAnsi="宋体" w:cs="宋体"/>
          <w:color w:val="auto"/>
        </w:rPr>
        <w:t>4</w:t>
      </w:r>
      <w:r>
        <w:rPr>
          <w:rFonts w:hint="eastAsia" w:ascii="宋体" w:hAnsi="宋体" w:cs="宋体"/>
          <w:color w:val="auto"/>
        </w:rPr>
        <w:t>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64DE48B8">
      <w:pPr>
        <w:spacing w:line="400" w:lineRule="exact"/>
        <w:ind w:firstLine="420" w:firstLineChars="200"/>
        <w:rPr>
          <w:rFonts w:hAnsi="宋体"/>
          <w:color w:val="auto"/>
        </w:rPr>
      </w:pPr>
      <w:r>
        <w:rPr>
          <w:rFonts w:hint="eastAsia" w:ascii="宋体" w:hAnsi="宋体" w:cs="宋体"/>
          <w:color w:val="auto"/>
        </w:rPr>
        <w:t>2</w:t>
      </w:r>
      <w:r>
        <w:rPr>
          <w:rFonts w:ascii="宋体" w:hAnsi="宋体" w:cs="宋体"/>
          <w:color w:val="auto"/>
        </w:rPr>
        <w:t>6.5</w:t>
      </w:r>
      <w:r>
        <w:rPr>
          <w:rFonts w:hint="eastAsia" w:hAnsi="宋体"/>
          <w:color w:val="auto"/>
        </w:rPr>
        <w:t>电子交易活动的中止。采购过程中出现以下情形，导致电子交易平台无法正常运行，或者无法保证电子交易的公平、公正和安全时，采购机构可中止电子交易活动：</w:t>
      </w:r>
    </w:p>
    <w:p w14:paraId="2C6C74DB">
      <w:pPr>
        <w:spacing w:line="400" w:lineRule="exact"/>
        <w:ind w:firstLine="420" w:firstLineChars="200"/>
        <w:rPr>
          <w:rFonts w:hAnsi="宋体"/>
          <w:color w:val="auto"/>
        </w:rPr>
      </w:pPr>
      <w:r>
        <w:rPr>
          <w:rFonts w:hint="eastAsia" w:hAnsi="宋体"/>
          <w:color w:val="auto"/>
        </w:rPr>
        <w:t xml:space="preserve">（1）电子交易平台发生故障而无法登录访问的； </w:t>
      </w:r>
    </w:p>
    <w:p w14:paraId="75A700A7">
      <w:pPr>
        <w:spacing w:line="400" w:lineRule="exact"/>
        <w:ind w:firstLine="420" w:firstLineChars="200"/>
        <w:rPr>
          <w:rFonts w:hAnsi="宋体"/>
          <w:color w:val="auto"/>
        </w:rPr>
      </w:pPr>
      <w:r>
        <w:rPr>
          <w:rFonts w:hint="eastAsia" w:hAnsi="宋体"/>
          <w:color w:val="auto"/>
        </w:rPr>
        <w:t>（2）电子交易平台应用或数据库出现错误，不能进行正常操作的；</w:t>
      </w:r>
    </w:p>
    <w:p w14:paraId="6C767109">
      <w:pPr>
        <w:spacing w:line="400" w:lineRule="exact"/>
        <w:ind w:firstLine="420" w:firstLineChars="200"/>
        <w:rPr>
          <w:rFonts w:hAnsi="宋体"/>
          <w:color w:val="auto"/>
        </w:rPr>
      </w:pPr>
      <w:r>
        <w:rPr>
          <w:rFonts w:hint="eastAsia" w:hAnsi="宋体"/>
          <w:color w:val="auto"/>
        </w:rPr>
        <w:t>（3）电子交易平台发现严重安全漏洞，有潜在泄密危险的；</w:t>
      </w:r>
    </w:p>
    <w:p w14:paraId="010F9E13">
      <w:pPr>
        <w:spacing w:line="400" w:lineRule="exact"/>
        <w:ind w:firstLine="420" w:firstLineChars="200"/>
        <w:rPr>
          <w:rFonts w:hAnsi="宋体"/>
          <w:color w:val="auto"/>
        </w:rPr>
      </w:pPr>
      <w:r>
        <w:rPr>
          <w:rFonts w:hint="eastAsia" w:hAnsi="宋体"/>
          <w:color w:val="auto"/>
        </w:rPr>
        <w:t xml:space="preserve">（4）病毒发作导致不能进行正常操作的； </w:t>
      </w:r>
    </w:p>
    <w:p w14:paraId="2EF65FA4">
      <w:pPr>
        <w:spacing w:line="400" w:lineRule="exact"/>
        <w:ind w:firstLine="420" w:firstLineChars="200"/>
        <w:rPr>
          <w:rFonts w:hAnsi="宋体"/>
          <w:color w:val="auto"/>
        </w:rPr>
      </w:pPr>
      <w:r>
        <w:rPr>
          <w:rFonts w:hint="eastAsia" w:hAnsi="宋体"/>
          <w:color w:val="auto"/>
        </w:rPr>
        <w:t>（5）其他无法保证电子交易的公平、公正和安全情况的。</w:t>
      </w:r>
    </w:p>
    <w:p w14:paraId="592E3CE1">
      <w:pPr>
        <w:spacing w:line="400" w:lineRule="exact"/>
        <w:ind w:firstLine="420" w:firstLineChars="200"/>
        <w:contextualSpacing/>
        <w:rPr>
          <w:rFonts w:ascii="宋体" w:hAnsi="宋体" w:cs="宋体"/>
          <w:color w:val="auto"/>
          <w:szCs w:val="21"/>
        </w:rPr>
      </w:pPr>
      <w:r>
        <w:rPr>
          <w:rFonts w:hint="eastAsia" w:ascii="宋体" w:hAnsi="宋体"/>
          <w:color w:val="auto"/>
        </w:rPr>
        <w:t>26.</w:t>
      </w:r>
      <w:r>
        <w:rPr>
          <w:rFonts w:ascii="宋体" w:hAnsi="宋体"/>
          <w:color w:val="auto"/>
        </w:rPr>
        <w:t>6</w:t>
      </w:r>
      <w:r>
        <w:rPr>
          <w:rFonts w:hint="eastAsia" w:hAnsi="宋体"/>
          <w:color w:val="auto"/>
        </w:rPr>
        <w:t>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作出妥善保密处理，并报财政部门备案。</w:t>
      </w:r>
    </w:p>
    <w:p w14:paraId="6193AAF8">
      <w:pPr>
        <w:spacing w:line="400" w:lineRule="exact"/>
        <w:ind w:firstLine="482" w:firstLineChars="200"/>
        <w:contextualSpacing/>
        <w:rPr>
          <w:rFonts w:ascii="黑体" w:hAnsi="黑体" w:eastAsia="黑体" w:cs="宋体"/>
          <w:b/>
          <w:bCs/>
          <w:color w:val="auto"/>
          <w:sz w:val="24"/>
        </w:rPr>
      </w:pPr>
      <w:r>
        <w:rPr>
          <w:rFonts w:ascii="黑体" w:hAnsi="黑体" w:eastAsia="黑体" w:cs="宋体"/>
          <w:b/>
          <w:bCs/>
          <w:color w:val="auto"/>
          <w:sz w:val="24"/>
        </w:rPr>
        <w:t>27</w:t>
      </w:r>
      <w:r>
        <w:rPr>
          <w:rFonts w:hint="eastAsia" w:ascii="黑体" w:hAnsi="黑体" w:eastAsia="黑体" w:cs="宋体"/>
          <w:b/>
          <w:bCs/>
          <w:color w:val="auto"/>
          <w:sz w:val="24"/>
        </w:rPr>
        <w:t>.确定成交供应商及结果公告</w:t>
      </w:r>
    </w:p>
    <w:p w14:paraId="5C3BDA8A">
      <w:pPr>
        <w:spacing w:line="400" w:lineRule="exact"/>
        <w:ind w:firstLine="420" w:firstLineChars="200"/>
        <w:contextualSpacing/>
        <w:rPr>
          <w:rFonts w:ascii="宋体" w:hAnsi="宋体" w:cs="宋体"/>
          <w:color w:val="auto"/>
          <w:szCs w:val="21"/>
        </w:rPr>
      </w:pPr>
      <w:r>
        <w:rPr>
          <w:rFonts w:ascii="宋体" w:hAnsi="宋体" w:cs="宋体"/>
          <w:color w:val="auto"/>
          <w:szCs w:val="21"/>
        </w:rPr>
        <w:t>27</w:t>
      </w:r>
      <w:r>
        <w:rPr>
          <w:rFonts w:hint="eastAsia" w:ascii="宋体" w:hAnsi="宋体" w:cs="宋体"/>
          <w:color w:val="auto"/>
          <w:szCs w:val="21"/>
        </w:rPr>
        <w:t>.1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047BDAD8">
      <w:pPr>
        <w:spacing w:line="400" w:lineRule="exact"/>
        <w:ind w:firstLine="420" w:firstLineChars="200"/>
        <w:contextualSpacing/>
        <w:rPr>
          <w:rFonts w:ascii="宋体" w:hAnsi="宋体" w:cs="Courier New"/>
          <w:color w:val="auto"/>
          <w:szCs w:val="21"/>
        </w:rPr>
      </w:pPr>
      <w:r>
        <w:rPr>
          <w:rFonts w:ascii="宋体" w:hAnsi="宋体" w:cs="宋体"/>
          <w:color w:val="auto"/>
          <w:szCs w:val="21"/>
        </w:rPr>
        <w:t>27</w:t>
      </w:r>
      <w:r>
        <w:rPr>
          <w:rFonts w:hint="eastAsia" w:ascii="宋体" w:hAnsi="宋体" w:cs="宋体"/>
          <w:color w:val="auto"/>
          <w:szCs w:val="21"/>
        </w:rPr>
        <w:t>.2采购代理机构应当在</w:t>
      </w:r>
      <w:r>
        <w:rPr>
          <w:rFonts w:hint="eastAsia" w:ascii="宋体" w:hAnsi="宋体" w:cs="宋体"/>
          <w:color w:val="auto"/>
          <w:kern w:val="0"/>
          <w:szCs w:val="21"/>
        </w:rPr>
        <w:t>成交</w:t>
      </w:r>
      <w:r>
        <w:rPr>
          <w:rFonts w:hint="eastAsia" w:ascii="宋体" w:hAnsi="宋体" w:cs="宋体"/>
          <w:color w:val="auto"/>
          <w:szCs w:val="21"/>
        </w:rPr>
        <w:t>供应商确定后2个工作日内，在省级以上财政部门指定的媒体上公告成交结果，同时向成交供应商发出成交通知书。采购人或者采购代理机构发出成交通知书前，应当对成交供应商信用进行查询，对列入失信被执行人、</w:t>
      </w:r>
      <w:r>
        <w:rPr>
          <w:rFonts w:hint="eastAsia" w:ascii="宋体" w:hAnsi="宋体" w:cs="宋体"/>
          <w:color w:val="auto"/>
          <w:kern w:val="0"/>
          <w:szCs w:val="21"/>
        </w:rPr>
        <w:t>重大税收违法失信主体</w:t>
      </w:r>
      <w:r>
        <w:rPr>
          <w:rFonts w:hint="eastAsia" w:ascii="宋体" w:hAnsi="宋体" w:cs="宋体"/>
          <w:color w:val="auto"/>
          <w:szCs w:val="21"/>
        </w:rPr>
        <w:t>、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w:t>
      </w:r>
      <w:r>
        <w:rPr>
          <w:rFonts w:hint="eastAsia" w:ascii="宋体" w:hAnsi="宋体" w:cs="Courier New"/>
          <w:color w:val="auto"/>
          <w:szCs w:val="21"/>
        </w:rPr>
        <w:t>成交供应商享受《政府采购促进中小企业发展管理办法》（财库〔2020〕46号）规定的中小企业扶持政策的，采购人、采购代理机构应当随成交结果公开成交供应商的中小企业声明函或残疾人福利性单位声明函或</w:t>
      </w:r>
      <w:r>
        <w:rPr>
          <w:rFonts w:hint="eastAsia" w:ascii="宋体" w:hAnsi="宋体"/>
          <w:color w:val="auto"/>
          <w:szCs w:val="21"/>
        </w:rPr>
        <w:t>属于监狱企业的证明文件</w:t>
      </w:r>
      <w:r>
        <w:rPr>
          <w:rFonts w:hint="eastAsia" w:ascii="宋体" w:hAnsi="宋体" w:cs="Courier New"/>
          <w:color w:val="auto"/>
          <w:szCs w:val="21"/>
        </w:rPr>
        <w:t>。</w:t>
      </w:r>
    </w:p>
    <w:p w14:paraId="5081086C">
      <w:pPr>
        <w:spacing w:line="400" w:lineRule="exact"/>
        <w:ind w:firstLine="420" w:firstLineChars="200"/>
        <w:contextualSpacing/>
        <w:rPr>
          <w:rFonts w:ascii="宋体" w:hAnsi="宋体" w:cs="Courier New"/>
          <w:color w:val="auto"/>
          <w:szCs w:val="21"/>
        </w:rPr>
      </w:pPr>
      <w:r>
        <w:rPr>
          <w:rFonts w:hint="eastAsia" w:ascii="宋体" w:hAnsi="宋体" w:cs="Courier New"/>
          <w:color w:val="auto"/>
          <w:szCs w:val="21"/>
        </w:rPr>
        <w:t>27.3出现下列情形之一的，采购人或者采购代理机构应当终止竞争性磋商采购活动，发布项目终止公告并说明原因，重新开展采购活动：</w:t>
      </w:r>
    </w:p>
    <w:p w14:paraId="4A5139C4">
      <w:pPr>
        <w:spacing w:line="400" w:lineRule="exact"/>
        <w:ind w:firstLine="420" w:firstLineChars="200"/>
        <w:contextualSpacing/>
        <w:rPr>
          <w:rFonts w:ascii="宋体" w:hAnsi="宋体" w:cs="Courier New"/>
          <w:color w:val="auto"/>
          <w:szCs w:val="21"/>
        </w:rPr>
      </w:pPr>
      <w:r>
        <w:rPr>
          <w:rFonts w:hint="eastAsia" w:ascii="宋体" w:hAnsi="宋体" w:cs="Courier New"/>
          <w:color w:val="auto"/>
          <w:szCs w:val="21"/>
        </w:rPr>
        <w:t>（1）因情况变化，不再符合规定的竞争性磋商采购方式适用情形的；</w:t>
      </w:r>
    </w:p>
    <w:p w14:paraId="77CE98FA">
      <w:pPr>
        <w:spacing w:line="400" w:lineRule="exact"/>
        <w:ind w:firstLine="420" w:firstLineChars="200"/>
        <w:contextualSpacing/>
        <w:rPr>
          <w:rFonts w:ascii="宋体" w:hAnsi="宋体" w:cs="Courier New"/>
          <w:color w:val="auto"/>
          <w:szCs w:val="21"/>
        </w:rPr>
      </w:pPr>
      <w:r>
        <w:rPr>
          <w:rFonts w:hint="eastAsia" w:ascii="宋体" w:hAnsi="宋体" w:cs="Courier New"/>
          <w:color w:val="auto"/>
          <w:szCs w:val="21"/>
        </w:rPr>
        <w:t>（2）出现影响采购公正的违法、违规行为的；</w:t>
      </w:r>
    </w:p>
    <w:p w14:paraId="4B7D716B">
      <w:pPr>
        <w:spacing w:line="400" w:lineRule="exact"/>
        <w:ind w:firstLine="420" w:firstLineChars="200"/>
        <w:contextualSpacing/>
        <w:rPr>
          <w:rFonts w:ascii="宋体" w:hAnsi="宋体" w:cs="Courier New"/>
          <w:color w:val="auto"/>
          <w:szCs w:val="21"/>
        </w:rPr>
      </w:pPr>
      <w:r>
        <w:rPr>
          <w:rFonts w:hint="eastAsia" w:ascii="宋体" w:hAnsi="宋体" w:cs="Courier New"/>
          <w:color w:val="auto"/>
          <w:szCs w:val="21"/>
        </w:rPr>
        <w:t>（3）除“第四章 评审程序、评审方法和评审标准”第4.3条规定的情形外，在采购过程中符合要求的供应商或者报价未超过采购预算的供应商不足3家的。</w:t>
      </w:r>
    </w:p>
    <w:p w14:paraId="78A18A72">
      <w:pPr>
        <w:spacing w:line="400" w:lineRule="exact"/>
        <w:ind w:firstLine="420" w:firstLineChars="200"/>
        <w:contextualSpacing/>
        <w:rPr>
          <w:rFonts w:ascii="宋体" w:hAnsi="宋体" w:cs="Courier New"/>
          <w:color w:val="auto"/>
          <w:szCs w:val="21"/>
        </w:rPr>
      </w:pPr>
      <w:r>
        <w:rPr>
          <w:rFonts w:hint="eastAsia" w:ascii="宋体" w:hAnsi="宋体" w:cs="Courier New"/>
          <w:color w:val="auto"/>
          <w:szCs w:val="21"/>
        </w:rPr>
        <w:t>27.4 在采购活动中因重大变故，采购任务取消的，采购人或者采购代理机构应当终止采购活动，通知所有参加采购活动的供应商，并将项目实施情况和采购任务取消原因报送本级财政部门。</w:t>
      </w:r>
    </w:p>
    <w:p w14:paraId="0F8A2777">
      <w:pPr>
        <w:spacing w:line="400" w:lineRule="exact"/>
        <w:ind w:firstLine="482" w:firstLineChars="200"/>
        <w:contextualSpacing/>
        <w:rPr>
          <w:rFonts w:ascii="黑体" w:hAnsi="黑体" w:eastAsia="黑体" w:cs="宋体"/>
          <w:b/>
          <w:bCs/>
          <w:color w:val="auto"/>
          <w:sz w:val="24"/>
        </w:rPr>
      </w:pPr>
      <w:r>
        <w:rPr>
          <w:rFonts w:ascii="黑体" w:hAnsi="黑体" w:eastAsia="黑体" w:cs="宋体"/>
          <w:b/>
          <w:bCs/>
          <w:color w:val="auto"/>
          <w:sz w:val="24"/>
        </w:rPr>
        <w:t>28</w:t>
      </w:r>
      <w:r>
        <w:rPr>
          <w:rFonts w:hint="eastAsia" w:ascii="黑体" w:hAnsi="黑体" w:eastAsia="黑体" w:cs="宋体"/>
          <w:b/>
          <w:bCs/>
          <w:color w:val="auto"/>
          <w:sz w:val="24"/>
        </w:rPr>
        <w:t>.履约保证金</w:t>
      </w:r>
    </w:p>
    <w:p w14:paraId="244BAEBC">
      <w:pPr>
        <w:spacing w:line="400" w:lineRule="exact"/>
        <w:ind w:firstLine="424" w:firstLineChars="202"/>
        <w:contextualSpacing/>
        <w:rPr>
          <w:rFonts w:ascii="宋体" w:hAnsi="宋体" w:cs="宋体"/>
          <w:color w:val="auto"/>
          <w:szCs w:val="21"/>
        </w:rPr>
      </w:pPr>
      <w:r>
        <w:rPr>
          <w:rFonts w:ascii="宋体" w:hAnsi="宋体" w:cs="宋体"/>
          <w:color w:val="auto"/>
          <w:szCs w:val="21"/>
        </w:rPr>
        <w:t>28</w:t>
      </w:r>
      <w:r>
        <w:rPr>
          <w:rFonts w:hint="eastAsia" w:ascii="宋体" w:hAnsi="宋体" w:cs="宋体"/>
          <w:color w:val="auto"/>
          <w:szCs w:val="21"/>
        </w:rPr>
        <w:t>.1</w:t>
      </w:r>
      <w:r>
        <w:rPr>
          <w:rFonts w:ascii="宋体" w:hAnsi="宋体" w:cs="宋体"/>
          <w:color w:val="auto"/>
          <w:szCs w:val="21"/>
        </w:rPr>
        <w:t xml:space="preserve"> </w:t>
      </w:r>
      <w:r>
        <w:rPr>
          <w:rFonts w:hint="eastAsia" w:ascii="宋体" w:hAnsi="宋体" w:cs="宋体"/>
          <w:color w:val="auto"/>
          <w:szCs w:val="21"/>
        </w:rPr>
        <w:t>履约保证金的金额、提交方式、退付的时间和条件详见“供应商须知前附表”。成交供应商未按规定提交履约保证金的，视为拒绝</w:t>
      </w:r>
      <w:r>
        <w:rPr>
          <w:rFonts w:ascii="宋体" w:hAnsi="宋体"/>
          <w:color w:val="auto"/>
        </w:rPr>
        <w:t>与采购人</w:t>
      </w:r>
      <w:r>
        <w:rPr>
          <w:rFonts w:hint="eastAsia" w:ascii="宋体" w:hAnsi="宋体" w:cs="宋体"/>
          <w:color w:val="auto"/>
          <w:szCs w:val="21"/>
        </w:rPr>
        <w:t>签订合同。</w:t>
      </w:r>
    </w:p>
    <w:p w14:paraId="377D070E">
      <w:pPr>
        <w:spacing w:line="400" w:lineRule="exact"/>
        <w:ind w:firstLine="424" w:firstLineChars="202"/>
        <w:contextualSpacing/>
        <w:rPr>
          <w:rFonts w:ascii="宋体" w:hAnsi="宋体" w:cs="宋体"/>
          <w:color w:val="auto"/>
          <w:szCs w:val="21"/>
        </w:rPr>
      </w:pPr>
      <w:r>
        <w:rPr>
          <w:rFonts w:ascii="宋体" w:hAnsi="宋体" w:cs="宋体"/>
          <w:color w:val="auto"/>
          <w:szCs w:val="21"/>
        </w:rPr>
        <w:t>28</w:t>
      </w:r>
      <w:r>
        <w:rPr>
          <w:rFonts w:hint="eastAsia" w:ascii="宋体" w:hAnsi="宋体" w:cs="宋体"/>
          <w:color w:val="auto"/>
          <w:szCs w:val="21"/>
        </w:rPr>
        <w:t>.2在履约保证金退还日期前，若成交供应商的开户名称、开户银行、账号有变动的，请以书面形式通知履约保证金收取单位，否则由此产生的后果由成交供应商自行承担。</w:t>
      </w:r>
    </w:p>
    <w:p w14:paraId="5EDF119D">
      <w:pPr>
        <w:spacing w:line="400" w:lineRule="exact"/>
        <w:ind w:firstLine="482" w:firstLineChars="200"/>
        <w:contextualSpacing/>
        <w:rPr>
          <w:rFonts w:ascii="黑体" w:hAnsi="黑体" w:eastAsia="黑体" w:cs="宋体"/>
          <w:b/>
          <w:bCs/>
          <w:color w:val="auto"/>
          <w:sz w:val="24"/>
        </w:rPr>
      </w:pPr>
      <w:r>
        <w:rPr>
          <w:rFonts w:ascii="黑体" w:hAnsi="黑体" w:eastAsia="黑体" w:cs="宋体"/>
          <w:b/>
          <w:bCs/>
          <w:color w:val="auto"/>
          <w:sz w:val="24"/>
        </w:rPr>
        <w:t>29</w:t>
      </w:r>
      <w:r>
        <w:rPr>
          <w:rFonts w:hint="eastAsia" w:ascii="黑体" w:hAnsi="黑体" w:eastAsia="黑体" w:cs="宋体"/>
          <w:b/>
          <w:bCs/>
          <w:color w:val="auto"/>
          <w:sz w:val="24"/>
        </w:rPr>
        <w:t>.签订合同</w:t>
      </w:r>
    </w:p>
    <w:p w14:paraId="30ED5539">
      <w:pPr>
        <w:spacing w:line="400" w:lineRule="exact"/>
        <w:ind w:firstLine="424" w:firstLineChars="202"/>
        <w:rPr>
          <w:rFonts w:ascii="宋体" w:hAnsi="宋体" w:cs="宋体"/>
          <w:color w:val="auto"/>
          <w:szCs w:val="21"/>
        </w:rPr>
      </w:pPr>
      <w:r>
        <w:rPr>
          <w:rFonts w:hint="eastAsia" w:ascii="宋体" w:hAnsi="宋体" w:cs="宋体"/>
          <w:color w:val="auto"/>
          <w:szCs w:val="21"/>
        </w:rPr>
        <w:t>29.1签订电子采购合同：成交供应商领取电子成交通知书后，在</w:t>
      </w:r>
      <w:r>
        <w:rPr>
          <w:rFonts w:hint="eastAsia" w:ascii="宋体" w:hAnsi="宋体" w:cs="宋体"/>
          <w:color w:val="auto"/>
          <w:szCs w:val="21"/>
          <w:lang w:val="zh-CN"/>
        </w:rPr>
        <w:t>规定的日期、时间、地点，由法定代表人或其授权代表与采购人代表签订电子采购合同。如成交供应商为联合体的，由联合体成员各方法定代表人或其授权代表与采购人代表签订合同。</w:t>
      </w:r>
    </w:p>
    <w:p w14:paraId="21C98D3F">
      <w:pPr>
        <w:spacing w:line="400" w:lineRule="exact"/>
        <w:ind w:firstLine="424" w:firstLineChars="202"/>
        <w:rPr>
          <w:rFonts w:ascii="宋体" w:hAnsi="宋体" w:cs="宋体"/>
          <w:color w:val="auto"/>
          <w:szCs w:val="21"/>
        </w:rPr>
      </w:pPr>
      <w:r>
        <w:rPr>
          <w:rFonts w:hint="eastAsia" w:ascii="宋体" w:hAnsi="宋体" w:cs="宋体"/>
          <w:color w:val="auto"/>
          <w:szCs w:val="21"/>
        </w:rPr>
        <w:t>线下签订纸质合同：供应商领取成交通知书后，按“供应商须知前附表”规定向采购人出示相关证明材料，经采购人核验合格后方可签订合同。</w:t>
      </w:r>
    </w:p>
    <w:p w14:paraId="0B770BFC">
      <w:pPr>
        <w:spacing w:line="400" w:lineRule="exact"/>
        <w:ind w:firstLine="424" w:firstLineChars="202"/>
        <w:rPr>
          <w:rFonts w:ascii="宋体" w:hAnsi="宋体" w:cs="宋体"/>
          <w:color w:val="auto"/>
          <w:szCs w:val="21"/>
        </w:rPr>
      </w:pPr>
      <w:r>
        <w:rPr>
          <w:rFonts w:hint="eastAsia" w:ascii="宋体" w:hAnsi="宋体" w:cs="宋体"/>
          <w:color w:val="auto"/>
          <w:szCs w:val="21"/>
        </w:rPr>
        <w:t>29.2签订合同时间：按成交通知书规定的时间与采购人签订合同。</w:t>
      </w:r>
    </w:p>
    <w:p w14:paraId="559F5D25">
      <w:pPr>
        <w:spacing w:line="400" w:lineRule="exact"/>
        <w:ind w:firstLine="424" w:firstLineChars="202"/>
        <w:rPr>
          <w:rFonts w:ascii="宋体" w:hAnsi="宋体" w:cs="宋体"/>
          <w:color w:val="auto"/>
          <w:szCs w:val="21"/>
        </w:rPr>
      </w:pPr>
      <w:r>
        <w:rPr>
          <w:rFonts w:hint="eastAsia" w:ascii="宋体" w:hAnsi="宋体" w:cs="宋体"/>
          <w:color w:val="auto"/>
          <w:szCs w:val="21"/>
        </w:rPr>
        <w:t>29.</w:t>
      </w:r>
      <w:r>
        <w:rPr>
          <w:rFonts w:ascii="宋体" w:hAnsi="宋体" w:cs="宋体"/>
          <w:color w:val="auto"/>
          <w:szCs w:val="21"/>
        </w:rPr>
        <w:t>3</w:t>
      </w:r>
      <w:r>
        <w:rPr>
          <w:rFonts w:hint="eastAsia" w:ascii="宋体" w:hAnsi="宋体" w:cs="宋体"/>
          <w:color w:val="auto"/>
          <w:szCs w:val="21"/>
        </w:rPr>
        <w:t>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追究采购人承担相应的法律责任。</w:t>
      </w:r>
    </w:p>
    <w:p w14:paraId="2B38408E">
      <w:pPr>
        <w:spacing w:line="400" w:lineRule="exact"/>
        <w:ind w:firstLine="424" w:firstLineChars="202"/>
        <w:rPr>
          <w:rFonts w:ascii="宋体" w:hAnsi="宋体" w:cs="宋体"/>
          <w:color w:val="auto"/>
          <w:szCs w:val="21"/>
        </w:rPr>
      </w:pPr>
      <w:r>
        <w:rPr>
          <w:rFonts w:hint="eastAsia" w:ascii="宋体" w:hAnsi="宋体" w:cs="宋体"/>
          <w:color w:val="auto"/>
          <w:szCs w:val="21"/>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63D18DD6">
      <w:pPr>
        <w:spacing w:line="400" w:lineRule="exact"/>
        <w:ind w:firstLine="424" w:firstLineChars="202"/>
        <w:rPr>
          <w:rFonts w:ascii="宋体" w:hAnsi="宋体" w:cs="宋体"/>
          <w:color w:val="auto"/>
          <w:szCs w:val="21"/>
        </w:rPr>
      </w:pPr>
      <w:r>
        <w:rPr>
          <w:rFonts w:hint="eastAsia" w:ascii="宋体" w:hAnsi="宋体" w:cs="宋体"/>
          <w:color w:val="auto"/>
          <w:szCs w:val="21"/>
        </w:rPr>
        <w:t>29.5采购人或成交供应商不得单方面向合同另一方提出任何磋商文件没有约定的条件或不合理的要求，作为签订合同的条件；也不得协商另行订立背离磋商文件和合同实质性内容的协议。</w:t>
      </w:r>
    </w:p>
    <w:p w14:paraId="0328DF38">
      <w:pPr>
        <w:spacing w:line="400" w:lineRule="exact"/>
        <w:ind w:firstLine="424" w:firstLineChars="202"/>
        <w:rPr>
          <w:rFonts w:ascii="宋体" w:hAnsi="宋体" w:cs="宋体"/>
          <w:color w:val="auto"/>
          <w:szCs w:val="21"/>
        </w:rPr>
      </w:pPr>
      <w:r>
        <w:rPr>
          <w:rFonts w:hint="eastAsia" w:ascii="宋体" w:hAnsi="宋体" w:cs="宋体"/>
          <w:color w:val="auto"/>
          <w:szCs w:val="21"/>
        </w:rPr>
        <w:t>29.6如签订合同并生效后，供应商无故拒绝或延期，除按照合同条款处理外，将承担相应的法律责任。</w:t>
      </w:r>
    </w:p>
    <w:p w14:paraId="6B044770">
      <w:pPr>
        <w:spacing w:line="400" w:lineRule="exact"/>
        <w:ind w:firstLine="482" w:firstLineChars="200"/>
        <w:contextualSpacing/>
        <w:rPr>
          <w:rFonts w:ascii="黑体" w:hAnsi="黑体" w:eastAsia="黑体" w:cs="宋体"/>
          <w:b/>
          <w:bCs/>
          <w:color w:val="auto"/>
          <w:sz w:val="24"/>
        </w:rPr>
      </w:pPr>
      <w:r>
        <w:rPr>
          <w:rFonts w:ascii="黑体" w:hAnsi="黑体" w:eastAsia="黑体" w:cs="宋体"/>
          <w:b/>
          <w:bCs/>
          <w:color w:val="auto"/>
          <w:sz w:val="24"/>
        </w:rPr>
        <w:t>30</w:t>
      </w:r>
      <w:r>
        <w:rPr>
          <w:rFonts w:hint="eastAsia" w:ascii="黑体" w:hAnsi="黑体" w:eastAsia="黑体" w:cs="宋体"/>
          <w:b/>
          <w:bCs/>
          <w:color w:val="auto"/>
          <w:sz w:val="24"/>
        </w:rPr>
        <w:t>.政府采购合同公告</w:t>
      </w:r>
    </w:p>
    <w:p w14:paraId="0AC90928">
      <w:pPr>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6560969B">
      <w:pPr>
        <w:spacing w:line="400" w:lineRule="exact"/>
        <w:ind w:firstLine="482" w:firstLineChars="200"/>
        <w:contextualSpacing/>
        <w:rPr>
          <w:rFonts w:ascii="黑体" w:hAnsi="黑体" w:eastAsia="黑体" w:cs="宋体"/>
          <w:b/>
          <w:bCs/>
          <w:color w:val="auto"/>
          <w:sz w:val="24"/>
        </w:rPr>
      </w:pPr>
      <w:r>
        <w:rPr>
          <w:rFonts w:ascii="黑体" w:hAnsi="黑体" w:eastAsia="黑体" w:cs="宋体"/>
          <w:b/>
          <w:bCs/>
          <w:color w:val="auto"/>
          <w:sz w:val="24"/>
        </w:rPr>
        <w:t>31</w:t>
      </w:r>
      <w:r>
        <w:rPr>
          <w:rFonts w:hint="eastAsia" w:ascii="黑体" w:hAnsi="黑体" w:eastAsia="黑体" w:cs="宋体"/>
          <w:b/>
          <w:bCs/>
          <w:color w:val="auto"/>
          <w:sz w:val="24"/>
        </w:rPr>
        <w:t>.询问、质疑和投诉</w:t>
      </w:r>
    </w:p>
    <w:p w14:paraId="28910CC2">
      <w:pPr>
        <w:spacing w:line="400" w:lineRule="exact"/>
        <w:ind w:firstLine="420" w:firstLineChars="200"/>
        <w:contextualSpacing/>
        <w:rPr>
          <w:rFonts w:ascii="宋体" w:hAnsi="宋体" w:cs="宋体"/>
          <w:color w:val="auto"/>
        </w:rPr>
      </w:pPr>
      <w:r>
        <w:rPr>
          <w:rFonts w:hint="eastAsia" w:ascii="宋体" w:hAnsi="宋体" w:cs="宋体"/>
          <w:color w:val="auto"/>
        </w:rPr>
        <w:t>3</w:t>
      </w:r>
      <w:r>
        <w:rPr>
          <w:rFonts w:ascii="宋体" w:hAnsi="宋体" w:cs="宋体"/>
          <w:color w:val="auto"/>
        </w:rPr>
        <w:t>1</w:t>
      </w:r>
      <w:r>
        <w:rPr>
          <w:rFonts w:hint="eastAsia" w:ascii="宋体" w:hAnsi="宋体" w:cs="宋体"/>
          <w:color w:val="auto"/>
        </w:rPr>
        <w:t>.1供应商对政府采购活动事项有疑问的，可以向采购人、采购代理机构提出询问，采购人或者采购代理机构应当在3个工作日内对供应商依法提出的询问作出答复。</w:t>
      </w:r>
    </w:p>
    <w:p w14:paraId="4D2AA5B5">
      <w:pPr>
        <w:spacing w:line="400" w:lineRule="exact"/>
        <w:ind w:firstLine="420" w:firstLineChars="200"/>
        <w:contextualSpacing/>
        <w:rPr>
          <w:rFonts w:ascii="宋体" w:hAnsi="宋体" w:cs="宋体"/>
          <w:color w:val="auto"/>
        </w:rPr>
      </w:pPr>
      <w:r>
        <w:rPr>
          <w:rFonts w:hint="eastAsia" w:ascii="宋体" w:hAnsi="宋体" w:cs="宋体"/>
          <w:color w:val="auto"/>
        </w:rPr>
        <w:t>3</w:t>
      </w:r>
      <w:r>
        <w:rPr>
          <w:rFonts w:ascii="宋体" w:hAnsi="宋体" w:cs="宋体"/>
          <w:color w:val="auto"/>
        </w:rPr>
        <w:t>1</w:t>
      </w:r>
      <w:r>
        <w:rPr>
          <w:rFonts w:hint="eastAsia" w:ascii="宋体" w:hAnsi="宋体" w:cs="宋体"/>
          <w:color w:val="auto"/>
        </w:rPr>
        <w:t>.2供应商认为磋商文件、采购过程或者成交结果使自己的合法权益受到损害的，应当在知道或者应知其权益受到损害之日起7个工作日内，以书面形式向采购人、采购代理机构提出质疑，</w:t>
      </w:r>
      <w:r>
        <w:rPr>
          <w:rFonts w:ascii="宋体" w:hAnsi="宋体" w:cs="Arial"/>
          <w:color w:val="auto"/>
          <w:shd w:val="clear" w:color="auto" w:fill="FFFFFF"/>
        </w:rPr>
        <w:t>接收质疑函的方式、联系部门、联系电话和通讯地址等信息</w:t>
      </w:r>
      <w:r>
        <w:rPr>
          <w:rFonts w:hint="eastAsia" w:ascii="宋体" w:hAnsi="宋体" w:cs="Arial"/>
          <w:color w:val="auto"/>
          <w:shd w:val="clear" w:color="auto" w:fill="FFFFFF"/>
        </w:rPr>
        <w:t>详见</w:t>
      </w:r>
      <w:r>
        <w:rPr>
          <w:rFonts w:hint="eastAsia" w:ascii="宋体" w:hAnsi="宋体" w:cs="宋体"/>
          <w:color w:val="auto"/>
          <w:szCs w:val="21"/>
        </w:rPr>
        <w:t>“供应商须知前附表”</w:t>
      </w:r>
      <w:r>
        <w:rPr>
          <w:rFonts w:hint="eastAsia" w:ascii="宋体" w:hAnsi="宋体" w:cs="宋体"/>
          <w:color w:val="auto"/>
        </w:rPr>
        <w:t>。具体质疑起算时间如下：</w:t>
      </w:r>
    </w:p>
    <w:p w14:paraId="0967B581">
      <w:pPr>
        <w:spacing w:line="400" w:lineRule="exact"/>
        <w:ind w:firstLine="420" w:firstLineChars="200"/>
        <w:contextualSpacing/>
        <w:rPr>
          <w:rFonts w:ascii="宋体" w:hAnsi="宋体" w:cs="宋体"/>
          <w:color w:val="auto"/>
        </w:rPr>
      </w:pPr>
      <w:r>
        <w:rPr>
          <w:rFonts w:hint="eastAsia" w:ascii="宋体" w:hAnsi="宋体" w:cs="宋体"/>
          <w:color w:val="auto"/>
        </w:rPr>
        <w:t>（1）对可以质疑的磋商文件提出质疑的，为收到磋商文件之日或者</w:t>
      </w:r>
      <w:r>
        <w:rPr>
          <w:rFonts w:hint="eastAsia" w:ascii="宋体" w:hAnsi="宋体"/>
          <w:color w:val="auto"/>
        </w:rPr>
        <w:t>竞争性磋商公告期限届满之日</w:t>
      </w:r>
      <w:r>
        <w:rPr>
          <w:rFonts w:hint="eastAsia" w:ascii="宋体" w:hAnsi="宋体" w:cs="宋体"/>
          <w:color w:val="auto"/>
        </w:rPr>
        <w:t>；</w:t>
      </w:r>
    </w:p>
    <w:p w14:paraId="136653AC">
      <w:pPr>
        <w:spacing w:line="400" w:lineRule="exact"/>
        <w:ind w:firstLine="420" w:firstLineChars="200"/>
        <w:contextualSpacing/>
        <w:rPr>
          <w:rFonts w:ascii="宋体" w:hAnsi="宋体" w:cs="宋体"/>
          <w:color w:val="auto"/>
        </w:rPr>
      </w:pPr>
      <w:r>
        <w:rPr>
          <w:rFonts w:hint="eastAsia" w:ascii="宋体" w:hAnsi="宋体" w:cs="宋体"/>
          <w:color w:val="auto"/>
        </w:rPr>
        <w:t>（2）对采购过程提出质疑的，为各采购程序环节结束之日；</w:t>
      </w:r>
    </w:p>
    <w:p w14:paraId="11A8FA93">
      <w:pPr>
        <w:spacing w:line="400" w:lineRule="exact"/>
        <w:ind w:firstLine="420" w:firstLineChars="200"/>
        <w:contextualSpacing/>
        <w:rPr>
          <w:rFonts w:ascii="宋体" w:hAnsi="宋体" w:cs="宋体"/>
          <w:color w:val="auto"/>
        </w:rPr>
      </w:pPr>
      <w:r>
        <w:rPr>
          <w:rFonts w:hint="eastAsia" w:ascii="宋体" w:hAnsi="宋体" w:cs="宋体"/>
          <w:color w:val="auto"/>
        </w:rPr>
        <w:t>（3）对成交结果提出质疑的，为成交结果公告期限届满之日。</w:t>
      </w:r>
    </w:p>
    <w:p w14:paraId="0C3C29DD">
      <w:pPr>
        <w:spacing w:line="400" w:lineRule="exact"/>
        <w:ind w:firstLine="420" w:firstLineChars="200"/>
        <w:contextualSpacing/>
        <w:rPr>
          <w:rFonts w:ascii="宋体" w:hAnsi="宋体" w:cs="宋体"/>
          <w:color w:val="auto"/>
        </w:rPr>
      </w:pPr>
      <w:r>
        <w:rPr>
          <w:rFonts w:hint="eastAsia" w:ascii="宋体" w:hAnsi="宋体" w:cs="宋体"/>
          <w:color w:val="auto"/>
        </w:rPr>
        <w:t>3</w:t>
      </w:r>
      <w:r>
        <w:rPr>
          <w:rFonts w:ascii="宋体" w:hAnsi="宋体" w:cs="宋体"/>
          <w:color w:val="auto"/>
        </w:rPr>
        <w:t>1</w:t>
      </w:r>
      <w:r>
        <w:rPr>
          <w:rFonts w:hint="eastAsia" w:ascii="宋体" w:hAnsi="宋体" w:cs="宋体"/>
          <w:color w:val="auto"/>
        </w:rPr>
        <w:t>.3供应商提出的询问或者质疑超出采购人对采购代理机构委托授权范围的，采购代理机构应当告知供应商向采购人提出。政府采购评审专家应当配合采购人或者采购代理机构答复供应商的询问和质疑。</w:t>
      </w:r>
    </w:p>
    <w:p w14:paraId="0D236E16">
      <w:pPr>
        <w:spacing w:line="400" w:lineRule="exact"/>
        <w:ind w:firstLine="420" w:firstLineChars="200"/>
        <w:contextualSpacing/>
        <w:rPr>
          <w:rFonts w:ascii="宋体" w:hAnsi="宋体" w:cs="宋体"/>
          <w:color w:val="auto"/>
        </w:rPr>
      </w:pPr>
      <w:r>
        <w:rPr>
          <w:rFonts w:hint="eastAsia" w:ascii="宋体" w:hAnsi="宋体" w:cs="宋体"/>
          <w:color w:val="auto"/>
        </w:rPr>
        <w:t>3</w:t>
      </w:r>
      <w:r>
        <w:rPr>
          <w:rFonts w:ascii="宋体" w:hAnsi="宋体" w:cs="宋体"/>
          <w:color w:val="auto"/>
        </w:rPr>
        <w:t>1</w:t>
      </w:r>
      <w:r>
        <w:rPr>
          <w:rFonts w:hint="eastAsia" w:ascii="宋体" w:hAnsi="宋体" w:cs="宋体"/>
          <w:color w:val="auto"/>
        </w:rPr>
        <w:t>.4 供应商提出质疑应当提交质疑函和必要的证明材料，针对同一采购程序环节的质疑必须在法定质疑期内一次性提出。质疑函应当包括下列内容</w:t>
      </w:r>
      <w:r>
        <w:rPr>
          <w:rFonts w:hint="eastAsia" w:hAnsi="宋体"/>
          <w:bCs/>
          <w:color w:val="auto"/>
        </w:rPr>
        <w:t>（质疑函格式后附）</w:t>
      </w:r>
      <w:r>
        <w:rPr>
          <w:rFonts w:hint="eastAsia" w:ascii="宋体" w:hAnsi="宋体" w:cs="宋体"/>
          <w:color w:val="auto"/>
        </w:rPr>
        <w:t>：</w:t>
      </w:r>
    </w:p>
    <w:p w14:paraId="5C6EA520">
      <w:pPr>
        <w:spacing w:line="400" w:lineRule="exact"/>
        <w:ind w:firstLine="420" w:firstLineChars="200"/>
        <w:contextualSpacing/>
        <w:rPr>
          <w:rFonts w:ascii="宋体" w:hAnsi="宋体" w:cs="宋体"/>
          <w:color w:val="auto"/>
        </w:rPr>
      </w:pPr>
      <w:r>
        <w:rPr>
          <w:rFonts w:hint="eastAsia" w:ascii="宋体" w:hAnsi="宋体" w:cs="宋体"/>
          <w:color w:val="auto"/>
        </w:rPr>
        <w:t>（1）供应商的姓名或者名称、地址、邮编、联系人及联系电话；</w:t>
      </w:r>
    </w:p>
    <w:p w14:paraId="5EE2629D">
      <w:pPr>
        <w:spacing w:line="400" w:lineRule="exact"/>
        <w:ind w:firstLine="420" w:firstLineChars="200"/>
        <w:contextualSpacing/>
        <w:rPr>
          <w:rFonts w:ascii="宋体" w:hAnsi="宋体" w:cs="宋体"/>
          <w:color w:val="auto"/>
        </w:rPr>
      </w:pPr>
      <w:r>
        <w:rPr>
          <w:rFonts w:hint="eastAsia" w:ascii="宋体" w:hAnsi="宋体" w:cs="宋体"/>
          <w:color w:val="auto"/>
        </w:rPr>
        <w:t>（2）质疑项目的名称、编号；</w:t>
      </w:r>
    </w:p>
    <w:p w14:paraId="2A16FCB3">
      <w:pPr>
        <w:spacing w:line="400" w:lineRule="exact"/>
        <w:ind w:firstLine="420" w:firstLineChars="200"/>
        <w:contextualSpacing/>
        <w:rPr>
          <w:rFonts w:ascii="宋体" w:hAnsi="宋体" w:cs="宋体"/>
          <w:color w:val="auto"/>
        </w:rPr>
      </w:pPr>
      <w:r>
        <w:rPr>
          <w:rFonts w:hint="eastAsia" w:ascii="宋体" w:hAnsi="宋体" w:cs="宋体"/>
          <w:color w:val="auto"/>
        </w:rPr>
        <w:t>（3）具体、明确的质疑事项和与质疑事项相关的请求；</w:t>
      </w:r>
    </w:p>
    <w:p w14:paraId="5A293342">
      <w:pPr>
        <w:spacing w:line="400" w:lineRule="exact"/>
        <w:ind w:firstLine="420" w:firstLineChars="200"/>
        <w:contextualSpacing/>
        <w:rPr>
          <w:rFonts w:ascii="宋体" w:hAnsi="宋体" w:cs="宋体"/>
          <w:color w:val="auto"/>
        </w:rPr>
      </w:pPr>
      <w:r>
        <w:rPr>
          <w:rFonts w:hint="eastAsia" w:ascii="宋体" w:hAnsi="宋体" w:cs="宋体"/>
          <w:color w:val="auto"/>
        </w:rPr>
        <w:t>（4）事实依据；</w:t>
      </w:r>
    </w:p>
    <w:p w14:paraId="65FD6006">
      <w:pPr>
        <w:spacing w:line="400" w:lineRule="exact"/>
        <w:ind w:firstLine="420" w:firstLineChars="200"/>
        <w:contextualSpacing/>
        <w:rPr>
          <w:rFonts w:ascii="宋体" w:hAnsi="宋体" w:cs="宋体"/>
          <w:color w:val="auto"/>
        </w:rPr>
      </w:pPr>
      <w:r>
        <w:rPr>
          <w:rFonts w:hint="eastAsia" w:ascii="宋体" w:hAnsi="宋体" w:cs="宋体"/>
          <w:color w:val="auto"/>
        </w:rPr>
        <w:t>（5）必要的法律依据；</w:t>
      </w:r>
    </w:p>
    <w:p w14:paraId="28CAF82A">
      <w:pPr>
        <w:spacing w:line="400" w:lineRule="exact"/>
        <w:ind w:firstLine="420" w:firstLineChars="200"/>
        <w:contextualSpacing/>
        <w:rPr>
          <w:rFonts w:ascii="宋体" w:hAnsi="宋体" w:cs="宋体"/>
          <w:color w:val="auto"/>
        </w:rPr>
      </w:pPr>
      <w:r>
        <w:rPr>
          <w:rFonts w:hint="eastAsia" w:ascii="宋体" w:hAnsi="宋体" w:cs="宋体"/>
          <w:color w:val="auto"/>
        </w:rPr>
        <w:t>（6）提出质疑的日期。</w:t>
      </w:r>
    </w:p>
    <w:p w14:paraId="6AD4FB25">
      <w:pPr>
        <w:spacing w:line="400" w:lineRule="exact"/>
        <w:ind w:firstLine="420" w:firstLineChars="200"/>
        <w:contextualSpacing/>
        <w:rPr>
          <w:rFonts w:ascii="宋体" w:hAnsi="宋体" w:cs="宋体"/>
          <w:color w:val="auto"/>
        </w:rPr>
      </w:pPr>
      <w:r>
        <w:rPr>
          <w:rFonts w:hint="eastAsia" w:ascii="宋体" w:hAnsi="宋体" w:cs="宋体"/>
          <w:color w:val="auto"/>
        </w:rPr>
        <w:t>供应商为自然人的，应当由本人签字；供应商为法人或者其他组织的，应当由法定代表人、主要负责人，或者其委托代理人签字或者盖章，并加盖公章。</w:t>
      </w:r>
    </w:p>
    <w:p w14:paraId="5472F12E">
      <w:pPr>
        <w:spacing w:line="400" w:lineRule="exact"/>
        <w:ind w:firstLine="420" w:firstLineChars="200"/>
        <w:contextualSpacing/>
        <w:rPr>
          <w:rFonts w:ascii="宋体" w:hAnsi="宋体" w:cs="宋体"/>
          <w:color w:val="auto"/>
        </w:rPr>
      </w:pPr>
      <w:r>
        <w:rPr>
          <w:rFonts w:hint="eastAsia" w:ascii="宋体" w:hAnsi="宋体" w:cs="宋体"/>
          <w:color w:val="auto"/>
        </w:rPr>
        <w:t>3</w:t>
      </w:r>
      <w:r>
        <w:rPr>
          <w:rFonts w:ascii="宋体" w:hAnsi="宋体" w:cs="宋体"/>
          <w:color w:val="auto"/>
        </w:rPr>
        <w:t>1.5</w:t>
      </w:r>
      <w:r>
        <w:rPr>
          <w:rFonts w:hint="eastAsia" w:ascii="宋体" w:hAnsi="宋体" w:cs="宋体"/>
          <w:color w:val="auto"/>
        </w:rPr>
        <w:t>采购人、采购代理机构认为供应商质疑不成立，或者成立但未对成交结果构成影响的，继续开展采购活动；认为供应商质疑成立且影响或者可能影响成交结果的，按照下列情况处理：</w:t>
      </w:r>
    </w:p>
    <w:p w14:paraId="7B9095AB">
      <w:pPr>
        <w:spacing w:line="400" w:lineRule="exact"/>
        <w:ind w:firstLine="420" w:firstLineChars="200"/>
        <w:contextualSpacing/>
        <w:rPr>
          <w:rFonts w:ascii="宋体" w:hAnsi="宋体" w:cs="宋体"/>
          <w:color w:val="auto"/>
        </w:rPr>
      </w:pPr>
      <w:r>
        <w:rPr>
          <w:rFonts w:hint="eastAsia" w:ascii="宋体" w:hAnsi="宋体" w:cs="宋体"/>
          <w:color w:val="auto"/>
        </w:rPr>
        <w:t>（一）对采购文件提出的质疑，依法通过澄清或者修改可以继续开展采购活动的，澄清或者修改采购文件后继续开展采购活动；否则应当修改采购文件后重新开展采购活动。</w:t>
      </w:r>
    </w:p>
    <w:p w14:paraId="32132651">
      <w:pPr>
        <w:spacing w:line="400" w:lineRule="exact"/>
        <w:ind w:firstLine="420" w:firstLineChars="200"/>
        <w:contextualSpacing/>
        <w:rPr>
          <w:rFonts w:ascii="宋体" w:hAnsi="宋体" w:cs="宋体"/>
          <w:color w:val="auto"/>
        </w:rPr>
      </w:pPr>
      <w:r>
        <w:rPr>
          <w:rFonts w:hint="eastAsia" w:ascii="宋体" w:hAnsi="宋体" w:cs="宋体"/>
          <w:color w:val="auto"/>
        </w:rPr>
        <w:t>（二）对采购过程或者成交结果提出的质疑，合格供应商符合法定数量时，可以从合格的成交候选人中另行确定成交供应商的，应当依法另行确定成交供应商；否则应当重新开展采购活动。</w:t>
      </w:r>
    </w:p>
    <w:p w14:paraId="5312E8BA">
      <w:pPr>
        <w:spacing w:line="400" w:lineRule="exact"/>
        <w:ind w:firstLine="420" w:firstLineChars="200"/>
        <w:contextualSpacing/>
        <w:rPr>
          <w:rFonts w:ascii="宋体" w:hAnsi="宋体" w:cs="宋体"/>
          <w:color w:val="auto"/>
        </w:rPr>
      </w:pPr>
      <w:r>
        <w:rPr>
          <w:rFonts w:hint="eastAsia" w:ascii="宋体" w:hAnsi="宋体" w:cs="宋体"/>
          <w:color w:val="auto"/>
        </w:rPr>
        <w:t>质疑答复导致成交结果改变的，采购人或者采购代理机构应当将有关情况书面报告本级财政部门。</w:t>
      </w:r>
    </w:p>
    <w:p w14:paraId="56FF8EBA">
      <w:pPr>
        <w:spacing w:line="400" w:lineRule="exact"/>
        <w:ind w:firstLine="420" w:firstLineChars="200"/>
        <w:contextualSpacing/>
        <w:rPr>
          <w:rFonts w:ascii="宋体" w:hAnsi="宋体" w:cs="宋体"/>
          <w:color w:val="auto"/>
          <w:szCs w:val="21"/>
        </w:rPr>
      </w:pPr>
      <w:r>
        <w:rPr>
          <w:rFonts w:ascii="宋体" w:hAnsi="宋体" w:cs="宋体"/>
          <w:color w:val="auto"/>
        </w:rPr>
        <w:t>31</w:t>
      </w:r>
      <w:r>
        <w:rPr>
          <w:rFonts w:hint="eastAsia" w:ascii="宋体" w:hAnsi="宋体" w:cs="宋体"/>
          <w:color w:val="auto"/>
        </w:rPr>
        <w:t>.</w:t>
      </w:r>
      <w:r>
        <w:rPr>
          <w:rFonts w:ascii="宋体" w:hAnsi="宋体" w:cs="宋体"/>
          <w:color w:val="auto"/>
        </w:rPr>
        <w:t>6</w:t>
      </w:r>
      <w:r>
        <w:rPr>
          <w:rFonts w:hint="eastAsia" w:ascii="宋体" w:hAnsi="宋体" w:cs="宋体"/>
          <w:color w:val="auto"/>
        </w:rPr>
        <w:t>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09033EF7">
      <w:pPr>
        <w:spacing w:line="400" w:lineRule="exact"/>
        <w:ind w:firstLine="482" w:firstLineChars="200"/>
        <w:contextualSpacing/>
        <w:rPr>
          <w:rFonts w:ascii="黑体" w:hAnsi="黑体" w:eastAsia="黑体" w:cs="宋体"/>
          <w:b/>
          <w:bCs/>
          <w:color w:val="auto"/>
          <w:sz w:val="24"/>
        </w:rPr>
      </w:pPr>
      <w:r>
        <w:rPr>
          <w:rFonts w:ascii="黑体" w:hAnsi="黑体" w:eastAsia="黑体" w:cs="宋体"/>
          <w:b/>
          <w:bCs/>
          <w:color w:val="auto"/>
          <w:sz w:val="24"/>
        </w:rPr>
        <w:t>32</w:t>
      </w:r>
      <w:r>
        <w:rPr>
          <w:rFonts w:hint="eastAsia" w:ascii="黑体" w:hAnsi="黑体" w:eastAsia="黑体" w:cs="宋体"/>
          <w:b/>
          <w:bCs/>
          <w:color w:val="auto"/>
          <w:sz w:val="24"/>
        </w:rPr>
        <w:t>.其他内容</w:t>
      </w:r>
    </w:p>
    <w:p w14:paraId="7D45D4DC">
      <w:pPr>
        <w:spacing w:line="400" w:lineRule="exact"/>
        <w:ind w:firstLine="420" w:firstLineChars="200"/>
        <w:contextualSpacing/>
        <w:rPr>
          <w:rFonts w:ascii="宋体" w:hAnsi="宋体" w:cs="宋体"/>
          <w:color w:val="auto"/>
        </w:rPr>
      </w:pPr>
      <w:r>
        <w:rPr>
          <w:rFonts w:hint="eastAsia" w:ascii="宋体" w:hAnsi="宋体" w:cs="宋体"/>
          <w:color w:val="auto"/>
        </w:rPr>
        <w:t>32.1采购代理费支付方式：详见“供应商须知前附表”。</w:t>
      </w:r>
    </w:p>
    <w:p w14:paraId="3AA9672D">
      <w:pPr>
        <w:spacing w:line="320" w:lineRule="exact"/>
        <w:ind w:firstLine="420" w:firstLineChars="200"/>
        <w:rPr>
          <w:rFonts w:ascii="宋体" w:hAnsi="宋体"/>
          <w:color w:val="auto"/>
          <w:szCs w:val="21"/>
        </w:rPr>
      </w:pPr>
      <w:r>
        <w:rPr>
          <w:rFonts w:hint="eastAsia" w:ascii="宋体" w:hAnsi="宋体"/>
          <w:color w:val="auto"/>
          <w:szCs w:val="21"/>
        </w:rPr>
        <w:t>32.2</w:t>
      </w:r>
      <w:r>
        <w:rPr>
          <w:rFonts w:hint="eastAsia" w:ascii="宋体" w:hAnsi="宋体" w:cs="宋体"/>
          <w:color w:val="auto"/>
        </w:rPr>
        <w:t>采购代理费收取标准：详见“供应商须知前附表”。</w:t>
      </w:r>
    </w:p>
    <w:p w14:paraId="78551C0D">
      <w:pPr>
        <w:spacing w:line="320" w:lineRule="exact"/>
        <w:ind w:firstLine="420" w:firstLineChars="200"/>
        <w:rPr>
          <w:rFonts w:ascii="宋体" w:hAnsi="宋体"/>
          <w:color w:val="auto"/>
          <w:szCs w:val="21"/>
        </w:rPr>
      </w:pPr>
      <w:r>
        <w:rPr>
          <w:rFonts w:hint="eastAsia" w:ascii="宋体" w:hAnsi="宋体"/>
          <w:color w:val="auto"/>
          <w:szCs w:val="21"/>
        </w:rPr>
        <w:t>32.3招标代理服务收费标准：</w:t>
      </w:r>
    </w:p>
    <w:tbl>
      <w:tblPr>
        <w:tblStyle w:val="28"/>
        <w:tblW w:w="9119" w:type="dxa"/>
        <w:tblInd w:w="1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16"/>
        <w:gridCol w:w="1864"/>
        <w:gridCol w:w="2017"/>
        <w:gridCol w:w="2322"/>
      </w:tblGrid>
      <w:tr w14:paraId="0DC10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trPr>
        <w:tc>
          <w:tcPr>
            <w:tcW w:w="2916" w:type="dxa"/>
          </w:tcPr>
          <w:p w14:paraId="56D388AD">
            <w:pPr>
              <w:pStyle w:val="17"/>
              <w:spacing w:line="360" w:lineRule="exact"/>
              <w:ind w:left="25"/>
              <w:rPr>
                <w:rFonts w:hAnsi="宋体"/>
                <w:color w:val="auto"/>
              </w:rPr>
            </w:pPr>
            <w:r>
              <w:rPr>
                <w:rFonts w:hAnsi="宋体"/>
                <w:color w:val="auto"/>
              </w:rPr>
              <mc:AlternateContent>
                <mc:Choice Requires="wps">
                  <w:drawing>
                    <wp:anchor distT="0" distB="0" distL="114300" distR="114300" simplePos="0" relativeHeight="251660288" behindDoc="0" locked="0" layoutInCell="1" allowOverlap="1">
                      <wp:simplePos x="0" y="0"/>
                      <wp:positionH relativeFrom="column">
                        <wp:posOffset>296545</wp:posOffset>
                      </wp:positionH>
                      <wp:positionV relativeFrom="paragraph">
                        <wp:posOffset>10795</wp:posOffset>
                      </wp:positionV>
                      <wp:extent cx="1463675" cy="653415"/>
                      <wp:effectExtent l="1905" t="4445" r="20320" b="8890"/>
                      <wp:wrapNone/>
                      <wp:docPr id="5" name="直接连接符 5"/>
                      <wp:cNvGraphicFramePr/>
                      <a:graphic xmlns:a="http://schemas.openxmlformats.org/drawingml/2006/main">
                        <a:graphicData uri="http://schemas.microsoft.com/office/word/2010/wordprocessingShape">
                          <wps:wsp>
                            <wps:cNvCnPr/>
                            <wps:spPr>
                              <a:xfrm>
                                <a:off x="0" y="0"/>
                                <a:ext cx="1463675" cy="65341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3.35pt;margin-top:0.85pt;height:51.45pt;width:115.25pt;z-index:251660288;mso-width-relative:page;mso-height-relative:page;" filled="f" stroked="t" coordsize="21600,21600" o:gfxdata="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UgFTNNYAAAAIAQAADwAAAAAAAAABACAAAAAiAAAAZHJzL2Rvd25yZXYueG1sUEsBAhQAFAAA&#10;AAgAh07iQN8RA3PxAQAA3QMAAA4AAAAAAAAAAQAgAAAAJQEAAGRycy9lMm9Eb2MueG1sUEsFBgAA&#10;AAAGAAYAWQEAAIgFAAAAAA==&#10;">
                      <v:fill on="f" focussize="0,0"/>
                      <v:stroke color="#000000" joinstyle="round"/>
                      <v:imagedata o:title=""/>
                      <o:lock v:ext="edit" aspectratio="f"/>
                    </v:line>
                  </w:pict>
                </mc:Fallback>
              </mc:AlternateContent>
            </w:r>
            <w:r>
              <w:rPr>
                <w:rFonts w:hint="eastAsia" w:hAnsi="宋体"/>
                <w:color w:val="auto"/>
              </w:rPr>
              <w:t>费率           服务类型</w:t>
            </w:r>
          </w:p>
          <w:p w14:paraId="0AAD8A54">
            <w:pPr>
              <w:pStyle w:val="17"/>
              <w:spacing w:line="360" w:lineRule="exact"/>
              <w:ind w:left="25"/>
              <w:rPr>
                <w:rFonts w:hAnsi="宋体"/>
                <w:color w:val="auto"/>
              </w:rPr>
            </w:pPr>
            <w:r>
              <w:rPr>
                <w:rFonts w:hAnsi="宋体"/>
                <w:color w:val="auto"/>
              </w:rPr>
              <mc:AlternateContent>
                <mc:Choice Requires="wps">
                  <w:drawing>
                    <wp:anchor distT="0" distB="0" distL="114300" distR="114300" simplePos="0" relativeHeight="251661312" behindDoc="0" locked="0" layoutInCell="1" allowOverlap="1">
                      <wp:simplePos x="0" y="0"/>
                      <wp:positionH relativeFrom="column">
                        <wp:posOffset>-68580</wp:posOffset>
                      </wp:positionH>
                      <wp:positionV relativeFrom="paragraph">
                        <wp:posOffset>39370</wp:posOffset>
                      </wp:positionV>
                      <wp:extent cx="1828800" cy="396240"/>
                      <wp:effectExtent l="1270" t="4445" r="17780" b="18415"/>
                      <wp:wrapNone/>
                      <wp:docPr id="4" name="直接连接符 4"/>
                      <wp:cNvGraphicFramePr/>
                      <a:graphic xmlns:a="http://schemas.openxmlformats.org/drawingml/2006/main">
                        <a:graphicData uri="http://schemas.microsoft.com/office/word/2010/wordprocessingShape">
                          <wps:wsp>
                            <wps:cNvCnPr/>
                            <wps:spPr>
                              <a:xfrm>
                                <a:off x="0" y="0"/>
                                <a:ext cx="1828800" cy="39624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5.4pt;margin-top:3.1pt;height:31.2pt;width:144pt;z-index:251661312;mso-width-relative:page;mso-height-relative:page;" filled="f" stroked="t" coordsize="21600,21600" o:gfxdata="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EAOr0TWAAAACAEAAA8AAAAAAAAAAQAgAAAAIgAAAGRycy9kb3ducmV2LnhtbFBLAQIUABQA&#10;AAAIAIdO4kB6SeRj8gEAAN0DAAAOAAAAAAAAAAEAIAAAACUBAABkcnMvZTJvRG9jLnhtbFBLBQYA&#10;AAAABgAGAFkBAACJBQAAAAA=&#10;">
                      <v:fill on="f" focussize="0,0"/>
                      <v:stroke color="#000000" joinstyle="round"/>
                      <v:imagedata o:title=""/>
                      <o:lock v:ext="edit" aspectratio="f"/>
                    </v:line>
                  </w:pict>
                </mc:Fallback>
              </mc:AlternateContent>
            </w:r>
          </w:p>
          <w:p w14:paraId="53F789A3">
            <w:pPr>
              <w:pStyle w:val="17"/>
              <w:spacing w:line="360" w:lineRule="exact"/>
              <w:ind w:left="25"/>
              <w:rPr>
                <w:rFonts w:hAnsi="宋体"/>
                <w:color w:val="auto"/>
              </w:rPr>
            </w:pPr>
            <w:r>
              <w:rPr>
                <w:rFonts w:hint="eastAsia" w:hAnsi="宋体"/>
                <w:color w:val="auto"/>
              </w:rPr>
              <w:t>中标金额</w:t>
            </w:r>
          </w:p>
        </w:tc>
        <w:tc>
          <w:tcPr>
            <w:tcW w:w="1864" w:type="dxa"/>
            <w:vAlign w:val="center"/>
          </w:tcPr>
          <w:p w14:paraId="110443CA">
            <w:pPr>
              <w:pStyle w:val="17"/>
              <w:spacing w:line="360" w:lineRule="exact"/>
              <w:ind w:left="25"/>
              <w:jc w:val="center"/>
              <w:rPr>
                <w:rFonts w:hAnsi="宋体"/>
                <w:color w:val="auto"/>
              </w:rPr>
            </w:pPr>
            <w:r>
              <w:rPr>
                <w:rFonts w:hint="eastAsia" w:hAnsi="宋体"/>
                <w:color w:val="auto"/>
              </w:rPr>
              <w:t>货物招标</w:t>
            </w:r>
          </w:p>
        </w:tc>
        <w:tc>
          <w:tcPr>
            <w:tcW w:w="2017" w:type="dxa"/>
            <w:vAlign w:val="center"/>
          </w:tcPr>
          <w:p w14:paraId="72A9243B">
            <w:pPr>
              <w:pStyle w:val="17"/>
              <w:spacing w:line="360" w:lineRule="exact"/>
              <w:ind w:left="25"/>
              <w:jc w:val="center"/>
              <w:rPr>
                <w:rFonts w:hAnsi="宋体"/>
                <w:color w:val="auto"/>
              </w:rPr>
            </w:pPr>
            <w:r>
              <w:rPr>
                <w:rFonts w:hint="eastAsia" w:hAnsi="宋体"/>
                <w:color w:val="auto"/>
              </w:rPr>
              <w:t>服务招标</w:t>
            </w:r>
          </w:p>
        </w:tc>
        <w:tc>
          <w:tcPr>
            <w:tcW w:w="2322" w:type="dxa"/>
            <w:vAlign w:val="center"/>
          </w:tcPr>
          <w:p w14:paraId="7B98CA9D">
            <w:pPr>
              <w:pStyle w:val="17"/>
              <w:spacing w:line="360" w:lineRule="exact"/>
              <w:ind w:left="25"/>
              <w:jc w:val="center"/>
              <w:rPr>
                <w:rFonts w:hAnsi="宋体"/>
                <w:color w:val="auto"/>
              </w:rPr>
            </w:pPr>
            <w:r>
              <w:rPr>
                <w:rFonts w:hint="eastAsia" w:hAnsi="宋体"/>
                <w:color w:val="auto"/>
              </w:rPr>
              <w:t>工程招标</w:t>
            </w:r>
          </w:p>
        </w:tc>
      </w:tr>
      <w:tr w14:paraId="22121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exact"/>
        </w:trPr>
        <w:tc>
          <w:tcPr>
            <w:tcW w:w="2916" w:type="dxa"/>
          </w:tcPr>
          <w:p w14:paraId="469A5746">
            <w:pPr>
              <w:pStyle w:val="17"/>
              <w:spacing w:line="360" w:lineRule="exact"/>
              <w:ind w:left="25"/>
              <w:rPr>
                <w:rFonts w:hAnsi="宋体"/>
                <w:color w:val="auto"/>
              </w:rPr>
            </w:pPr>
            <w:r>
              <w:rPr>
                <w:rFonts w:hint="eastAsia" w:hAnsi="宋体"/>
                <w:color w:val="auto"/>
              </w:rPr>
              <w:t>100万元以下</w:t>
            </w:r>
          </w:p>
        </w:tc>
        <w:tc>
          <w:tcPr>
            <w:tcW w:w="1864" w:type="dxa"/>
          </w:tcPr>
          <w:p w14:paraId="699CE3B3">
            <w:pPr>
              <w:pStyle w:val="103"/>
              <w:spacing w:line="360" w:lineRule="exact"/>
              <w:ind w:left="25"/>
              <w:jc w:val="center"/>
              <w:rPr>
                <w:rFonts w:ascii="宋体" w:hAnsi="宋体"/>
                <w:color w:val="auto"/>
              </w:rPr>
            </w:pPr>
            <w:r>
              <w:rPr>
                <w:rFonts w:hint="eastAsia" w:ascii="宋体" w:hAnsi="宋体"/>
                <w:color w:val="auto"/>
              </w:rPr>
              <w:t>1.5%</w:t>
            </w:r>
          </w:p>
        </w:tc>
        <w:tc>
          <w:tcPr>
            <w:tcW w:w="2017" w:type="dxa"/>
          </w:tcPr>
          <w:p w14:paraId="3C23F95B">
            <w:pPr>
              <w:pStyle w:val="103"/>
              <w:spacing w:line="360" w:lineRule="exact"/>
              <w:ind w:left="25"/>
              <w:jc w:val="center"/>
              <w:rPr>
                <w:rFonts w:ascii="宋体" w:hAnsi="宋体"/>
                <w:color w:val="auto"/>
              </w:rPr>
            </w:pPr>
            <w:r>
              <w:rPr>
                <w:rFonts w:hint="eastAsia" w:ascii="宋体" w:hAnsi="宋体"/>
                <w:color w:val="auto"/>
              </w:rPr>
              <w:t>1.5%</w:t>
            </w:r>
          </w:p>
        </w:tc>
        <w:tc>
          <w:tcPr>
            <w:tcW w:w="2322" w:type="dxa"/>
          </w:tcPr>
          <w:p w14:paraId="538E27E6">
            <w:pPr>
              <w:pStyle w:val="103"/>
              <w:spacing w:line="360" w:lineRule="exact"/>
              <w:ind w:left="25"/>
              <w:jc w:val="center"/>
              <w:rPr>
                <w:rFonts w:ascii="宋体" w:hAnsi="宋体"/>
                <w:color w:val="auto"/>
              </w:rPr>
            </w:pPr>
            <w:r>
              <w:rPr>
                <w:rFonts w:hint="eastAsia" w:ascii="宋体" w:hAnsi="宋体"/>
                <w:color w:val="auto"/>
              </w:rPr>
              <w:t>1.0%</w:t>
            </w:r>
          </w:p>
        </w:tc>
      </w:tr>
      <w:tr w14:paraId="60407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exact"/>
        </w:trPr>
        <w:tc>
          <w:tcPr>
            <w:tcW w:w="2916" w:type="dxa"/>
          </w:tcPr>
          <w:p w14:paraId="380B873D">
            <w:pPr>
              <w:pStyle w:val="17"/>
              <w:spacing w:line="360" w:lineRule="exact"/>
              <w:ind w:left="25"/>
              <w:rPr>
                <w:rFonts w:hAnsi="宋体"/>
                <w:color w:val="auto"/>
              </w:rPr>
            </w:pPr>
            <w:r>
              <w:rPr>
                <w:rFonts w:hint="eastAsia" w:hAnsi="宋体"/>
                <w:color w:val="auto"/>
              </w:rPr>
              <w:t>100～500万元</w:t>
            </w:r>
          </w:p>
        </w:tc>
        <w:tc>
          <w:tcPr>
            <w:tcW w:w="1864" w:type="dxa"/>
          </w:tcPr>
          <w:p w14:paraId="5B86A3FB">
            <w:pPr>
              <w:pStyle w:val="103"/>
              <w:spacing w:line="360" w:lineRule="exact"/>
              <w:ind w:left="25"/>
              <w:jc w:val="center"/>
              <w:rPr>
                <w:rFonts w:ascii="宋体" w:hAnsi="宋体"/>
                <w:color w:val="auto"/>
              </w:rPr>
            </w:pPr>
            <w:r>
              <w:rPr>
                <w:rFonts w:hint="eastAsia" w:ascii="宋体" w:hAnsi="宋体"/>
                <w:color w:val="auto"/>
              </w:rPr>
              <w:t>1.1%</w:t>
            </w:r>
          </w:p>
        </w:tc>
        <w:tc>
          <w:tcPr>
            <w:tcW w:w="2017" w:type="dxa"/>
          </w:tcPr>
          <w:p w14:paraId="74969224">
            <w:pPr>
              <w:pStyle w:val="103"/>
              <w:spacing w:line="360" w:lineRule="exact"/>
              <w:ind w:left="25"/>
              <w:jc w:val="center"/>
              <w:rPr>
                <w:rFonts w:ascii="宋体" w:hAnsi="宋体"/>
                <w:color w:val="auto"/>
              </w:rPr>
            </w:pPr>
            <w:r>
              <w:rPr>
                <w:rFonts w:hint="eastAsia" w:ascii="宋体" w:hAnsi="宋体"/>
                <w:color w:val="auto"/>
              </w:rPr>
              <w:t>0.8%</w:t>
            </w:r>
          </w:p>
        </w:tc>
        <w:tc>
          <w:tcPr>
            <w:tcW w:w="2322" w:type="dxa"/>
          </w:tcPr>
          <w:p w14:paraId="26B8D532">
            <w:pPr>
              <w:pStyle w:val="103"/>
              <w:spacing w:line="360" w:lineRule="exact"/>
              <w:ind w:left="25"/>
              <w:jc w:val="center"/>
              <w:rPr>
                <w:rFonts w:ascii="宋体" w:hAnsi="宋体"/>
                <w:color w:val="auto"/>
              </w:rPr>
            </w:pPr>
            <w:r>
              <w:rPr>
                <w:rFonts w:hint="eastAsia" w:ascii="宋体" w:hAnsi="宋体"/>
                <w:color w:val="auto"/>
              </w:rPr>
              <w:t>0.7%</w:t>
            </w:r>
          </w:p>
        </w:tc>
      </w:tr>
      <w:tr w14:paraId="39B28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exact"/>
        </w:trPr>
        <w:tc>
          <w:tcPr>
            <w:tcW w:w="2916" w:type="dxa"/>
          </w:tcPr>
          <w:p w14:paraId="6F7F9823">
            <w:pPr>
              <w:pStyle w:val="17"/>
              <w:spacing w:line="360" w:lineRule="exact"/>
              <w:ind w:left="25"/>
              <w:rPr>
                <w:rFonts w:hAnsi="宋体"/>
                <w:color w:val="auto"/>
              </w:rPr>
            </w:pPr>
            <w:r>
              <w:rPr>
                <w:rFonts w:hint="eastAsia" w:hAnsi="宋体"/>
                <w:color w:val="auto"/>
              </w:rPr>
              <w:t>500～1000万元</w:t>
            </w:r>
          </w:p>
        </w:tc>
        <w:tc>
          <w:tcPr>
            <w:tcW w:w="1864" w:type="dxa"/>
          </w:tcPr>
          <w:p w14:paraId="4571BC69">
            <w:pPr>
              <w:pStyle w:val="17"/>
              <w:spacing w:line="360" w:lineRule="exact"/>
              <w:ind w:left="25"/>
              <w:jc w:val="center"/>
              <w:rPr>
                <w:rFonts w:hAnsi="宋体"/>
                <w:color w:val="auto"/>
              </w:rPr>
            </w:pPr>
            <w:r>
              <w:rPr>
                <w:rFonts w:hint="eastAsia" w:hAnsi="宋体"/>
                <w:color w:val="auto"/>
              </w:rPr>
              <w:t>0.8%</w:t>
            </w:r>
          </w:p>
        </w:tc>
        <w:tc>
          <w:tcPr>
            <w:tcW w:w="2017" w:type="dxa"/>
          </w:tcPr>
          <w:p w14:paraId="7FA8A4C0">
            <w:pPr>
              <w:pStyle w:val="17"/>
              <w:spacing w:line="360" w:lineRule="exact"/>
              <w:ind w:left="25"/>
              <w:jc w:val="center"/>
              <w:rPr>
                <w:rFonts w:hAnsi="宋体"/>
                <w:color w:val="auto"/>
              </w:rPr>
            </w:pPr>
            <w:r>
              <w:rPr>
                <w:rFonts w:hint="eastAsia" w:hAnsi="宋体"/>
                <w:color w:val="auto"/>
              </w:rPr>
              <w:t>0.45%</w:t>
            </w:r>
          </w:p>
        </w:tc>
        <w:tc>
          <w:tcPr>
            <w:tcW w:w="2322" w:type="dxa"/>
          </w:tcPr>
          <w:p w14:paraId="18594D1A">
            <w:pPr>
              <w:pStyle w:val="17"/>
              <w:spacing w:line="360" w:lineRule="exact"/>
              <w:ind w:left="25"/>
              <w:jc w:val="center"/>
              <w:rPr>
                <w:rFonts w:hAnsi="宋体"/>
                <w:color w:val="auto"/>
              </w:rPr>
            </w:pPr>
            <w:r>
              <w:rPr>
                <w:rFonts w:hint="eastAsia" w:hAnsi="宋体"/>
                <w:color w:val="auto"/>
              </w:rPr>
              <w:t>0.55%</w:t>
            </w:r>
          </w:p>
        </w:tc>
      </w:tr>
      <w:tr w14:paraId="355C9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exact"/>
        </w:trPr>
        <w:tc>
          <w:tcPr>
            <w:tcW w:w="2916" w:type="dxa"/>
          </w:tcPr>
          <w:p w14:paraId="54E5E479">
            <w:pPr>
              <w:pStyle w:val="17"/>
              <w:spacing w:line="360" w:lineRule="exact"/>
              <w:ind w:left="25"/>
              <w:rPr>
                <w:rFonts w:hAnsi="宋体"/>
                <w:color w:val="auto"/>
              </w:rPr>
            </w:pPr>
            <w:r>
              <w:rPr>
                <w:rFonts w:hint="eastAsia" w:hAnsi="宋体"/>
                <w:color w:val="auto"/>
              </w:rPr>
              <w:t>1000～5000万元</w:t>
            </w:r>
          </w:p>
        </w:tc>
        <w:tc>
          <w:tcPr>
            <w:tcW w:w="1864" w:type="dxa"/>
          </w:tcPr>
          <w:p w14:paraId="0D06BEA7">
            <w:pPr>
              <w:pStyle w:val="17"/>
              <w:spacing w:line="360" w:lineRule="exact"/>
              <w:ind w:left="25"/>
              <w:jc w:val="center"/>
              <w:rPr>
                <w:rFonts w:hAnsi="宋体"/>
                <w:color w:val="auto"/>
              </w:rPr>
            </w:pPr>
            <w:r>
              <w:rPr>
                <w:rFonts w:hint="eastAsia" w:hAnsi="宋体"/>
                <w:color w:val="auto"/>
              </w:rPr>
              <w:t>0.5%</w:t>
            </w:r>
          </w:p>
        </w:tc>
        <w:tc>
          <w:tcPr>
            <w:tcW w:w="2017" w:type="dxa"/>
          </w:tcPr>
          <w:p w14:paraId="65242CE1">
            <w:pPr>
              <w:pStyle w:val="17"/>
              <w:spacing w:line="360" w:lineRule="exact"/>
              <w:ind w:left="25"/>
              <w:jc w:val="center"/>
              <w:rPr>
                <w:rFonts w:hAnsi="宋体"/>
                <w:color w:val="auto"/>
              </w:rPr>
            </w:pPr>
            <w:r>
              <w:rPr>
                <w:rFonts w:hint="eastAsia" w:hAnsi="宋体"/>
                <w:color w:val="auto"/>
              </w:rPr>
              <w:t>0.25%</w:t>
            </w:r>
          </w:p>
        </w:tc>
        <w:tc>
          <w:tcPr>
            <w:tcW w:w="2322" w:type="dxa"/>
          </w:tcPr>
          <w:p w14:paraId="6CC4757C">
            <w:pPr>
              <w:pStyle w:val="17"/>
              <w:spacing w:line="360" w:lineRule="exact"/>
              <w:ind w:left="25"/>
              <w:jc w:val="center"/>
              <w:rPr>
                <w:rFonts w:hAnsi="宋体"/>
                <w:color w:val="auto"/>
              </w:rPr>
            </w:pPr>
            <w:r>
              <w:rPr>
                <w:rFonts w:hint="eastAsia" w:hAnsi="宋体"/>
                <w:color w:val="auto"/>
              </w:rPr>
              <w:t>0.35%</w:t>
            </w:r>
          </w:p>
        </w:tc>
      </w:tr>
      <w:tr w14:paraId="7D77D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exact"/>
        </w:trPr>
        <w:tc>
          <w:tcPr>
            <w:tcW w:w="2916" w:type="dxa"/>
          </w:tcPr>
          <w:p w14:paraId="6BA3D485">
            <w:pPr>
              <w:pStyle w:val="17"/>
              <w:spacing w:line="360" w:lineRule="exact"/>
              <w:ind w:left="25"/>
              <w:rPr>
                <w:rFonts w:hAnsi="宋体"/>
                <w:color w:val="auto"/>
              </w:rPr>
            </w:pPr>
            <w:r>
              <w:rPr>
                <w:rFonts w:hint="eastAsia" w:hAnsi="宋体"/>
                <w:color w:val="auto"/>
              </w:rPr>
              <w:t>5000万元～1亿元</w:t>
            </w:r>
          </w:p>
        </w:tc>
        <w:tc>
          <w:tcPr>
            <w:tcW w:w="1864" w:type="dxa"/>
          </w:tcPr>
          <w:p w14:paraId="56C5C7F5">
            <w:pPr>
              <w:pStyle w:val="17"/>
              <w:spacing w:line="360" w:lineRule="exact"/>
              <w:ind w:left="25"/>
              <w:jc w:val="center"/>
              <w:rPr>
                <w:rFonts w:hAnsi="宋体"/>
                <w:color w:val="auto"/>
              </w:rPr>
            </w:pPr>
            <w:r>
              <w:rPr>
                <w:rFonts w:hint="eastAsia" w:hAnsi="宋体"/>
                <w:color w:val="auto"/>
              </w:rPr>
              <w:t>0.25%</w:t>
            </w:r>
          </w:p>
        </w:tc>
        <w:tc>
          <w:tcPr>
            <w:tcW w:w="2017" w:type="dxa"/>
          </w:tcPr>
          <w:p w14:paraId="44D6125C">
            <w:pPr>
              <w:pStyle w:val="17"/>
              <w:spacing w:line="360" w:lineRule="exact"/>
              <w:ind w:left="25"/>
              <w:jc w:val="center"/>
              <w:rPr>
                <w:rFonts w:hAnsi="宋体"/>
                <w:color w:val="auto"/>
              </w:rPr>
            </w:pPr>
            <w:r>
              <w:rPr>
                <w:rFonts w:hint="eastAsia" w:hAnsi="宋体"/>
                <w:color w:val="auto"/>
              </w:rPr>
              <w:t>0.1%</w:t>
            </w:r>
          </w:p>
        </w:tc>
        <w:tc>
          <w:tcPr>
            <w:tcW w:w="2322" w:type="dxa"/>
          </w:tcPr>
          <w:p w14:paraId="18147771">
            <w:pPr>
              <w:pStyle w:val="17"/>
              <w:spacing w:line="360" w:lineRule="exact"/>
              <w:ind w:left="25"/>
              <w:jc w:val="center"/>
              <w:rPr>
                <w:rFonts w:hAnsi="宋体"/>
                <w:color w:val="auto"/>
              </w:rPr>
            </w:pPr>
            <w:r>
              <w:rPr>
                <w:rFonts w:hint="eastAsia" w:hAnsi="宋体"/>
                <w:color w:val="auto"/>
              </w:rPr>
              <w:t>0.2%</w:t>
            </w:r>
          </w:p>
        </w:tc>
      </w:tr>
      <w:tr w14:paraId="33AAD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exact"/>
        </w:trPr>
        <w:tc>
          <w:tcPr>
            <w:tcW w:w="2916" w:type="dxa"/>
          </w:tcPr>
          <w:p w14:paraId="0C94D603">
            <w:pPr>
              <w:pStyle w:val="17"/>
              <w:spacing w:line="360" w:lineRule="exact"/>
              <w:ind w:left="25"/>
              <w:rPr>
                <w:rFonts w:hAnsi="宋体"/>
                <w:color w:val="auto"/>
              </w:rPr>
            </w:pPr>
            <w:r>
              <w:rPr>
                <w:rFonts w:hint="eastAsia" w:hAnsi="宋体"/>
                <w:color w:val="auto"/>
              </w:rPr>
              <w:t>1～5亿元</w:t>
            </w:r>
          </w:p>
        </w:tc>
        <w:tc>
          <w:tcPr>
            <w:tcW w:w="1864" w:type="dxa"/>
          </w:tcPr>
          <w:p w14:paraId="1823BA4B">
            <w:pPr>
              <w:pStyle w:val="17"/>
              <w:spacing w:line="360" w:lineRule="exact"/>
              <w:ind w:left="25"/>
              <w:jc w:val="center"/>
              <w:rPr>
                <w:rFonts w:hAnsi="宋体"/>
                <w:color w:val="auto"/>
              </w:rPr>
            </w:pPr>
            <w:r>
              <w:rPr>
                <w:rFonts w:hint="eastAsia" w:hAnsi="宋体"/>
                <w:color w:val="auto"/>
              </w:rPr>
              <w:t>0.05%</w:t>
            </w:r>
          </w:p>
        </w:tc>
        <w:tc>
          <w:tcPr>
            <w:tcW w:w="2017" w:type="dxa"/>
          </w:tcPr>
          <w:p w14:paraId="3CE0FE28">
            <w:pPr>
              <w:pStyle w:val="17"/>
              <w:spacing w:line="360" w:lineRule="exact"/>
              <w:ind w:left="25"/>
              <w:jc w:val="center"/>
              <w:rPr>
                <w:rFonts w:hAnsi="宋体"/>
                <w:color w:val="auto"/>
              </w:rPr>
            </w:pPr>
            <w:r>
              <w:rPr>
                <w:rFonts w:hint="eastAsia" w:hAnsi="宋体"/>
                <w:color w:val="auto"/>
              </w:rPr>
              <w:t>0.05%</w:t>
            </w:r>
          </w:p>
        </w:tc>
        <w:tc>
          <w:tcPr>
            <w:tcW w:w="2322" w:type="dxa"/>
          </w:tcPr>
          <w:p w14:paraId="62BB76A5">
            <w:pPr>
              <w:pStyle w:val="17"/>
              <w:spacing w:line="360" w:lineRule="exact"/>
              <w:ind w:left="25"/>
              <w:jc w:val="center"/>
              <w:rPr>
                <w:rFonts w:hAnsi="宋体"/>
                <w:color w:val="auto"/>
              </w:rPr>
            </w:pPr>
            <w:r>
              <w:rPr>
                <w:rFonts w:hint="eastAsia" w:hAnsi="宋体"/>
                <w:color w:val="auto"/>
              </w:rPr>
              <w:t>0.05%</w:t>
            </w:r>
          </w:p>
        </w:tc>
      </w:tr>
      <w:tr w14:paraId="17B32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exact"/>
        </w:trPr>
        <w:tc>
          <w:tcPr>
            <w:tcW w:w="2916" w:type="dxa"/>
          </w:tcPr>
          <w:p w14:paraId="38B70F22">
            <w:pPr>
              <w:pStyle w:val="17"/>
              <w:spacing w:line="360" w:lineRule="exact"/>
              <w:ind w:left="25"/>
              <w:rPr>
                <w:rFonts w:hAnsi="宋体"/>
                <w:color w:val="auto"/>
              </w:rPr>
            </w:pPr>
            <w:r>
              <w:rPr>
                <w:rFonts w:hint="eastAsia" w:hAnsi="宋体"/>
                <w:color w:val="auto"/>
              </w:rPr>
              <w:t>5～10亿元</w:t>
            </w:r>
          </w:p>
        </w:tc>
        <w:tc>
          <w:tcPr>
            <w:tcW w:w="1864" w:type="dxa"/>
          </w:tcPr>
          <w:p w14:paraId="473374A7">
            <w:pPr>
              <w:pStyle w:val="17"/>
              <w:spacing w:line="360" w:lineRule="exact"/>
              <w:ind w:left="25"/>
              <w:jc w:val="center"/>
              <w:rPr>
                <w:rFonts w:hAnsi="宋体"/>
                <w:color w:val="auto"/>
              </w:rPr>
            </w:pPr>
            <w:r>
              <w:rPr>
                <w:rFonts w:hint="eastAsia" w:hAnsi="宋体"/>
                <w:color w:val="auto"/>
              </w:rPr>
              <w:t>0.035%</w:t>
            </w:r>
          </w:p>
        </w:tc>
        <w:tc>
          <w:tcPr>
            <w:tcW w:w="2017" w:type="dxa"/>
          </w:tcPr>
          <w:p w14:paraId="3A797F3C">
            <w:pPr>
              <w:pStyle w:val="17"/>
              <w:spacing w:line="360" w:lineRule="exact"/>
              <w:ind w:left="25"/>
              <w:jc w:val="center"/>
              <w:rPr>
                <w:rFonts w:hAnsi="宋体"/>
                <w:color w:val="auto"/>
              </w:rPr>
            </w:pPr>
            <w:r>
              <w:rPr>
                <w:rFonts w:hint="eastAsia" w:hAnsi="宋体"/>
                <w:color w:val="auto"/>
              </w:rPr>
              <w:t>0.035%</w:t>
            </w:r>
          </w:p>
        </w:tc>
        <w:tc>
          <w:tcPr>
            <w:tcW w:w="2322" w:type="dxa"/>
          </w:tcPr>
          <w:p w14:paraId="2BED0D81">
            <w:pPr>
              <w:pStyle w:val="17"/>
              <w:spacing w:line="360" w:lineRule="exact"/>
              <w:ind w:left="25"/>
              <w:jc w:val="center"/>
              <w:rPr>
                <w:rFonts w:hAnsi="宋体"/>
                <w:color w:val="auto"/>
              </w:rPr>
            </w:pPr>
            <w:r>
              <w:rPr>
                <w:rFonts w:hint="eastAsia" w:hAnsi="宋体"/>
                <w:color w:val="auto"/>
              </w:rPr>
              <w:t>0.035%</w:t>
            </w:r>
          </w:p>
        </w:tc>
      </w:tr>
      <w:tr w14:paraId="496AF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exact"/>
        </w:trPr>
        <w:tc>
          <w:tcPr>
            <w:tcW w:w="2916" w:type="dxa"/>
          </w:tcPr>
          <w:p w14:paraId="05ADD332">
            <w:pPr>
              <w:pStyle w:val="17"/>
              <w:spacing w:line="360" w:lineRule="exact"/>
              <w:ind w:left="25"/>
              <w:rPr>
                <w:rFonts w:hAnsi="宋体"/>
                <w:color w:val="auto"/>
              </w:rPr>
            </w:pPr>
            <w:r>
              <w:rPr>
                <w:rFonts w:hint="eastAsia" w:hAnsi="宋体"/>
                <w:color w:val="auto"/>
              </w:rPr>
              <w:t>10～50亿元</w:t>
            </w:r>
          </w:p>
        </w:tc>
        <w:tc>
          <w:tcPr>
            <w:tcW w:w="1864" w:type="dxa"/>
          </w:tcPr>
          <w:p w14:paraId="0ED819A8">
            <w:pPr>
              <w:pStyle w:val="17"/>
              <w:spacing w:line="360" w:lineRule="exact"/>
              <w:ind w:left="25"/>
              <w:jc w:val="center"/>
              <w:rPr>
                <w:rFonts w:hAnsi="宋体"/>
                <w:color w:val="auto"/>
              </w:rPr>
            </w:pPr>
            <w:r>
              <w:rPr>
                <w:rFonts w:hint="eastAsia" w:hAnsi="宋体"/>
                <w:color w:val="auto"/>
              </w:rPr>
              <w:t>0.008%</w:t>
            </w:r>
          </w:p>
        </w:tc>
        <w:tc>
          <w:tcPr>
            <w:tcW w:w="2017" w:type="dxa"/>
          </w:tcPr>
          <w:p w14:paraId="7B043FE8">
            <w:pPr>
              <w:pStyle w:val="17"/>
              <w:spacing w:line="360" w:lineRule="exact"/>
              <w:ind w:left="25"/>
              <w:jc w:val="center"/>
              <w:rPr>
                <w:rFonts w:hAnsi="宋体"/>
                <w:color w:val="auto"/>
              </w:rPr>
            </w:pPr>
            <w:r>
              <w:rPr>
                <w:rFonts w:hint="eastAsia" w:hAnsi="宋体"/>
                <w:color w:val="auto"/>
              </w:rPr>
              <w:t>0.008%</w:t>
            </w:r>
          </w:p>
        </w:tc>
        <w:tc>
          <w:tcPr>
            <w:tcW w:w="2322" w:type="dxa"/>
          </w:tcPr>
          <w:p w14:paraId="08910733">
            <w:pPr>
              <w:pStyle w:val="17"/>
              <w:spacing w:line="360" w:lineRule="exact"/>
              <w:ind w:left="25"/>
              <w:jc w:val="center"/>
              <w:rPr>
                <w:rFonts w:hAnsi="宋体"/>
                <w:color w:val="auto"/>
              </w:rPr>
            </w:pPr>
            <w:r>
              <w:rPr>
                <w:rFonts w:hint="eastAsia" w:hAnsi="宋体"/>
                <w:color w:val="auto"/>
              </w:rPr>
              <w:t>0.008%</w:t>
            </w:r>
          </w:p>
        </w:tc>
      </w:tr>
      <w:tr w14:paraId="17A11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exact"/>
        </w:trPr>
        <w:tc>
          <w:tcPr>
            <w:tcW w:w="2916" w:type="dxa"/>
          </w:tcPr>
          <w:p w14:paraId="2CE5B389">
            <w:pPr>
              <w:pStyle w:val="17"/>
              <w:spacing w:line="360" w:lineRule="exact"/>
              <w:ind w:left="25"/>
              <w:rPr>
                <w:rFonts w:hAnsi="宋体"/>
                <w:color w:val="auto"/>
              </w:rPr>
            </w:pPr>
            <w:r>
              <w:rPr>
                <w:rFonts w:hint="eastAsia" w:hAnsi="宋体"/>
                <w:color w:val="auto"/>
              </w:rPr>
              <w:t>50～100亿元</w:t>
            </w:r>
          </w:p>
        </w:tc>
        <w:tc>
          <w:tcPr>
            <w:tcW w:w="1864" w:type="dxa"/>
          </w:tcPr>
          <w:p w14:paraId="02AF80BD">
            <w:pPr>
              <w:pStyle w:val="17"/>
              <w:spacing w:line="360" w:lineRule="exact"/>
              <w:ind w:left="25"/>
              <w:jc w:val="center"/>
              <w:rPr>
                <w:rFonts w:hAnsi="宋体"/>
                <w:color w:val="auto"/>
              </w:rPr>
            </w:pPr>
            <w:r>
              <w:rPr>
                <w:rFonts w:hint="eastAsia" w:hAnsi="宋体"/>
                <w:color w:val="auto"/>
              </w:rPr>
              <w:t>0.006%</w:t>
            </w:r>
          </w:p>
        </w:tc>
        <w:tc>
          <w:tcPr>
            <w:tcW w:w="2017" w:type="dxa"/>
          </w:tcPr>
          <w:p w14:paraId="0AB3C9E6">
            <w:pPr>
              <w:pStyle w:val="17"/>
              <w:spacing w:line="360" w:lineRule="exact"/>
              <w:ind w:left="25"/>
              <w:jc w:val="center"/>
              <w:rPr>
                <w:rFonts w:hAnsi="宋体"/>
                <w:color w:val="auto"/>
              </w:rPr>
            </w:pPr>
            <w:r>
              <w:rPr>
                <w:rFonts w:hint="eastAsia" w:hAnsi="宋体"/>
                <w:color w:val="auto"/>
              </w:rPr>
              <w:t>0.006%</w:t>
            </w:r>
          </w:p>
        </w:tc>
        <w:tc>
          <w:tcPr>
            <w:tcW w:w="2322" w:type="dxa"/>
          </w:tcPr>
          <w:p w14:paraId="0C617641">
            <w:pPr>
              <w:pStyle w:val="17"/>
              <w:spacing w:line="360" w:lineRule="exact"/>
              <w:ind w:left="25"/>
              <w:jc w:val="center"/>
              <w:rPr>
                <w:rFonts w:hAnsi="宋体"/>
                <w:color w:val="auto"/>
              </w:rPr>
            </w:pPr>
            <w:r>
              <w:rPr>
                <w:rFonts w:hint="eastAsia" w:hAnsi="宋体"/>
                <w:color w:val="auto"/>
              </w:rPr>
              <w:t>0.006%</w:t>
            </w:r>
          </w:p>
        </w:tc>
      </w:tr>
      <w:tr w14:paraId="48D81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2916" w:type="dxa"/>
          </w:tcPr>
          <w:p w14:paraId="5E04B543">
            <w:pPr>
              <w:pStyle w:val="17"/>
              <w:spacing w:line="360" w:lineRule="exact"/>
              <w:ind w:left="25"/>
              <w:rPr>
                <w:rFonts w:hAnsi="宋体"/>
                <w:color w:val="auto"/>
              </w:rPr>
            </w:pPr>
            <w:r>
              <w:rPr>
                <w:rFonts w:hint="eastAsia" w:hAnsi="宋体"/>
                <w:color w:val="auto"/>
              </w:rPr>
              <w:t>100亿以上</w:t>
            </w:r>
          </w:p>
        </w:tc>
        <w:tc>
          <w:tcPr>
            <w:tcW w:w="1864" w:type="dxa"/>
          </w:tcPr>
          <w:p w14:paraId="7ECA7A71">
            <w:pPr>
              <w:pStyle w:val="17"/>
              <w:spacing w:line="360" w:lineRule="exact"/>
              <w:ind w:left="25"/>
              <w:jc w:val="center"/>
              <w:rPr>
                <w:rFonts w:hAnsi="宋体"/>
                <w:color w:val="auto"/>
              </w:rPr>
            </w:pPr>
            <w:r>
              <w:rPr>
                <w:rFonts w:hint="eastAsia" w:hAnsi="宋体"/>
                <w:color w:val="auto"/>
              </w:rPr>
              <w:t>0.004%</w:t>
            </w:r>
          </w:p>
        </w:tc>
        <w:tc>
          <w:tcPr>
            <w:tcW w:w="2017" w:type="dxa"/>
          </w:tcPr>
          <w:p w14:paraId="7CF65754">
            <w:pPr>
              <w:pStyle w:val="17"/>
              <w:spacing w:line="360" w:lineRule="exact"/>
              <w:ind w:left="25"/>
              <w:jc w:val="center"/>
              <w:rPr>
                <w:rFonts w:hAnsi="宋体"/>
                <w:color w:val="auto"/>
              </w:rPr>
            </w:pPr>
            <w:r>
              <w:rPr>
                <w:rFonts w:hint="eastAsia" w:hAnsi="宋体"/>
                <w:color w:val="auto"/>
              </w:rPr>
              <w:t>0.004%</w:t>
            </w:r>
          </w:p>
        </w:tc>
        <w:tc>
          <w:tcPr>
            <w:tcW w:w="2322" w:type="dxa"/>
          </w:tcPr>
          <w:p w14:paraId="51A0BD12">
            <w:pPr>
              <w:pStyle w:val="17"/>
              <w:spacing w:line="360" w:lineRule="exact"/>
              <w:ind w:left="25"/>
              <w:jc w:val="center"/>
              <w:rPr>
                <w:rFonts w:hAnsi="宋体"/>
                <w:color w:val="auto"/>
              </w:rPr>
            </w:pPr>
            <w:r>
              <w:rPr>
                <w:rFonts w:hint="eastAsia" w:hAnsi="宋体"/>
                <w:color w:val="auto"/>
              </w:rPr>
              <w:t>0.004%</w:t>
            </w:r>
          </w:p>
        </w:tc>
      </w:tr>
    </w:tbl>
    <w:p w14:paraId="2815DAF4">
      <w:pPr>
        <w:spacing w:line="400" w:lineRule="exact"/>
        <w:ind w:firstLine="420" w:firstLineChars="200"/>
        <w:contextualSpacing/>
        <w:rPr>
          <w:rFonts w:ascii="黑体" w:hAnsi="黑体" w:eastAsia="黑体" w:cs="宋体"/>
          <w:b/>
          <w:bCs/>
          <w:color w:val="auto"/>
          <w:sz w:val="24"/>
        </w:rPr>
      </w:pPr>
      <w:r>
        <w:rPr>
          <w:rFonts w:hint="eastAsia" w:hAnsi="宋体"/>
          <w:color w:val="auto"/>
        </w:rPr>
        <w:t>注：招标代理服务收费按差额定率累进法计算。</w:t>
      </w:r>
    </w:p>
    <w:p w14:paraId="51943C6E">
      <w:pPr>
        <w:spacing w:line="400" w:lineRule="exact"/>
        <w:ind w:firstLine="482" w:firstLineChars="200"/>
        <w:contextualSpacing/>
        <w:rPr>
          <w:rFonts w:ascii="黑体" w:hAnsi="黑体" w:eastAsia="黑体" w:cs="宋体"/>
          <w:b/>
          <w:bCs/>
          <w:color w:val="auto"/>
          <w:sz w:val="24"/>
        </w:rPr>
      </w:pPr>
      <w:r>
        <w:rPr>
          <w:rFonts w:hint="eastAsia" w:ascii="黑体" w:hAnsi="黑体" w:eastAsia="黑体" w:cs="宋体"/>
          <w:b/>
          <w:bCs/>
          <w:color w:val="auto"/>
          <w:sz w:val="24"/>
        </w:rPr>
        <w:t>3</w:t>
      </w:r>
      <w:r>
        <w:rPr>
          <w:rFonts w:ascii="黑体" w:hAnsi="黑体" w:eastAsia="黑体" w:cs="宋体"/>
          <w:b/>
          <w:bCs/>
          <w:color w:val="auto"/>
          <w:sz w:val="24"/>
        </w:rPr>
        <w:t>3.需要补充的其他内容</w:t>
      </w:r>
    </w:p>
    <w:p w14:paraId="649B8212">
      <w:pPr>
        <w:tabs>
          <w:tab w:val="left" w:pos="2835"/>
        </w:tabs>
        <w:spacing w:line="400" w:lineRule="exact"/>
        <w:ind w:firstLine="420" w:firstLineChars="200"/>
        <w:contextualSpacing/>
        <w:rPr>
          <w:rFonts w:ascii="宋体" w:hAnsi="宋体" w:cs="宋体"/>
          <w:color w:val="auto"/>
          <w:szCs w:val="21"/>
        </w:rPr>
      </w:pPr>
      <w:r>
        <w:rPr>
          <w:rFonts w:hint="eastAsia" w:ascii="宋体" w:hAnsi="宋体" w:cs="宋体"/>
          <w:color w:val="auto"/>
          <w:szCs w:val="21"/>
        </w:rPr>
        <w:t>3</w:t>
      </w:r>
      <w:r>
        <w:rPr>
          <w:rFonts w:ascii="宋体" w:hAnsi="宋体" w:cs="宋体"/>
          <w:color w:val="auto"/>
          <w:szCs w:val="21"/>
        </w:rPr>
        <w:t>3.1</w:t>
      </w:r>
      <w:r>
        <w:rPr>
          <w:rFonts w:hint="eastAsia" w:ascii="宋体" w:hAnsi="宋体" w:cs="宋体"/>
          <w:color w:val="auto"/>
          <w:szCs w:val="21"/>
        </w:rPr>
        <w:t>本磋商文件解释规则详见“供应商须知前附表”。</w:t>
      </w:r>
    </w:p>
    <w:p w14:paraId="48420859">
      <w:pPr>
        <w:tabs>
          <w:tab w:val="left" w:pos="2835"/>
        </w:tabs>
        <w:spacing w:line="400" w:lineRule="exact"/>
        <w:ind w:firstLine="420" w:firstLineChars="200"/>
        <w:contextualSpacing/>
        <w:rPr>
          <w:rFonts w:ascii="宋体" w:hAnsi="宋体" w:cs="宋体"/>
          <w:color w:val="auto"/>
          <w:szCs w:val="21"/>
        </w:rPr>
      </w:pPr>
      <w:r>
        <w:rPr>
          <w:rFonts w:ascii="宋体" w:hAnsi="宋体" w:cs="宋体"/>
          <w:color w:val="auto"/>
          <w:szCs w:val="21"/>
        </w:rPr>
        <w:t>33.2</w:t>
      </w:r>
      <w:r>
        <w:rPr>
          <w:rFonts w:hint="eastAsia" w:ascii="宋体" w:hAnsi="宋体" w:cs="宋体"/>
          <w:color w:val="auto"/>
          <w:szCs w:val="21"/>
        </w:rPr>
        <w:t xml:space="preserve"> 其他事项详见“供应商须知前附表”。</w:t>
      </w:r>
    </w:p>
    <w:p w14:paraId="2F3ED02A">
      <w:pPr>
        <w:tabs>
          <w:tab w:val="left" w:pos="2835"/>
        </w:tabs>
        <w:spacing w:line="400" w:lineRule="exact"/>
        <w:ind w:firstLine="420" w:firstLineChars="200"/>
        <w:contextualSpacing/>
        <w:rPr>
          <w:rFonts w:hAnsi="宋体"/>
          <w:color w:val="auto"/>
        </w:rPr>
      </w:pPr>
      <w:r>
        <w:rPr>
          <w:rFonts w:hint="eastAsia" w:ascii="宋体" w:hAnsi="宋体" w:cs="宋体"/>
          <w:color w:val="auto"/>
          <w:szCs w:val="21"/>
        </w:rPr>
        <w:t>3</w:t>
      </w:r>
      <w:r>
        <w:rPr>
          <w:rFonts w:ascii="宋体" w:hAnsi="宋体" w:cs="宋体"/>
          <w:color w:val="auto"/>
          <w:szCs w:val="21"/>
        </w:rPr>
        <w:t>3.3</w:t>
      </w:r>
      <w:bookmarkStart w:id="75" w:name="_Hlk65857140"/>
      <w:r>
        <w:rPr>
          <w:rFonts w:hint="eastAsia" w:ascii="宋体" w:hAnsi="宋体" w:cs="宋体"/>
          <w:color w:val="auto"/>
          <w:szCs w:val="21"/>
        </w:rPr>
        <w:t>本磋商</w:t>
      </w:r>
      <w:r>
        <w:rPr>
          <w:rFonts w:hint="eastAsia" w:hAnsi="宋体"/>
          <w:color w:val="auto"/>
        </w:rPr>
        <w:t>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14:paraId="1ED6EA9A">
      <w:pPr>
        <w:pStyle w:val="17"/>
        <w:spacing w:line="400" w:lineRule="exact"/>
        <w:ind w:firstLine="420" w:firstLineChars="200"/>
        <w:contextualSpacing/>
        <w:rPr>
          <w:rFonts w:hAnsi="宋体"/>
          <w:color w:val="auto"/>
          <w:sz w:val="21"/>
        </w:rPr>
      </w:pPr>
      <w:r>
        <w:rPr>
          <w:rFonts w:hint="eastAsia" w:hAnsi="宋体"/>
          <w:color w:val="auto"/>
          <w:sz w:val="21"/>
        </w:rPr>
        <w:t>（1）在货物采购项目中，货物由中小企业制造，即货物由中小企业生产且使用该中小企业商号或者注册商标，不对其中涉及的工程承建商和服务的承接商作出要求；</w:t>
      </w:r>
    </w:p>
    <w:p w14:paraId="774DFFF2">
      <w:pPr>
        <w:pStyle w:val="17"/>
        <w:spacing w:line="400" w:lineRule="exact"/>
        <w:ind w:firstLine="420" w:firstLineChars="200"/>
        <w:contextualSpacing/>
        <w:rPr>
          <w:rFonts w:hAnsi="宋体"/>
          <w:color w:val="auto"/>
          <w:sz w:val="21"/>
        </w:rPr>
      </w:pPr>
      <w:r>
        <w:rPr>
          <w:rFonts w:hint="eastAsia" w:hAnsi="宋体"/>
          <w:color w:val="auto"/>
          <w:sz w:val="21"/>
        </w:rPr>
        <w:t>（2）在工程采购项目中，工程由中小企业承建，即工程施工单位为中小企业，不对其中涉及的货物的制造商和服务的承接商作出要求；</w:t>
      </w:r>
    </w:p>
    <w:p w14:paraId="543B10CB">
      <w:pPr>
        <w:pStyle w:val="17"/>
        <w:spacing w:line="400" w:lineRule="exact"/>
        <w:ind w:firstLine="420" w:firstLineChars="200"/>
        <w:contextualSpacing/>
        <w:rPr>
          <w:rFonts w:hAnsi="宋体"/>
          <w:color w:val="auto"/>
          <w:sz w:val="21"/>
        </w:rPr>
      </w:pPr>
      <w:r>
        <w:rPr>
          <w:rFonts w:hint="eastAsia" w:hAnsi="宋体"/>
          <w:color w:val="auto"/>
          <w:sz w:val="21"/>
        </w:rPr>
        <w:t>（3）在服务采购项目中，服务由中小企业承接，即提供服务的人员为中小企业依照《中华人民共和国劳动合同法》订立劳动合同的从业人员，不对其中涉及的货物的制造商和工程承建商作出要求。</w:t>
      </w:r>
    </w:p>
    <w:p w14:paraId="7070D33C">
      <w:pPr>
        <w:pStyle w:val="17"/>
        <w:spacing w:line="400" w:lineRule="exact"/>
        <w:ind w:firstLine="420" w:firstLineChars="200"/>
        <w:contextualSpacing/>
        <w:rPr>
          <w:rFonts w:hAnsi="宋体"/>
          <w:color w:val="auto"/>
          <w:sz w:val="21"/>
        </w:rPr>
      </w:pPr>
      <w:r>
        <w:rPr>
          <w:rFonts w:hint="eastAsia" w:hAnsi="宋体"/>
          <w:color w:val="auto"/>
          <w:sz w:val="21"/>
        </w:rPr>
        <w:t>在货物采购项目中，供应商提供的货物既有中小企业制造货物，也有大型企业制造货物的，不享受本磋商文件规定的中小企业扶持政策。以联合体形式参加政府采购活动，联合体各方均为中小企业的，联合体视同中小企业。其中，联合体各方均为小微企业的，联合体视同小微企业。</w:t>
      </w:r>
    </w:p>
    <w:p w14:paraId="77AD43F9">
      <w:pPr>
        <w:pStyle w:val="17"/>
        <w:spacing w:line="400" w:lineRule="exact"/>
        <w:ind w:firstLine="420" w:firstLineChars="200"/>
        <w:contextualSpacing/>
        <w:rPr>
          <w:rFonts w:hAnsi="宋体"/>
          <w:color w:val="auto"/>
          <w:sz w:val="21"/>
        </w:rPr>
      </w:pPr>
      <w:r>
        <w:rPr>
          <w:rFonts w:hint="eastAsia" w:hAnsi="宋体"/>
          <w:color w:val="auto"/>
          <w:sz w:val="21"/>
        </w:rPr>
        <w:t>依据本磋商文件规定享受扶持政策获得政府采购合同的，小微企业不得将合同分包给大中型企业，中型企业不得将合同分包给大型企业。</w:t>
      </w:r>
      <w:bookmarkEnd w:id="75"/>
    </w:p>
    <w:p w14:paraId="417993FB">
      <w:pPr>
        <w:pStyle w:val="17"/>
        <w:spacing w:line="400" w:lineRule="exact"/>
        <w:ind w:firstLine="420" w:firstLineChars="200"/>
        <w:contextualSpacing/>
        <w:rPr>
          <w:rFonts w:hAnsi="宋体"/>
          <w:color w:val="auto"/>
          <w:sz w:val="21"/>
        </w:rPr>
      </w:pPr>
      <w:r>
        <w:rPr>
          <w:rFonts w:hint="eastAsia" w:hAnsi="宋体"/>
          <w:color w:val="auto"/>
          <w:sz w:val="21"/>
        </w:rPr>
        <w:t>33.4.广西线上“政采贷”政策</w:t>
      </w:r>
      <w:r>
        <w:rPr>
          <w:rFonts w:hint="eastAsia" w:hAnsi="宋体"/>
          <w:b/>
          <w:color w:val="auto"/>
          <w:sz w:val="21"/>
        </w:rPr>
        <w:t>（详见附件）</w:t>
      </w:r>
    </w:p>
    <w:p w14:paraId="34131782">
      <w:pPr>
        <w:pStyle w:val="17"/>
        <w:spacing w:line="360" w:lineRule="auto"/>
        <w:contextualSpacing/>
        <w:rPr>
          <w:rFonts w:ascii="黑体" w:hAnsi="黑体" w:eastAsia="黑体"/>
          <w:b/>
          <w:bCs/>
          <w:color w:val="auto"/>
          <w:sz w:val="28"/>
          <w:szCs w:val="28"/>
        </w:rPr>
      </w:pPr>
      <w:r>
        <w:rPr>
          <w:rFonts w:hAnsi="宋体"/>
          <w:color w:val="auto"/>
        </w:rPr>
        <w:br w:type="page"/>
      </w:r>
      <w:r>
        <w:rPr>
          <w:color w:val="auto"/>
        </w:rPr>
        <w:drawing>
          <wp:anchor distT="0" distB="0" distL="114300" distR="114300" simplePos="0" relativeHeight="251659264" behindDoc="1" locked="0" layoutInCell="1" allowOverlap="1">
            <wp:simplePos x="0" y="0"/>
            <wp:positionH relativeFrom="column">
              <wp:posOffset>-7620</wp:posOffset>
            </wp:positionH>
            <wp:positionV relativeFrom="paragraph">
              <wp:posOffset>345440</wp:posOffset>
            </wp:positionV>
            <wp:extent cx="5485130" cy="7538720"/>
            <wp:effectExtent l="0" t="0" r="1270" b="43180"/>
            <wp:wrapTight wrapText="bothSides">
              <wp:wrapPolygon>
                <wp:start x="0" y="0"/>
                <wp:lineTo x="0" y="21560"/>
                <wp:lineTo x="21530" y="21560"/>
                <wp:lineTo x="21530" y="0"/>
                <wp:lineTo x="0" y="0"/>
              </wp:wrapPolygon>
            </wp:wrapTight>
            <wp:docPr id="1" name="图片 8" descr="20220713213524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20220713213524288"/>
                    <pic:cNvPicPr>
                      <a:picLocks noChangeAspect="1"/>
                    </pic:cNvPicPr>
                  </pic:nvPicPr>
                  <pic:blipFill>
                    <a:blip r:embed="rId9"/>
                    <a:stretch>
                      <a:fillRect/>
                    </a:stretch>
                  </pic:blipFill>
                  <pic:spPr>
                    <a:xfrm>
                      <a:off x="0" y="0"/>
                      <a:ext cx="5485130" cy="7538720"/>
                    </a:xfrm>
                    <a:prstGeom prst="rect">
                      <a:avLst/>
                    </a:prstGeom>
                    <a:noFill/>
                    <a:ln>
                      <a:noFill/>
                    </a:ln>
                  </pic:spPr>
                </pic:pic>
              </a:graphicData>
            </a:graphic>
          </wp:anchor>
        </w:drawing>
      </w:r>
    </w:p>
    <w:p w14:paraId="1E47540E">
      <w:pPr>
        <w:pStyle w:val="3"/>
        <w:spacing w:line="240" w:lineRule="auto"/>
        <w:jc w:val="center"/>
        <w:rPr>
          <w:color w:val="auto"/>
        </w:rPr>
      </w:pPr>
      <w:bookmarkStart w:id="76" w:name="_Toc74322607"/>
      <w:r>
        <w:rPr>
          <w:rFonts w:hint="eastAsia"/>
          <w:color w:val="auto"/>
        </w:rPr>
        <w:t>第三章 采购需求</w:t>
      </w:r>
      <w:bookmarkEnd w:id="76"/>
    </w:p>
    <w:p w14:paraId="0FBF64EE">
      <w:pPr>
        <w:spacing w:line="440" w:lineRule="exact"/>
        <w:jc w:val="center"/>
        <w:rPr>
          <w:rFonts w:ascii="宋体" w:hAnsi="宋体"/>
          <w:b/>
          <w:color w:val="auto"/>
          <w:sz w:val="32"/>
          <w:szCs w:val="32"/>
        </w:rPr>
      </w:pPr>
      <w:r>
        <w:rPr>
          <w:rFonts w:hint="eastAsia" w:ascii="宋体" w:hAnsi="宋体"/>
          <w:b/>
          <w:color w:val="auto"/>
          <w:sz w:val="32"/>
          <w:szCs w:val="32"/>
        </w:rPr>
        <w:t>采购项目技术规格、参数及要求</w:t>
      </w:r>
    </w:p>
    <w:p w14:paraId="7B89CDBF">
      <w:pPr>
        <w:spacing w:line="380" w:lineRule="exact"/>
        <w:jc w:val="left"/>
        <w:rPr>
          <w:rFonts w:ascii="宋体" w:hAnsi="宋体" w:cs="宋体"/>
          <w:b/>
          <w:color w:val="auto"/>
          <w:szCs w:val="21"/>
        </w:rPr>
      </w:pPr>
      <w:r>
        <w:rPr>
          <w:rFonts w:hint="eastAsia" w:ascii="宋体" w:hAnsi="宋体" w:cs="宋体"/>
          <w:b/>
          <w:color w:val="auto"/>
          <w:szCs w:val="21"/>
        </w:rPr>
        <w:t>Ⅰ.说明：</w:t>
      </w:r>
    </w:p>
    <w:p w14:paraId="532CE557">
      <w:pPr>
        <w:spacing w:line="440" w:lineRule="exact"/>
        <w:ind w:firstLine="420" w:firstLineChars="200"/>
        <w:jc w:val="left"/>
        <w:rPr>
          <w:rFonts w:ascii="宋体" w:hAnsi="宋体"/>
          <w:color w:val="auto"/>
          <w:highlight w:val="none"/>
        </w:rPr>
      </w:pPr>
      <w:r>
        <w:rPr>
          <w:rFonts w:hint="eastAsia" w:ascii="宋体" w:hAnsi="宋体"/>
          <w:color w:val="auto"/>
          <w:highlight w:val="none"/>
        </w:rPr>
        <w:t>1.为落实政府采购政策需满足的要求：</w:t>
      </w:r>
    </w:p>
    <w:p w14:paraId="15ECCDF4">
      <w:pPr>
        <w:spacing w:line="440" w:lineRule="exact"/>
        <w:ind w:firstLine="420" w:firstLineChars="200"/>
        <w:jc w:val="left"/>
        <w:rPr>
          <w:rFonts w:hint="eastAsia" w:ascii="宋体" w:hAnsi="宋体"/>
          <w:color w:val="auto"/>
          <w:highlight w:val="none"/>
        </w:rPr>
      </w:pPr>
      <w:r>
        <w:rPr>
          <w:rFonts w:hint="eastAsia" w:ascii="宋体" w:hAnsi="宋体"/>
          <w:color w:val="auto"/>
          <w:highlight w:val="none"/>
        </w:rPr>
        <w:t>（1）</w:t>
      </w:r>
      <w:r>
        <w:rPr>
          <w:rFonts w:hint="eastAsia" w:ascii="宋体" w:hAnsi="宋体" w:cs="宋体"/>
          <w:color w:val="auto"/>
          <w:szCs w:val="21"/>
          <w:highlight w:val="none"/>
        </w:rPr>
        <w:t>本竞争性磋商文件所称中小企业必须符合《政府采购促进中小企业发展管理办法》（财库〔2020〕46号）的规定</w:t>
      </w:r>
      <w:r>
        <w:rPr>
          <w:rFonts w:hint="eastAsia" w:ascii="宋体" w:hAnsi="宋体"/>
          <w:color w:val="auto"/>
          <w:highlight w:val="none"/>
        </w:rPr>
        <w:t>。</w:t>
      </w:r>
    </w:p>
    <w:p w14:paraId="57EF34E9">
      <w:pPr>
        <w:spacing w:line="440" w:lineRule="exact"/>
        <w:ind w:firstLine="420" w:firstLineChars="200"/>
        <w:jc w:val="left"/>
        <w:rPr>
          <w:rFonts w:hint="eastAsia" w:ascii="宋体" w:hAnsi="宋体"/>
          <w:color w:val="auto"/>
          <w:highlight w:val="none"/>
        </w:rPr>
      </w:pPr>
      <w:r>
        <w:rPr>
          <w:rFonts w:hint="eastAsia" w:ascii="宋体" w:hAnsi="宋体"/>
          <w:color w:val="auto"/>
          <w:highlight w:val="none"/>
        </w:rPr>
        <w:t>（2）根据财政部、司法部关于政府采购支持监狱企业发展有关问题的通知（财库[2014]68号），监狱企业视同小型、微型企业，享受预留份额、评审中价格扣除等政府采购政策。监狱企业属于小型、微型企业的，不重复享受政策。</w:t>
      </w:r>
    </w:p>
    <w:p w14:paraId="620A64B2">
      <w:pPr>
        <w:spacing w:line="440" w:lineRule="exact"/>
        <w:ind w:firstLine="420" w:firstLineChars="200"/>
        <w:jc w:val="left"/>
        <w:rPr>
          <w:rFonts w:hint="eastAsia" w:ascii="宋体" w:hAnsi="宋体"/>
          <w:color w:val="auto"/>
          <w:highlight w:val="none"/>
        </w:rPr>
      </w:pPr>
      <w:r>
        <w:rPr>
          <w:rFonts w:hint="eastAsia" w:ascii="宋体" w:hAnsi="宋体"/>
          <w:color w:val="auto"/>
          <w:highlight w:val="none"/>
        </w:rPr>
        <w:t>（3）按照《关于促进残疾人就业政府采购政策的通知》（财库〔2017〕141号）的规定，残疾人福利性单位视同小型、微型企业，享受预留份额、评审中价格扣除等促进中小企业发展的政府采购政策。残疾人福利性单位属于小型、微型企业的，不重复享受政策。</w:t>
      </w:r>
    </w:p>
    <w:p w14:paraId="312248B4">
      <w:pPr>
        <w:spacing w:line="440" w:lineRule="exact"/>
        <w:ind w:firstLine="420" w:firstLineChars="200"/>
        <w:jc w:val="left"/>
        <w:rPr>
          <w:rFonts w:ascii="宋体" w:hAnsi="宋体"/>
          <w:color w:val="auto"/>
          <w:highlight w:val="none"/>
        </w:rPr>
      </w:pPr>
      <w:r>
        <w:rPr>
          <w:rFonts w:hint="eastAsia" w:ascii="宋体" w:hAnsi="宋体"/>
          <w:color w:val="auto"/>
          <w:highlight w:val="none"/>
        </w:rPr>
        <w:t>2.供应商必须自行为其竞标产品（或服务）侵犯他人的知识产权或者专利成果或其他合法权益的行为承担相应法律责任。</w:t>
      </w:r>
    </w:p>
    <w:p w14:paraId="36814C11">
      <w:pPr>
        <w:spacing w:line="440" w:lineRule="exact"/>
        <w:ind w:firstLine="422" w:firstLineChars="200"/>
        <w:jc w:val="left"/>
        <w:rPr>
          <w:rFonts w:ascii="宋体" w:hAnsi="宋体"/>
          <w:b/>
          <w:color w:val="auto"/>
          <w:highlight w:val="none"/>
        </w:rPr>
      </w:pPr>
      <w:r>
        <w:rPr>
          <w:rFonts w:ascii="宋体" w:hAnsi="宋体"/>
          <w:b/>
          <w:color w:val="auto"/>
          <w:highlight w:val="none"/>
        </w:rPr>
        <w:t>3.</w:t>
      </w:r>
      <w:r>
        <w:rPr>
          <w:rFonts w:hint="eastAsia" w:ascii="宋体" w:hAnsi="宋体"/>
          <w:b/>
          <w:color w:val="auto"/>
          <w:highlight w:val="none"/>
        </w:rPr>
        <w:t>“实质性要求”是指磋商文件中已经指明不满足则响应文件按无效响应处理的条款，或者不能负偏离的条款，或者采购需求中带“▲”的条款。若有一项负偏离，响应文件按无效处理。</w:t>
      </w:r>
    </w:p>
    <w:p w14:paraId="7AFB74F9">
      <w:pPr>
        <w:spacing w:line="370" w:lineRule="exact"/>
        <w:ind w:firstLine="424" w:firstLineChars="202"/>
        <w:jc w:val="left"/>
        <w:rPr>
          <w:rFonts w:hint="eastAsia" w:ascii="宋体" w:hAnsi="宋体" w:eastAsia="宋体" w:cs="Times New Roman"/>
          <w:b w:val="0"/>
          <w:bCs/>
          <w:color w:val="auto"/>
          <w:szCs w:val="21"/>
        </w:rPr>
      </w:pPr>
      <w:r>
        <w:rPr>
          <w:rFonts w:hint="eastAsia" w:ascii="宋体" w:hAnsi="宋体"/>
          <w:b w:val="0"/>
          <w:bCs/>
          <w:color w:val="auto"/>
          <w:szCs w:val="21"/>
          <w:lang w:val="en-US" w:eastAsia="zh-CN"/>
        </w:rPr>
        <w:t>4</w:t>
      </w:r>
      <w:r>
        <w:rPr>
          <w:rFonts w:hint="eastAsia" w:ascii="宋体" w:hAnsi="宋体"/>
          <w:b w:val="0"/>
          <w:bCs/>
          <w:color w:val="auto"/>
          <w:szCs w:val="21"/>
        </w:rPr>
        <w:t>.本项目标的所属</w:t>
      </w:r>
      <w:r>
        <w:rPr>
          <w:rFonts w:hint="eastAsia" w:ascii="宋体" w:hAnsi="宋体" w:eastAsia="宋体" w:cs="Times New Roman"/>
          <w:b w:val="0"/>
          <w:bCs/>
          <w:color w:val="auto"/>
          <w:szCs w:val="21"/>
        </w:rPr>
        <w:t>行业：其他未列明行业。</w:t>
      </w:r>
    </w:p>
    <w:p w14:paraId="4B89BE92">
      <w:pPr>
        <w:spacing w:line="360" w:lineRule="exact"/>
        <w:ind w:left="-2" w:leftChars="-1"/>
        <w:jc w:val="left"/>
        <w:rPr>
          <w:rFonts w:ascii="宋体" w:hAnsi="宋体"/>
          <w:b/>
          <w:color w:val="auto"/>
          <w:szCs w:val="21"/>
        </w:rPr>
      </w:pPr>
      <w:r>
        <w:rPr>
          <w:rFonts w:hint="eastAsia" w:ascii="宋体" w:hAnsi="宋体"/>
          <w:b/>
          <w:color w:val="auto"/>
          <w:szCs w:val="21"/>
        </w:rPr>
        <w:t>Ⅱ.采购需求一览表</w:t>
      </w:r>
    </w:p>
    <w:tbl>
      <w:tblPr>
        <w:tblStyle w:val="28"/>
        <w:tblW w:w="879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98"/>
        <w:gridCol w:w="361"/>
        <w:gridCol w:w="359"/>
        <w:gridCol w:w="6776"/>
      </w:tblGrid>
      <w:tr w14:paraId="4F6F0D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8794" w:type="dxa"/>
            <w:gridSpan w:val="4"/>
            <w:vAlign w:val="center"/>
          </w:tcPr>
          <w:p w14:paraId="44707B95">
            <w:pPr>
              <w:tabs>
                <w:tab w:val="left" w:pos="180"/>
                <w:tab w:val="left" w:pos="1620"/>
              </w:tabs>
              <w:spacing w:line="320" w:lineRule="exact"/>
              <w:jc w:val="left"/>
              <w:rPr>
                <w:rFonts w:ascii="宋体" w:hAnsi="宋体" w:cs="宋体"/>
                <w:b/>
                <w:color w:val="auto"/>
                <w:szCs w:val="21"/>
              </w:rPr>
            </w:pPr>
            <w:bookmarkStart w:id="77" w:name="_Toc74322608"/>
            <w:r>
              <w:rPr>
                <w:rFonts w:hint="eastAsia" w:ascii="宋体" w:hAnsi="宋体" w:cs="宋体"/>
                <w:b/>
                <w:color w:val="auto"/>
                <w:szCs w:val="21"/>
              </w:rPr>
              <w:t>一、采购内容</w:t>
            </w:r>
          </w:p>
        </w:tc>
      </w:tr>
      <w:tr w14:paraId="3C568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8" w:hRule="atLeast"/>
          <w:jc w:val="center"/>
        </w:trPr>
        <w:tc>
          <w:tcPr>
            <w:tcW w:w="1298" w:type="dxa"/>
            <w:vAlign w:val="center"/>
          </w:tcPr>
          <w:p w14:paraId="2EFA3D86">
            <w:pPr>
              <w:tabs>
                <w:tab w:val="left" w:pos="180"/>
                <w:tab w:val="left" w:pos="1620"/>
              </w:tabs>
              <w:spacing w:line="320" w:lineRule="exact"/>
              <w:jc w:val="center"/>
              <w:rPr>
                <w:rFonts w:ascii="宋体" w:hAnsi="宋体" w:cs="宋体"/>
                <w:color w:val="auto"/>
                <w:szCs w:val="21"/>
              </w:rPr>
            </w:pPr>
            <w:r>
              <w:rPr>
                <w:rFonts w:hint="eastAsia" w:ascii="宋体" w:hAnsi="宋体" w:cs="宋体"/>
                <w:color w:val="auto"/>
                <w:szCs w:val="21"/>
              </w:rPr>
              <w:t>标的的名称</w:t>
            </w:r>
          </w:p>
        </w:tc>
        <w:tc>
          <w:tcPr>
            <w:tcW w:w="720" w:type="dxa"/>
            <w:gridSpan w:val="2"/>
            <w:vAlign w:val="center"/>
          </w:tcPr>
          <w:p w14:paraId="3229DA34">
            <w:pPr>
              <w:tabs>
                <w:tab w:val="left" w:pos="180"/>
                <w:tab w:val="left" w:pos="1620"/>
              </w:tabs>
              <w:spacing w:line="320" w:lineRule="exact"/>
              <w:jc w:val="center"/>
              <w:rPr>
                <w:rFonts w:ascii="宋体" w:hAnsi="宋体" w:cs="宋体"/>
                <w:color w:val="auto"/>
                <w:szCs w:val="21"/>
              </w:rPr>
            </w:pPr>
            <w:r>
              <w:rPr>
                <w:rFonts w:hint="eastAsia" w:ascii="宋体" w:hAnsi="宋体" w:cs="宋体"/>
                <w:color w:val="auto"/>
                <w:szCs w:val="21"/>
              </w:rPr>
              <w:t>数量单位</w:t>
            </w:r>
          </w:p>
        </w:tc>
        <w:tc>
          <w:tcPr>
            <w:tcW w:w="6776" w:type="dxa"/>
            <w:vAlign w:val="center"/>
          </w:tcPr>
          <w:p w14:paraId="6116D5F5">
            <w:pPr>
              <w:tabs>
                <w:tab w:val="left" w:pos="180"/>
                <w:tab w:val="left" w:pos="1620"/>
              </w:tabs>
              <w:spacing w:line="320" w:lineRule="exact"/>
              <w:jc w:val="center"/>
              <w:rPr>
                <w:rFonts w:ascii="宋体" w:hAnsi="宋体" w:cs="宋体"/>
                <w:color w:val="auto"/>
                <w:szCs w:val="21"/>
              </w:rPr>
            </w:pPr>
            <w:r>
              <w:rPr>
                <w:rFonts w:hint="eastAsia" w:ascii="宋体" w:hAnsi="宋体" w:eastAsia="宋体" w:cs="宋体"/>
                <w:color w:val="auto"/>
                <w:szCs w:val="21"/>
              </w:rPr>
              <w:t>服务内容及要求</w:t>
            </w:r>
          </w:p>
        </w:tc>
      </w:tr>
      <w:tr w14:paraId="38528C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8" w:hRule="atLeast"/>
          <w:jc w:val="center"/>
        </w:trPr>
        <w:tc>
          <w:tcPr>
            <w:tcW w:w="1298" w:type="dxa"/>
            <w:vAlign w:val="center"/>
          </w:tcPr>
          <w:p w14:paraId="34B928A0">
            <w:pPr>
              <w:tabs>
                <w:tab w:val="left" w:pos="180"/>
                <w:tab w:val="left" w:pos="1620"/>
              </w:tabs>
              <w:spacing w:line="400" w:lineRule="exact"/>
              <w:jc w:val="center"/>
              <w:rPr>
                <w:rFonts w:hint="eastAsia" w:ascii="宋体" w:hAnsi="宋体" w:cs="宋体"/>
                <w:color w:val="auto"/>
                <w:szCs w:val="21"/>
              </w:rPr>
            </w:pPr>
            <w:r>
              <w:rPr>
                <w:rFonts w:hint="eastAsia" w:ascii="宋体" w:hAnsi="宋体" w:cs="宋体"/>
                <w:color w:val="auto"/>
                <w:szCs w:val="21"/>
              </w:rPr>
              <w:t>直线加速器维保</w:t>
            </w:r>
          </w:p>
        </w:tc>
        <w:tc>
          <w:tcPr>
            <w:tcW w:w="720" w:type="dxa"/>
            <w:gridSpan w:val="2"/>
            <w:vAlign w:val="center"/>
          </w:tcPr>
          <w:p w14:paraId="23EA1487">
            <w:pPr>
              <w:tabs>
                <w:tab w:val="left" w:pos="180"/>
                <w:tab w:val="left" w:pos="1620"/>
              </w:tabs>
              <w:spacing w:line="400" w:lineRule="exact"/>
              <w:jc w:val="center"/>
              <w:rPr>
                <w:rFonts w:hint="eastAsia" w:ascii="宋体" w:hAnsi="宋体" w:eastAsia="宋体" w:cs="宋体"/>
                <w:color w:val="auto"/>
                <w:szCs w:val="21"/>
                <w:lang w:eastAsia="zh-CN"/>
              </w:rPr>
            </w:pPr>
            <w:r>
              <w:rPr>
                <w:rFonts w:hint="eastAsia" w:ascii="宋体" w:hAnsi="宋体" w:eastAsia="宋体" w:cs="宋体"/>
                <w:color w:val="auto"/>
                <w:szCs w:val="21"/>
              </w:rPr>
              <w:t>1</w:t>
            </w:r>
            <w:r>
              <w:rPr>
                <w:rFonts w:hint="eastAsia" w:ascii="宋体" w:hAnsi="宋体" w:eastAsia="宋体" w:cs="宋体"/>
                <w:color w:val="auto"/>
                <w:szCs w:val="21"/>
                <w:lang w:eastAsia="zh-CN"/>
              </w:rPr>
              <w:t>项</w:t>
            </w:r>
          </w:p>
        </w:tc>
        <w:tc>
          <w:tcPr>
            <w:tcW w:w="6776" w:type="dxa"/>
            <w:vAlign w:val="center"/>
          </w:tcPr>
          <w:p w14:paraId="5C809109">
            <w:pPr>
              <w:tabs>
                <w:tab w:val="left" w:pos="180"/>
                <w:tab w:val="left" w:pos="1620"/>
              </w:tabs>
              <w:spacing w:line="400" w:lineRule="exact"/>
              <w:jc w:val="left"/>
              <w:rPr>
                <w:rFonts w:hint="eastAsia" w:ascii="宋体" w:hAnsi="宋体" w:eastAsia="宋体" w:cs="宋体"/>
                <w:color w:val="auto"/>
                <w:szCs w:val="21"/>
              </w:rPr>
            </w:pPr>
            <w:r>
              <w:rPr>
                <w:rFonts w:hint="eastAsia" w:ascii="宋体" w:hAnsi="宋体" w:eastAsia="宋体" w:cs="宋体"/>
                <w:color w:val="auto"/>
                <w:szCs w:val="21"/>
              </w:rPr>
              <w:t>一、设备情况及服务范围：</w:t>
            </w:r>
          </w:p>
          <w:p w14:paraId="0E80A67F">
            <w:pPr>
              <w:tabs>
                <w:tab w:val="left" w:pos="180"/>
                <w:tab w:val="left" w:pos="1620"/>
              </w:tabs>
              <w:spacing w:line="400" w:lineRule="exact"/>
              <w:jc w:val="left"/>
              <w:rPr>
                <w:rFonts w:hint="eastAsia" w:ascii="宋体" w:hAnsi="宋体" w:eastAsia="宋体" w:cs="宋体"/>
                <w:color w:val="auto"/>
                <w:szCs w:val="21"/>
              </w:rPr>
            </w:pPr>
            <w:r>
              <w:rPr>
                <w:rFonts w:hint="eastAsia" w:ascii="宋体" w:hAnsi="宋体" w:eastAsia="宋体" w:cs="宋体"/>
                <w:color w:val="auto"/>
                <w:szCs w:val="21"/>
              </w:rPr>
              <w:t>（一）设备品牌型号：瓦里安/TRILOGY</w:t>
            </w:r>
          </w:p>
          <w:p w14:paraId="5D93D3AE">
            <w:pPr>
              <w:tabs>
                <w:tab w:val="left" w:pos="180"/>
                <w:tab w:val="left" w:pos="1620"/>
              </w:tabs>
              <w:spacing w:line="400" w:lineRule="exact"/>
              <w:jc w:val="left"/>
              <w:rPr>
                <w:rFonts w:hint="eastAsia" w:ascii="宋体" w:hAnsi="宋体" w:eastAsia="宋体" w:cs="宋体"/>
                <w:color w:val="auto"/>
                <w:szCs w:val="21"/>
              </w:rPr>
            </w:pPr>
            <w:r>
              <w:rPr>
                <w:rFonts w:hint="eastAsia" w:ascii="宋体" w:hAnsi="宋体" w:eastAsia="宋体" w:cs="宋体"/>
                <w:color w:val="auto"/>
                <w:szCs w:val="21"/>
              </w:rPr>
              <w:t>（二）设备数量：1台</w:t>
            </w:r>
          </w:p>
          <w:p w14:paraId="1663B2DA">
            <w:pPr>
              <w:tabs>
                <w:tab w:val="left" w:pos="180"/>
                <w:tab w:val="left" w:pos="1620"/>
              </w:tabs>
              <w:spacing w:line="400" w:lineRule="exact"/>
              <w:jc w:val="left"/>
              <w:rPr>
                <w:rFonts w:hint="eastAsia" w:ascii="宋体" w:hAnsi="宋体" w:eastAsia="宋体" w:cs="宋体"/>
                <w:color w:val="auto"/>
                <w:szCs w:val="21"/>
              </w:rPr>
            </w:pPr>
            <w:r>
              <w:rPr>
                <w:rFonts w:hint="eastAsia" w:ascii="宋体" w:hAnsi="宋体" w:eastAsia="宋体" w:cs="宋体"/>
                <w:color w:val="auto"/>
                <w:szCs w:val="21"/>
              </w:rPr>
              <w:t>（三）提供整机全保3年，包含直线加速器、CBCT、OBI、MLC、EPI、CCTV 监视器和摄像头、病人定位用激光器、对讲系统、室内监视器、水冷机、稳压器、空气压缩机、ARIA网络系统、Eclipse计划系统、肿瘤信息化管理系统。</w:t>
            </w:r>
          </w:p>
          <w:p w14:paraId="0B5B6F6C">
            <w:pPr>
              <w:tabs>
                <w:tab w:val="left" w:pos="180"/>
                <w:tab w:val="left" w:pos="1620"/>
              </w:tabs>
              <w:spacing w:line="400" w:lineRule="exact"/>
              <w:jc w:val="left"/>
              <w:rPr>
                <w:rFonts w:hint="eastAsia" w:ascii="宋体" w:hAnsi="宋体" w:eastAsia="宋体" w:cs="宋体"/>
                <w:color w:val="auto"/>
                <w:szCs w:val="21"/>
              </w:rPr>
            </w:pPr>
            <w:r>
              <w:rPr>
                <w:rFonts w:hint="eastAsia" w:ascii="宋体" w:hAnsi="宋体" w:eastAsia="宋体" w:cs="宋体"/>
                <w:color w:val="auto"/>
                <w:szCs w:val="21"/>
              </w:rPr>
              <w:t>二、服务要求</w:t>
            </w:r>
          </w:p>
          <w:p w14:paraId="059C2A84">
            <w:pPr>
              <w:tabs>
                <w:tab w:val="left" w:pos="180"/>
                <w:tab w:val="left" w:pos="1620"/>
              </w:tabs>
              <w:spacing w:line="400" w:lineRule="exact"/>
              <w:jc w:val="left"/>
              <w:rPr>
                <w:rFonts w:hint="eastAsia" w:ascii="宋体" w:hAnsi="宋体" w:eastAsia="宋体" w:cs="宋体"/>
                <w:color w:val="auto"/>
                <w:szCs w:val="21"/>
              </w:rPr>
            </w:pPr>
            <w:r>
              <w:rPr>
                <w:rFonts w:hint="eastAsia" w:ascii="宋体" w:hAnsi="宋体" w:eastAsia="宋体" w:cs="宋体"/>
                <w:color w:val="auto"/>
                <w:szCs w:val="21"/>
              </w:rPr>
              <w:t>（一）供应商服务能力及人员要求　　</w:t>
            </w:r>
          </w:p>
          <w:p w14:paraId="53CBFFF8">
            <w:pPr>
              <w:tabs>
                <w:tab w:val="left" w:pos="180"/>
                <w:tab w:val="left" w:pos="1620"/>
              </w:tabs>
              <w:spacing w:line="400" w:lineRule="exact"/>
              <w:jc w:val="left"/>
              <w:rPr>
                <w:rFonts w:hint="eastAsia" w:ascii="宋体" w:hAnsi="宋体" w:eastAsia="宋体" w:cs="宋体"/>
                <w:color w:val="auto"/>
                <w:szCs w:val="21"/>
              </w:rPr>
            </w:pPr>
            <w:r>
              <w:rPr>
                <w:rFonts w:hint="eastAsia" w:ascii="宋体" w:hAnsi="宋体" w:eastAsia="宋体" w:cs="宋体"/>
                <w:color w:val="auto"/>
                <w:szCs w:val="21"/>
              </w:rPr>
              <w:t>▲1、供应商应具有服务团队，投标所提供人员资质、公司资质均为供应商自有，不得将本项目授权、分包或转包。</w:t>
            </w:r>
          </w:p>
          <w:p w14:paraId="1363D7D2">
            <w:pPr>
              <w:tabs>
                <w:tab w:val="left" w:pos="180"/>
                <w:tab w:val="left" w:pos="1620"/>
              </w:tabs>
              <w:spacing w:line="400" w:lineRule="exact"/>
              <w:jc w:val="left"/>
              <w:rPr>
                <w:rFonts w:hint="eastAsia" w:ascii="宋体" w:hAnsi="宋体" w:eastAsia="宋体" w:cs="宋体"/>
                <w:color w:val="auto"/>
                <w:szCs w:val="21"/>
              </w:rPr>
            </w:pPr>
            <w:r>
              <w:rPr>
                <w:rFonts w:hint="eastAsia" w:ascii="宋体" w:hAnsi="宋体" w:eastAsia="宋体" w:cs="宋体"/>
                <w:color w:val="auto"/>
                <w:szCs w:val="21"/>
              </w:rPr>
              <w:t>2、供应商为本项目配备不少于1名经设备生产厂商培训的工程师（并</w:t>
            </w:r>
            <w:r>
              <w:rPr>
                <w:rFonts w:hint="eastAsia" w:ascii="宋体" w:hAnsi="宋体" w:eastAsia="宋体" w:cs="宋体"/>
                <w:color w:val="auto"/>
                <w:szCs w:val="21"/>
                <w:lang w:eastAsia="zh-CN"/>
              </w:rPr>
              <w:t>于响应文件中</w:t>
            </w:r>
            <w:r>
              <w:rPr>
                <w:rFonts w:hint="eastAsia" w:ascii="宋体" w:hAnsi="宋体" w:eastAsia="宋体" w:cs="宋体"/>
                <w:color w:val="auto"/>
                <w:szCs w:val="21"/>
              </w:rPr>
              <w:t>提供相应的培训证书及近三个月在投标人公司的在岗社保证明，社保需由本公司（或其分公司）缴纳，外包、代缴的形式不认可。）</w:t>
            </w:r>
          </w:p>
          <w:p w14:paraId="01B0646D">
            <w:pPr>
              <w:tabs>
                <w:tab w:val="left" w:pos="180"/>
                <w:tab w:val="left" w:pos="1620"/>
              </w:tabs>
              <w:spacing w:line="400" w:lineRule="exact"/>
              <w:jc w:val="left"/>
              <w:rPr>
                <w:rFonts w:hint="eastAsia" w:ascii="宋体" w:hAnsi="宋体" w:eastAsia="宋体" w:cs="宋体"/>
                <w:color w:val="auto"/>
                <w:szCs w:val="21"/>
              </w:rPr>
            </w:pPr>
            <w:r>
              <w:rPr>
                <w:rFonts w:hint="eastAsia" w:ascii="宋体" w:hAnsi="宋体" w:eastAsia="宋体" w:cs="宋体"/>
                <w:color w:val="auto"/>
                <w:szCs w:val="21"/>
              </w:rPr>
              <w:t>3、供应商为本项目配备不少于1名经设备生产厂商ARIA 及Eclipse软件维修培训的工程师。（并</w:t>
            </w:r>
            <w:r>
              <w:rPr>
                <w:rFonts w:hint="eastAsia" w:ascii="宋体" w:hAnsi="宋体" w:eastAsia="宋体" w:cs="宋体"/>
                <w:color w:val="auto"/>
                <w:szCs w:val="21"/>
                <w:lang w:eastAsia="zh-CN"/>
              </w:rPr>
              <w:t>于响应文件中</w:t>
            </w:r>
            <w:r>
              <w:rPr>
                <w:rFonts w:hint="eastAsia" w:ascii="宋体" w:hAnsi="宋体" w:eastAsia="宋体" w:cs="宋体"/>
                <w:color w:val="auto"/>
                <w:szCs w:val="21"/>
              </w:rPr>
              <w:t>提供相应的培训证书或相关证明材料及近三个月在投标人公司的在岗社保证明，社保需由本公司（或其分公司）缴纳，外包、代缴的形式不认可。）</w:t>
            </w:r>
          </w:p>
          <w:p w14:paraId="56D04210">
            <w:pPr>
              <w:tabs>
                <w:tab w:val="left" w:pos="180"/>
                <w:tab w:val="left" w:pos="1620"/>
              </w:tabs>
              <w:spacing w:line="400" w:lineRule="exact"/>
              <w:jc w:val="left"/>
              <w:rPr>
                <w:rFonts w:hint="eastAsia" w:ascii="宋体" w:hAnsi="宋体" w:eastAsia="宋体" w:cs="宋体"/>
                <w:color w:val="auto"/>
                <w:szCs w:val="21"/>
              </w:rPr>
            </w:pPr>
            <w:r>
              <w:rPr>
                <w:rFonts w:hint="eastAsia" w:ascii="宋体" w:hAnsi="宋体" w:eastAsia="宋体" w:cs="宋体"/>
                <w:color w:val="auto"/>
                <w:szCs w:val="21"/>
              </w:rPr>
              <w:t>4、为有效保障临床物理QA/QC工作质控要求，供应商需具备经国家卫生部门颁发的LA物理师证书的工程师（并</w:t>
            </w:r>
            <w:r>
              <w:rPr>
                <w:rFonts w:hint="eastAsia" w:ascii="宋体" w:hAnsi="宋体" w:eastAsia="宋体" w:cs="宋体"/>
                <w:color w:val="auto"/>
                <w:szCs w:val="21"/>
                <w:lang w:eastAsia="zh-CN"/>
              </w:rPr>
              <w:t>于响应文件中</w:t>
            </w:r>
            <w:r>
              <w:rPr>
                <w:rFonts w:hint="eastAsia" w:ascii="宋体" w:hAnsi="宋体" w:eastAsia="宋体" w:cs="宋体"/>
                <w:color w:val="auto"/>
                <w:szCs w:val="21"/>
              </w:rPr>
              <w:t>提供相应的培训证书及近三个月在投标人公司的在岗社保证明，社保需由本公司（或其分公司）缴纳，外包、代缴的形式不认可。）</w:t>
            </w:r>
          </w:p>
          <w:p w14:paraId="1C8CD48F">
            <w:pPr>
              <w:tabs>
                <w:tab w:val="left" w:pos="180"/>
                <w:tab w:val="left" w:pos="1620"/>
              </w:tabs>
              <w:spacing w:line="400" w:lineRule="exact"/>
              <w:jc w:val="left"/>
              <w:rPr>
                <w:rFonts w:hint="eastAsia" w:ascii="宋体" w:hAnsi="宋体" w:eastAsia="宋体" w:cs="宋体"/>
                <w:color w:val="auto"/>
                <w:szCs w:val="21"/>
              </w:rPr>
            </w:pPr>
            <w:r>
              <w:rPr>
                <w:rFonts w:hint="eastAsia" w:ascii="宋体" w:hAnsi="宋体" w:eastAsia="宋体" w:cs="宋体"/>
                <w:color w:val="auto"/>
                <w:szCs w:val="21"/>
              </w:rPr>
              <w:t>（二）服务的具体要求</w:t>
            </w:r>
          </w:p>
          <w:p w14:paraId="26ED71A2">
            <w:pPr>
              <w:tabs>
                <w:tab w:val="left" w:pos="180"/>
                <w:tab w:val="left" w:pos="1620"/>
              </w:tabs>
              <w:spacing w:line="400" w:lineRule="exact"/>
              <w:jc w:val="left"/>
              <w:rPr>
                <w:rFonts w:hint="eastAsia" w:ascii="宋体" w:hAnsi="宋体" w:eastAsia="宋体" w:cs="宋体"/>
                <w:color w:val="auto"/>
                <w:szCs w:val="21"/>
              </w:rPr>
            </w:pPr>
            <w:r>
              <w:rPr>
                <w:rFonts w:hint="eastAsia" w:ascii="宋体" w:hAnsi="宋体" w:eastAsia="宋体" w:cs="宋体"/>
                <w:color w:val="auto"/>
                <w:szCs w:val="21"/>
              </w:rPr>
              <w:t>▲1、开机率：供应商在合同期内保证设备96%的开机率（按365日计算，停机时间不能超过15天）。对于开机率低于96%的每一个百分点(3天)，维修合同期限将相应延长7个日历日；不够一个百分点的，则每超过一天，则维保期往后顺延2天。</w:t>
            </w:r>
          </w:p>
          <w:p w14:paraId="5DDA0B73">
            <w:pPr>
              <w:tabs>
                <w:tab w:val="left" w:pos="180"/>
                <w:tab w:val="left" w:pos="1620"/>
              </w:tabs>
              <w:spacing w:line="400" w:lineRule="exact"/>
              <w:jc w:val="left"/>
              <w:rPr>
                <w:rFonts w:hint="eastAsia" w:ascii="宋体" w:hAnsi="宋体" w:eastAsia="宋体" w:cs="宋体"/>
                <w:color w:val="auto"/>
                <w:szCs w:val="21"/>
              </w:rPr>
            </w:pPr>
            <w:r>
              <w:rPr>
                <w:rFonts w:hint="eastAsia" w:ascii="宋体" w:hAnsi="宋体" w:eastAsia="宋体" w:cs="宋体"/>
                <w:color w:val="auto"/>
                <w:szCs w:val="21"/>
              </w:rPr>
              <w:t>2、售后服务热线：提供400免费热线电话，24小时 *365天有工程师接听，提供快速诊断和技术支持服务。</w:t>
            </w:r>
          </w:p>
          <w:p w14:paraId="1EE2149D">
            <w:pPr>
              <w:tabs>
                <w:tab w:val="left" w:pos="180"/>
                <w:tab w:val="left" w:pos="1620"/>
              </w:tabs>
              <w:spacing w:line="400" w:lineRule="exact"/>
              <w:jc w:val="left"/>
              <w:rPr>
                <w:rFonts w:hint="eastAsia" w:ascii="宋体" w:hAnsi="宋体" w:eastAsia="宋体" w:cs="宋体"/>
                <w:color w:val="auto"/>
                <w:szCs w:val="21"/>
                <w:lang w:eastAsia="zh-CN"/>
              </w:rPr>
            </w:pPr>
            <w:r>
              <w:rPr>
                <w:rFonts w:hint="eastAsia" w:ascii="宋体" w:hAnsi="宋体" w:eastAsia="宋体" w:cs="宋体"/>
                <w:color w:val="auto"/>
                <w:szCs w:val="21"/>
              </w:rPr>
              <w:t>3、响应要求：在保修服务期内不分节假日，接到现场报修电话后，立即响应。在12小时内派工程师到现场实施维修，维修时间不限节假日</w:t>
            </w:r>
            <w:r>
              <w:rPr>
                <w:rFonts w:hint="eastAsia" w:ascii="宋体" w:hAnsi="宋体" w:eastAsia="宋体" w:cs="宋体"/>
                <w:color w:val="auto"/>
                <w:szCs w:val="21"/>
                <w:lang w:eastAsia="zh-CN"/>
              </w:rPr>
              <w:t>。</w:t>
            </w:r>
          </w:p>
          <w:p w14:paraId="1B1219F1">
            <w:pPr>
              <w:tabs>
                <w:tab w:val="left" w:pos="180"/>
                <w:tab w:val="left" w:pos="1620"/>
              </w:tabs>
              <w:spacing w:line="400" w:lineRule="exact"/>
              <w:jc w:val="left"/>
              <w:rPr>
                <w:rFonts w:hint="eastAsia" w:ascii="宋体" w:hAnsi="宋体" w:eastAsia="宋体" w:cs="宋体"/>
                <w:color w:val="auto"/>
                <w:szCs w:val="21"/>
              </w:rPr>
            </w:pPr>
            <w:r>
              <w:rPr>
                <w:rFonts w:hint="eastAsia" w:ascii="宋体" w:hAnsi="宋体" w:eastAsia="宋体" w:cs="宋体"/>
                <w:color w:val="auto"/>
                <w:szCs w:val="21"/>
              </w:rPr>
              <w:t>▲4、提供年检和QA支持，每年用三维水箱对加速器进行数据采集，对设备速流指标指标进行检测，保障设备质量指标。</w:t>
            </w:r>
          </w:p>
          <w:p w14:paraId="2CCE24ED">
            <w:pPr>
              <w:tabs>
                <w:tab w:val="left" w:pos="180"/>
                <w:tab w:val="left" w:pos="1620"/>
              </w:tabs>
              <w:spacing w:line="400" w:lineRule="exact"/>
              <w:jc w:val="left"/>
              <w:rPr>
                <w:rFonts w:hint="eastAsia" w:ascii="宋体" w:hAnsi="宋体" w:eastAsia="宋体" w:cs="宋体"/>
                <w:color w:val="auto"/>
                <w:szCs w:val="21"/>
              </w:rPr>
            </w:pPr>
            <w:r>
              <w:rPr>
                <w:rFonts w:hint="eastAsia" w:ascii="宋体" w:hAnsi="宋体" w:eastAsia="宋体" w:cs="宋体"/>
                <w:color w:val="auto"/>
                <w:szCs w:val="21"/>
              </w:rPr>
              <w:t>5、预防性保养：按照保养计划提供，每年按要求提供4次专业保养，以保证设备处于最佳运行状态。包括但不限于记录并安排保养时间、按照保养计划更换损耗部件、按照设备生产厂家标准进行调校、确认各项技术指标及性能、记录设备状况、提供设备保养内容清单。</w:t>
            </w:r>
          </w:p>
          <w:p w14:paraId="2F4E5FA1">
            <w:pPr>
              <w:tabs>
                <w:tab w:val="left" w:pos="180"/>
                <w:tab w:val="left" w:pos="1620"/>
              </w:tabs>
              <w:spacing w:line="400" w:lineRule="exact"/>
              <w:jc w:val="left"/>
              <w:rPr>
                <w:rFonts w:hint="eastAsia" w:ascii="宋体" w:hAnsi="宋体" w:eastAsia="宋体" w:cs="宋体"/>
                <w:color w:val="auto"/>
                <w:szCs w:val="21"/>
              </w:rPr>
            </w:pPr>
            <w:r>
              <w:rPr>
                <w:rFonts w:hint="eastAsia" w:ascii="宋体" w:hAnsi="宋体" w:eastAsia="宋体" w:cs="宋体"/>
                <w:color w:val="auto"/>
                <w:szCs w:val="21"/>
              </w:rPr>
              <w:t>▲6、医用电子直线加速器重大维修或更换重要部件（如：加速管、微波功率源和靶等）后，进行状态验收检测并提供检测报告。</w:t>
            </w:r>
          </w:p>
          <w:p w14:paraId="746FAACB">
            <w:pPr>
              <w:tabs>
                <w:tab w:val="left" w:pos="180"/>
                <w:tab w:val="left" w:pos="1620"/>
              </w:tabs>
              <w:spacing w:line="400" w:lineRule="exact"/>
              <w:jc w:val="left"/>
              <w:rPr>
                <w:rFonts w:hint="eastAsia" w:ascii="宋体" w:hAnsi="宋体" w:eastAsia="宋体" w:cs="宋体"/>
                <w:color w:val="auto"/>
                <w:szCs w:val="21"/>
              </w:rPr>
            </w:pPr>
            <w:r>
              <w:rPr>
                <w:rFonts w:hint="eastAsia" w:ascii="宋体" w:hAnsi="宋体" w:eastAsia="宋体" w:cs="宋体"/>
                <w:color w:val="auto"/>
                <w:szCs w:val="21"/>
              </w:rPr>
              <w:t>▲7、供应商对现有肿瘤信息化管理系统的日常维护，更新及升级。</w:t>
            </w:r>
          </w:p>
          <w:p w14:paraId="0EC63DF3">
            <w:pPr>
              <w:tabs>
                <w:tab w:val="left" w:pos="180"/>
                <w:tab w:val="left" w:pos="1620"/>
              </w:tabs>
              <w:spacing w:line="400" w:lineRule="exact"/>
              <w:jc w:val="left"/>
              <w:rPr>
                <w:rFonts w:hint="eastAsia" w:ascii="宋体" w:hAnsi="宋体" w:eastAsia="宋体" w:cs="宋体"/>
                <w:color w:val="auto"/>
                <w:szCs w:val="21"/>
              </w:rPr>
            </w:pPr>
            <w:r>
              <w:rPr>
                <w:rFonts w:hint="eastAsia" w:ascii="宋体" w:hAnsi="宋体" w:eastAsia="宋体" w:cs="宋体"/>
                <w:color w:val="auto"/>
                <w:szCs w:val="21"/>
              </w:rPr>
              <w:t>（三）备件方案</w:t>
            </w:r>
          </w:p>
          <w:p w14:paraId="09CC7E6C">
            <w:pPr>
              <w:tabs>
                <w:tab w:val="left" w:pos="180"/>
                <w:tab w:val="left" w:pos="1620"/>
              </w:tabs>
              <w:spacing w:line="400" w:lineRule="exact"/>
              <w:jc w:val="left"/>
              <w:rPr>
                <w:rFonts w:hint="eastAsia" w:ascii="宋体" w:hAnsi="宋体" w:eastAsia="宋体" w:cs="宋体"/>
                <w:color w:val="auto"/>
                <w:szCs w:val="21"/>
              </w:rPr>
            </w:pPr>
            <w:r>
              <w:rPr>
                <w:rFonts w:hint="eastAsia" w:ascii="宋体" w:hAnsi="宋体" w:eastAsia="宋体" w:cs="宋体"/>
                <w:color w:val="auto"/>
                <w:szCs w:val="21"/>
              </w:rPr>
              <w:t>1、确立零部件需求后，供应商应在24小时内送达现场。</w:t>
            </w:r>
          </w:p>
          <w:p w14:paraId="4B3DAA02">
            <w:pPr>
              <w:tabs>
                <w:tab w:val="left" w:pos="180"/>
                <w:tab w:val="left" w:pos="1620"/>
              </w:tabs>
              <w:spacing w:line="400" w:lineRule="exact"/>
              <w:jc w:val="left"/>
              <w:rPr>
                <w:rFonts w:hint="eastAsia" w:ascii="宋体" w:hAnsi="宋体" w:eastAsia="宋体" w:cs="宋体"/>
                <w:color w:val="auto"/>
                <w:szCs w:val="21"/>
                <w:lang w:eastAsia="zh-CN"/>
              </w:rPr>
            </w:pPr>
            <w:r>
              <w:rPr>
                <w:rFonts w:hint="eastAsia" w:ascii="宋体" w:hAnsi="宋体" w:eastAsia="宋体" w:cs="宋体"/>
                <w:color w:val="auto"/>
                <w:szCs w:val="21"/>
              </w:rPr>
              <w:t>▲2、供应商提供维修保养服务时，更换的所有备件需为原厂全新未拆封零配件，满足设备运行要求,确保不会对设备质量产生不良影响</w:t>
            </w:r>
            <w:r>
              <w:rPr>
                <w:rFonts w:hint="eastAsia" w:ascii="宋体" w:hAnsi="宋体" w:eastAsia="宋体" w:cs="宋体"/>
                <w:color w:val="auto"/>
                <w:szCs w:val="21"/>
                <w:lang w:eastAsia="zh-CN"/>
              </w:rPr>
              <w:t>。</w:t>
            </w:r>
          </w:p>
          <w:p w14:paraId="7C0C1578">
            <w:pPr>
              <w:tabs>
                <w:tab w:val="left" w:pos="180"/>
                <w:tab w:val="left" w:pos="1620"/>
              </w:tabs>
              <w:spacing w:line="400" w:lineRule="exact"/>
              <w:jc w:val="left"/>
              <w:rPr>
                <w:rFonts w:hint="eastAsia" w:ascii="宋体" w:hAnsi="宋体" w:eastAsia="宋体" w:cs="宋体"/>
                <w:color w:val="auto"/>
                <w:szCs w:val="21"/>
              </w:rPr>
            </w:pPr>
            <w:r>
              <w:rPr>
                <w:rFonts w:hint="eastAsia" w:ascii="宋体" w:hAnsi="宋体" w:eastAsia="宋体" w:cs="宋体"/>
                <w:color w:val="auto"/>
                <w:szCs w:val="21"/>
              </w:rPr>
              <w:t>（四）远程诊断</w:t>
            </w:r>
          </w:p>
          <w:p w14:paraId="0B3D58C1">
            <w:pPr>
              <w:tabs>
                <w:tab w:val="left" w:pos="180"/>
                <w:tab w:val="left" w:pos="1620"/>
              </w:tabs>
              <w:spacing w:line="400" w:lineRule="exact"/>
              <w:jc w:val="left"/>
              <w:rPr>
                <w:rFonts w:hint="eastAsia" w:ascii="宋体" w:hAnsi="宋体" w:eastAsia="宋体" w:cs="宋体"/>
                <w:color w:val="auto"/>
                <w:szCs w:val="21"/>
              </w:rPr>
            </w:pPr>
            <w:r>
              <w:rPr>
                <w:rFonts w:hint="eastAsia" w:ascii="宋体" w:hAnsi="宋体" w:eastAsia="宋体" w:cs="宋体"/>
                <w:color w:val="auto"/>
                <w:szCs w:val="21"/>
              </w:rPr>
              <w:t>远程连接：供应商需提供远程连接方案的实时远程服务，在用户允许的情况下可以接入设备，以保证维修的及时性，且远程服务应满足以下需求：该远程服务可以实现远程不断监控和保护医疗设备，及时发出预警，在出现故障之前，就可对其进行远程维护和处理，以减少设备停机时间，提高设备使用率。</w:t>
            </w:r>
          </w:p>
          <w:p w14:paraId="062E5854">
            <w:pPr>
              <w:tabs>
                <w:tab w:val="left" w:pos="180"/>
                <w:tab w:val="left" w:pos="1620"/>
              </w:tabs>
              <w:spacing w:line="400" w:lineRule="exact"/>
              <w:jc w:val="left"/>
              <w:rPr>
                <w:rFonts w:hint="eastAsia" w:ascii="宋体" w:hAnsi="宋体" w:eastAsia="宋体" w:cs="宋体"/>
                <w:color w:val="auto"/>
                <w:szCs w:val="21"/>
              </w:rPr>
            </w:pPr>
            <w:r>
              <w:rPr>
                <w:rFonts w:hint="eastAsia" w:ascii="宋体" w:hAnsi="宋体" w:eastAsia="宋体" w:cs="宋体"/>
                <w:color w:val="auto"/>
                <w:szCs w:val="21"/>
              </w:rPr>
              <w:t>（五）企业本地化售后与技术能力保障</w:t>
            </w:r>
          </w:p>
          <w:p w14:paraId="3A2AE907">
            <w:pPr>
              <w:tabs>
                <w:tab w:val="left" w:pos="180"/>
                <w:tab w:val="left" w:pos="1620"/>
              </w:tabs>
              <w:spacing w:line="400" w:lineRule="exact"/>
              <w:jc w:val="left"/>
              <w:rPr>
                <w:rFonts w:hint="eastAsia" w:ascii="宋体" w:hAnsi="宋体" w:eastAsia="宋体" w:cs="宋体"/>
                <w:color w:val="auto"/>
                <w:szCs w:val="21"/>
              </w:rPr>
            </w:pPr>
            <w:r>
              <w:rPr>
                <w:rFonts w:hint="eastAsia" w:ascii="宋体" w:hAnsi="宋体" w:eastAsia="宋体" w:cs="宋体"/>
                <w:color w:val="auto"/>
                <w:szCs w:val="21"/>
              </w:rPr>
              <w:t>为保障项目服务响应效率，供应商应建立适配本项目的售后服务保障机制，可通过自有服务网点、签约合作服务商、派驻现场技术人员、区域备件库等多种方式，实现项目属地就近服务。</w:t>
            </w:r>
          </w:p>
        </w:tc>
      </w:tr>
      <w:tr w14:paraId="1DEF6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8794" w:type="dxa"/>
            <w:gridSpan w:val="4"/>
            <w:vAlign w:val="center"/>
          </w:tcPr>
          <w:p w14:paraId="4BEE1C76">
            <w:pPr>
              <w:spacing w:line="400" w:lineRule="exact"/>
              <w:jc w:val="left"/>
              <w:rPr>
                <w:rFonts w:ascii="宋体" w:hAnsi="宋体" w:cs="宋体"/>
                <w:b/>
                <w:color w:val="auto"/>
                <w:szCs w:val="21"/>
              </w:rPr>
            </w:pPr>
            <w:r>
              <w:rPr>
                <w:rFonts w:hint="eastAsia" w:ascii="宋体" w:hAnsi="宋体"/>
                <w:b/>
                <w:color w:val="auto"/>
                <w:szCs w:val="21"/>
                <w:highlight w:val="none"/>
              </w:rPr>
              <w:t>▲</w:t>
            </w:r>
            <w:r>
              <w:rPr>
                <w:rFonts w:hint="eastAsia" w:ascii="宋体" w:hAnsi="宋体" w:cs="宋体"/>
                <w:b/>
                <w:color w:val="auto"/>
                <w:szCs w:val="21"/>
              </w:rPr>
              <w:t>二、商务要求</w:t>
            </w:r>
          </w:p>
        </w:tc>
      </w:tr>
      <w:tr w14:paraId="6683B4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1659" w:type="dxa"/>
            <w:gridSpan w:val="2"/>
            <w:vAlign w:val="center"/>
          </w:tcPr>
          <w:p w14:paraId="3E6E5515">
            <w:pPr>
              <w:spacing w:line="360" w:lineRule="atLeast"/>
              <w:jc w:val="center"/>
              <w:rPr>
                <w:rFonts w:ascii="宋体" w:hAnsi="宋体" w:cs="宋体"/>
                <w:b/>
                <w:bCs/>
                <w:color w:val="auto"/>
                <w:szCs w:val="21"/>
              </w:rPr>
            </w:pPr>
            <w:r>
              <w:rPr>
                <w:rFonts w:hint="eastAsia" w:ascii="宋体" w:hAnsi="宋体" w:cs="宋体"/>
                <w:b/>
                <w:bCs/>
                <w:color w:val="auto"/>
                <w:szCs w:val="21"/>
              </w:rPr>
              <w:t>（一）服务期及地点</w:t>
            </w:r>
          </w:p>
        </w:tc>
        <w:tc>
          <w:tcPr>
            <w:tcW w:w="7135" w:type="dxa"/>
            <w:gridSpan w:val="2"/>
            <w:vAlign w:val="center"/>
          </w:tcPr>
          <w:p w14:paraId="388B3E82">
            <w:pPr>
              <w:spacing w:line="360" w:lineRule="exact"/>
              <w:rPr>
                <w:rFonts w:ascii="宋体" w:hAnsi="宋体"/>
                <w:b w:val="0"/>
                <w:bCs w:val="0"/>
                <w:color w:val="auto"/>
                <w:szCs w:val="21"/>
                <w:highlight w:val="none"/>
              </w:rPr>
            </w:pPr>
            <w:r>
              <w:rPr>
                <w:rFonts w:hint="eastAsia" w:ascii="宋体" w:hAnsi="宋体"/>
                <w:b w:val="0"/>
                <w:bCs w:val="0"/>
                <w:color w:val="auto"/>
                <w:szCs w:val="21"/>
                <w:highlight w:val="none"/>
              </w:rPr>
              <w:t>1.服务期限：自合同签订之日起3年。</w:t>
            </w:r>
          </w:p>
          <w:p w14:paraId="60E4D495">
            <w:pPr>
              <w:spacing w:line="360" w:lineRule="atLeast"/>
              <w:rPr>
                <w:rFonts w:ascii="宋体" w:hAnsi="宋体" w:cs="宋体"/>
                <w:b w:val="0"/>
                <w:bCs w:val="0"/>
                <w:color w:val="auto"/>
                <w:szCs w:val="21"/>
              </w:rPr>
            </w:pPr>
            <w:r>
              <w:rPr>
                <w:rFonts w:hint="eastAsia" w:ascii="宋体" w:hAnsi="宋体" w:cs="Calibri"/>
                <w:b w:val="0"/>
                <w:bCs w:val="0"/>
                <w:color w:val="auto"/>
                <w:szCs w:val="21"/>
                <w:highlight w:val="none"/>
              </w:rPr>
              <w:t>2.服务地点：</w:t>
            </w:r>
            <w:r>
              <w:rPr>
                <w:rFonts w:hint="eastAsia" w:ascii="宋体" w:hAnsi="宋体"/>
                <w:b w:val="0"/>
                <w:bCs w:val="0"/>
                <w:color w:val="auto"/>
                <w:highlight w:val="none"/>
              </w:rPr>
              <w:t>广西桂林市内</w:t>
            </w:r>
            <w:r>
              <w:rPr>
                <w:rFonts w:hint="eastAsia" w:ascii="宋体" w:hAnsi="宋体"/>
                <w:b w:val="0"/>
                <w:bCs w:val="0"/>
                <w:color w:val="auto"/>
                <w:highlight w:val="none"/>
                <w:lang w:eastAsia="zh-CN"/>
              </w:rPr>
              <w:t>桂林医科大学第一附属医院</w:t>
            </w:r>
            <w:r>
              <w:rPr>
                <w:rFonts w:hint="eastAsia" w:ascii="宋体" w:hAnsi="宋体"/>
                <w:b w:val="0"/>
                <w:bCs w:val="0"/>
                <w:color w:val="auto"/>
                <w:highlight w:val="none"/>
              </w:rPr>
              <w:t>采购人指定地点。</w:t>
            </w:r>
          </w:p>
        </w:tc>
      </w:tr>
      <w:tr w14:paraId="1709BB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1659" w:type="dxa"/>
            <w:gridSpan w:val="2"/>
            <w:vAlign w:val="top"/>
          </w:tcPr>
          <w:p w14:paraId="49967CF8">
            <w:pPr>
              <w:spacing w:line="400" w:lineRule="exact"/>
              <w:jc w:val="center"/>
              <w:rPr>
                <w:rFonts w:hint="eastAsia" w:ascii="宋体" w:hAnsi="宋体" w:cs="宋体"/>
                <w:b/>
                <w:bCs/>
                <w:color w:val="auto"/>
                <w:szCs w:val="21"/>
              </w:rPr>
            </w:pPr>
            <w:r>
              <w:rPr>
                <w:rFonts w:hint="eastAsia" w:ascii="宋体" w:hAnsi="宋体"/>
                <w:b/>
                <w:color w:val="auto"/>
                <w:szCs w:val="21"/>
                <w:highlight w:val="none"/>
              </w:rPr>
              <w:t>（二）合同签订时间</w:t>
            </w:r>
          </w:p>
        </w:tc>
        <w:tc>
          <w:tcPr>
            <w:tcW w:w="7135" w:type="dxa"/>
            <w:gridSpan w:val="2"/>
            <w:vAlign w:val="center"/>
          </w:tcPr>
          <w:p w14:paraId="0B44371A">
            <w:pPr>
              <w:spacing w:line="400" w:lineRule="exact"/>
              <w:rPr>
                <w:rFonts w:hint="eastAsia" w:ascii="宋体" w:hAnsi="宋体" w:cs="Calibri"/>
                <w:b w:val="0"/>
                <w:bCs w:val="0"/>
                <w:color w:val="auto"/>
                <w:szCs w:val="21"/>
                <w:highlight w:val="none"/>
              </w:rPr>
            </w:pPr>
            <w:r>
              <w:rPr>
                <w:rFonts w:hint="eastAsia" w:ascii="宋体" w:hAnsi="宋体"/>
                <w:color w:val="auto"/>
                <w:szCs w:val="21"/>
                <w:highlight w:val="none"/>
              </w:rPr>
              <w:t>成交通知书发出后25天内。</w:t>
            </w:r>
          </w:p>
        </w:tc>
      </w:tr>
      <w:tr w14:paraId="346CF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2" w:hRule="atLeast"/>
          <w:jc w:val="center"/>
        </w:trPr>
        <w:tc>
          <w:tcPr>
            <w:tcW w:w="1659" w:type="dxa"/>
            <w:gridSpan w:val="2"/>
            <w:vAlign w:val="center"/>
          </w:tcPr>
          <w:p w14:paraId="03B8D95A">
            <w:pPr>
              <w:snapToGrid w:val="0"/>
              <w:spacing w:line="320" w:lineRule="exact"/>
              <w:jc w:val="center"/>
              <w:rPr>
                <w:rFonts w:ascii="宋体" w:hAnsi="宋体" w:cs="宋体"/>
                <w:b/>
                <w:bCs/>
                <w:color w:val="auto"/>
                <w:szCs w:val="21"/>
              </w:rPr>
            </w:pPr>
            <w:r>
              <w:rPr>
                <w:rFonts w:hint="eastAsia" w:ascii="宋体" w:hAnsi="宋体"/>
                <w:b/>
                <w:color w:val="auto"/>
                <w:highlight w:val="none"/>
              </w:rPr>
              <w:t>（三）竞标报价要求</w:t>
            </w:r>
          </w:p>
        </w:tc>
        <w:tc>
          <w:tcPr>
            <w:tcW w:w="7135" w:type="dxa"/>
            <w:gridSpan w:val="2"/>
            <w:vAlign w:val="center"/>
          </w:tcPr>
          <w:p w14:paraId="75FE53D9">
            <w:pPr>
              <w:spacing w:line="360" w:lineRule="exact"/>
              <w:rPr>
                <w:rFonts w:ascii="宋体" w:hAnsi="宋体" w:cs="宋体"/>
                <w:color w:val="auto"/>
                <w:szCs w:val="21"/>
                <w:highlight w:val="none"/>
              </w:rPr>
            </w:pPr>
            <w:r>
              <w:rPr>
                <w:rFonts w:hint="eastAsia" w:ascii="宋体" w:hAnsi="宋体" w:cs="宋体"/>
                <w:color w:val="auto"/>
                <w:szCs w:val="21"/>
                <w:highlight w:val="none"/>
              </w:rPr>
              <w:t>1.供应商竞标报价须为人民币报价，报价应全面包含服务费用、零配件及耗材、备品备件、标准附件、专用工具、每次上门维修服务工程师的人工费、差旅费、交通费，以及安装、调试、技术支持、检测检验、必要的保险费用、各项税费，同时还应包括本文件未具体列明但供应商认为必需的所有其他费用。对于本文件中未列明，而供应商认为必需的费用，也必须列入总报价中。在合同执行阶段，采购人将不予承担供应商未列入报价的任何项目费用，并视为该费用已包含在供应商提供的总报价内。</w:t>
            </w:r>
          </w:p>
          <w:p w14:paraId="1DF76221">
            <w:pPr>
              <w:adjustRightInd w:val="0"/>
              <w:snapToGrid w:val="0"/>
              <w:spacing w:line="360" w:lineRule="exact"/>
              <w:rPr>
                <w:rFonts w:ascii="宋体" w:hAnsi="宋体" w:cs="宋体"/>
                <w:b w:val="0"/>
                <w:bCs w:val="0"/>
                <w:color w:val="auto"/>
                <w:szCs w:val="21"/>
              </w:rPr>
            </w:pPr>
            <w:r>
              <w:rPr>
                <w:rFonts w:hint="eastAsia" w:ascii="宋体" w:hAnsi="宋体" w:cs="宋体"/>
                <w:color w:val="auto"/>
                <w:szCs w:val="21"/>
                <w:highlight w:val="none"/>
              </w:rPr>
              <w:t>2.本项目最高限价为人民币</w:t>
            </w:r>
            <w:r>
              <w:rPr>
                <w:rFonts w:hint="eastAsia" w:ascii="宋体" w:hAnsi="宋体" w:cs="宋体"/>
                <w:color w:val="auto"/>
                <w:szCs w:val="21"/>
                <w:highlight w:val="none"/>
                <w:lang w:eastAsia="zh-CN"/>
              </w:rPr>
              <w:t>玖</w:t>
            </w:r>
            <w:r>
              <w:rPr>
                <w:rFonts w:hint="eastAsia" w:ascii="宋体" w:hAnsi="宋体" w:cs="宋体"/>
                <w:color w:val="auto"/>
                <w:szCs w:val="21"/>
                <w:highlight w:val="none"/>
              </w:rPr>
              <w:t>拾</w:t>
            </w:r>
            <w:r>
              <w:rPr>
                <w:rFonts w:hint="eastAsia" w:ascii="宋体" w:hAnsi="宋体" w:cs="宋体"/>
                <w:color w:val="auto"/>
                <w:szCs w:val="21"/>
                <w:highlight w:val="none"/>
                <w:lang w:eastAsia="zh-CN"/>
              </w:rPr>
              <w:t>陆</w:t>
            </w:r>
            <w:r>
              <w:rPr>
                <w:rFonts w:hint="eastAsia" w:ascii="宋体" w:hAnsi="宋体" w:cs="宋体"/>
                <w:color w:val="auto"/>
                <w:szCs w:val="21"/>
                <w:highlight w:val="none"/>
              </w:rPr>
              <w:t>万元整（¥</w:t>
            </w:r>
            <w:r>
              <w:rPr>
                <w:rFonts w:hint="eastAsia" w:ascii="宋体" w:hAnsi="宋体" w:cs="宋体"/>
                <w:color w:val="auto"/>
                <w:szCs w:val="21"/>
                <w:highlight w:val="none"/>
                <w:lang w:val="en-US" w:eastAsia="zh-CN"/>
              </w:rPr>
              <w:t>960000</w:t>
            </w:r>
            <w:r>
              <w:rPr>
                <w:rFonts w:hint="eastAsia" w:ascii="宋体" w:hAnsi="宋体" w:cs="宋体"/>
                <w:color w:val="auto"/>
                <w:szCs w:val="21"/>
                <w:highlight w:val="none"/>
              </w:rPr>
              <w:t>.00），竞标报价超出最高限价的，响应文件作无效处理。</w:t>
            </w:r>
          </w:p>
        </w:tc>
      </w:tr>
      <w:tr w14:paraId="748A0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2" w:hRule="atLeast"/>
          <w:jc w:val="center"/>
        </w:trPr>
        <w:tc>
          <w:tcPr>
            <w:tcW w:w="1659" w:type="dxa"/>
            <w:gridSpan w:val="2"/>
            <w:vAlign w:val="center"/>
          </w:tcPr>
          <w:p w14:paraId="7E43BBA2">
            <w:pPr>
              <w:spacing w:line="400" w:lineRule="exact"/>
              <w:jc w:val="center"/>
              <w:rPr>
                <w:b/>
                <w:bCs/>
                <w:color w:val="auto"/>
                <w:szCs w:val="21"/>
              </w:rPr>
            </w:pPr>
            <w:r>
              <w:rPr>
                <w:rFonts w:hint="eastAsia" w:ascii="宋体" w:hAnsi="宋体"/>
                <w:b/>
                <w:color w:val="auto"/>
                <w:szCs w:val="21"/>
                <w:highlight w:val="none"/>
              </w:rPr>
              <w:t>（四）付款方式</w:t>
            </w:r>
          </w:p>
        </w:tc>
        <w:tc>
          <w:tcPr>
            <w:tcW w:w="7135" w:type="dxa"/>
            <w:gridSpan w:val="2"/>
            <w:vAlign w:val="center"/>
          </w:tcPr>
          <w:p w14:paraId="29D18F25">
            <w:pPr>
              <w:spacing w:line="360" w:lineRule="exact"/>
              <w:rPr>
                <w:rFonts w:hint="eastAsia" w:eastAsia="宋体"/>
                <w:b w:val="0"/>
                <w:bCs w:val="0"/>
                <w:color w:val="auto"/>
                <w:lang w:eastAsia="zh-CN"/>
              </w:rPr>
            </w:pPr>
            <w:r>
              <w:rPr>
                <w:rFonts w:hint="eastAsia" w:ascii="宋体" w:hAnsi="宋体" w:eastAsia="宋体" w:cs="宋体"/>
                <w:color w:val="auto"/>
                <w:szCs w:val="21"/>
                <w:highlight w:val="none"/>
              </w:rPr>
              <w:t>双方在签订合同后，</w:t>
            </w:r>
            <w:r>
              <w:rPr>
                <w:rFonts w:hint="eastAsia" w:ascii="宋体" w:hAnsi="宋体" w:eastAsia="宋体" w:cs="宋体"/>
                <w:color w:val="auto"/>
                <w:szCs w:val="21"/>
                <w:highlight w:val="none"/>
                <w:lang w:eastAsia="zh-CN"/>
              </w:rPr>
              <w:t>成交供应商</w:t>
            </w:r>
            <w:r>
              <w:rPr>
                <w:rFonts w:hint="eastAsia" w:ascii="宋体" w:hAnsi="宋体" w:eastAsia="宋体" w:cs="宋体"/>
                <w:color w:val="auto"/>
                <w:szCs w:val="21"/>
                <w:highlight w:val="none"/>
              </w:rPr>
              <w:t>在一个月内开具税务发票，</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收到税务发票后转账支付合同款的10%，第一保修年结束后一个月内开具税务发票，</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收到税务发票后转账支付合同款的30%，第二保修年结束后一个月内开具税务发票，</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收到税务发票后转账支付合同款的30%，第三保修年结束并服务合格后一个月内开具税务发票，</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收到税务发票后转账支付合同款的30%给</w:t>
            </w:r>
            <w:r>
              <w:rPr>
                <w:rFonts w:hint="eastAsia" w:ascii="宋体" w:hAnsi="宋体" w:eastAsia="宋体" w:cs="宋体"/>
                <w:color w:val="auto"/>
                <w:szCs w:val="21"/>
                <w:highlight w:val="none"/>
                <w:lang w:eastAsia="zh-CN"/>
              </w:rPr>
              <w:t>成交供应商</w:t>
            </w:r>
            <w:r>
              <w:rPr>
                <w:rFonts w:hint="eastAsia" w:ascii="宋体" w:hAnsi="宋体" w:eastAsia="宋体" w:cs="宋体"/>
                <w:color w:val="auto"/>
                <w:szCs w:val="21"/>
                <w:highlight w:val="none"/>
              </w:rPr>
              <w:t>（无息）</w:t>
            </w:r>
            <w:r>
              <w:rPr>
                <w:rFonts w:hint="eastAsia" w:ascii="宋体" w:hAnsi="宋体" w:eastAsia="宋体" w:cs="宋体"/>
                <w:color w:val="auto"/>
                <w:szCs w:val="21"/>
                <w:highlight w:val="none"/>
                <w:lang w:eastAsia="zh-CN"/>
              </w:rPr>
              <w:t>。</w:t>
            </w:r>
          </w:p>
        </w:tc>
      </w:tr>
      <w:tr w14:paraId="07A37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1659" w:type="dxa"/>
            <w:gridSpan w:val="2"/>
            <w:vAlign w:val="center"/>
          </w:tcPr>
          <w:p w14:paraId="1448E794">
            <w:pPr>
              <w:spacing w:line="400" w:lineRule="exact"/>
              <w:jc w:val="center"/>
              <w:rPr>
                <w:rFonts w:ascii="宋体" w:hAnsi="宋体" w:cs="宋体"/>
                <w:b/>
                <w:color w:val="auto"/>
                <w:szCs w:val="21"/>
              </w:rPr>
            </w:pPr>
            <w:r>
              <w:rPr>
                <w:rFonts w:hint="eastAsia" w:ascii="宋体" w:hAnsi="宋体"/>
                <w:b/>
                <w:color w:val="auto"/>
                <w:szCs w:val="21"/>
                <w:highlight w:val="none"/>
              </w:rPr>
              <w:t>（五）培训</w:t>
            </w:r>
          </w:p>
        </w:tc>
        <w:tc>
          <w:tcPr>
            <w:tcW w:w="7135" w:type="dxa"/>
            <w:gridSpan w:val="2"/>
            <w:vAlign w:val="center"/>
          </w:tcPr>
          <w:p w14:paraId="20FF27AB">
            <w:pPr>
              <w:spacing w:line="400" w:lineRule="exact"/>
              <w:rPr>
                <w:rFonts w:ascii="宋体" w:hAnsi="宋体" w:cs="宋体"/>
                <w:b w:val="0"/>
                <w:bCs w:val="0"/>
                <w:color w:val="auto"/>
                <w:szCs w:val="21"/>
              </w:rPr>
            </w:pPr>
            <w:r>
              <w:rPr>
                <w:rFonts w:hint="eastAsia" w:ascii="宋体" w:hAnsi="宋体" w:cs="宋体"/>
                <w:color w:val="auto"/>
                <w:szCs w:val="21"/>
                <w:highlight w:val="none"/>
              </w:rPr>
              <w:t>供应商对其提供产品或服务的使用和操作应尽培训义务。供应商应提供对采购人的基本培训，使采购人使用人员熟练掌握所培训内容，熟练掌握全部功能。</w:t>
            </w:r>
          </w:p>
        </w:tc>
      </w:tr>
      <w:tr w14:paraId="223B28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1659" w:type="dxa"/>
            <w:gridSpan w:val="2"/>
            <w:vAlign w:val="center"/>
          </w:tcPr>
          <w:p w14:paraId="6D00ECD6">
            <w:pPr>
              <w:spacing w:line="400" w:lineRule="exact"/>
              <w:jc w:val="center"/>
              <w:rPr>
                <w:rFonts w:ascii="宋体" w:hAnsi="宋体" w:cs="宋体"/>
                <w:b/>
                <w:color w:val="auto"/>
                <w:szCs w:val="21"/>
              </w:rPr>
            </w:pPr>
            <w:r>
              <w:rPr>
                <w:rFonts w:hint="eastAsia" w:ascii="宋体" w:hAnsi="宋体"/>
                <w:b/>
                <w:color w:val="auto"/>
                <w:szCs w:val="21"/>
                <w:highlight w:val="none"/>
              </w:rPr>
              <w:t>（六）包装和运输要求</w:t>
            </w:r>
          </w:p>
        </w:tc>
        <w:tc>
          <w:tcPr>
            <w:tcW w:w="7135" w:type="dxa"/>
            <w:gridSpan w:val="2"/>
            <w:vAlign w:val="center"/>
          </w:tcPr>
          <w:p w14:paraId="08EE0DB2">
            <w:pPr>
              <w:spacing w:line="360" w:lineRule="exact"/>
              <w:rPr>
                <w:rFonts w:ascii="宋体" w:hAnsi="宋体" w:cs="宋体"/>
                <w:b w:val="0"/>
                <w:bCs w:val="0"/>
                <w:color w:val="auto"/>
                <w:szCs w:val="21"/>
              </w:rPr>
            </w:pPr>
            <w:r>
              <w:rPr>
                <w:rFonts w:hint="eastAsia" w:ascii="宋体" w:hAnsi="宋体" w:cs="宋体"/>
                <w:color w:val="auto"/>
                <w:szCs w:val="21"/>
                <w:highlight w:val="none"/>
              </w:rPr>
              <w:t>根据《财政部等三部门联合印发商品包装和快递包装政府采购需求标准（试行）》财办库〔2020〕123 号文规定，供应商提供的备品备件使用塑料、纸质、木质等包装材料时应满足《商品包装政府采购需求标准（试行）》要求，若需要快递包装，快递包装材料应满足《快递包装政府采购需求标准（试行）》要求。</w:t>
            </w:r>
          </w:p>
        </w:tc>
      </w:tr>
      <w:tr w14:paraId="73217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1659" w:type="dxa"/>
            <w:gridSpan w:val="2"/>
            <w:vAlign w:val="center"/>
          </w:tcPr>
          <w:p w14:paraId="6A87C68A">
            <w:pPr>
              <w:snapToGrid w:val="0"/>
              <w:spacing w:line="320" w:lineRule="exact"/>
              <w:jc w:val="center"/>
              <w:rPr>
                <w:rFonts w:ascii="宋体" w:hAnsi="宋体" w:cs="宋体"/>
                <w:b/>
                <w:color w:val="auto"/>
                <w:szCs w:val="21"/>
              </w:rPr>
            </w:pPr>
            <w:r>
              <w:rPr>
                <w:rFonts w:hint="eastAsia" w:ascii="宋体" w:hAnsi="宋体"/>
                <w:b/>
                <w:color w:val="auto"/>
                <w:highlight w:val="none"/>
              </w:rPr>
              <w:t>（七）验收标准</w:t>
            </w:r>
          </w:p>
        </w:tc>
        <w:tc>
          <w:tcPr>
            <w:tcW w:w="7135" w:type="dxa"/>
            <w:gridSpan w:val="2"/>
            <w:vAlign w:val="center"/>
          </w:tcPr>
          <w:p w14:paraId="1579E531">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w:t>
            </w:r>
            <w:r>
              <w:rPr>
                <w:rFonts w:hint="eastAsia" w:ascii="宋体" w:hAnsi="宋体" w:cs="宋体"/>
                <w:color w:val="auto"/>
                <w:szCs w:val="21"/>
                <w:highlight w:val="none"/>
              </w:rPr>
              <w:t xml:space="preserve">验收工作由采购人组织，包括但不限于以下形式：供应商维修、保养完毕后，向采购人提供维修、保养报告单，采购人派人进行验收，并在维修工单上签字确认；验收按照本采购文件、供应商的响应文件承诺、厂家标准及相应的质量标准要求执行。 </w:t>
            </w:r>
          </w:p>
          <w:p w14:paraId="0A536B85">
            <w:pPr>
              <w:spacing w:line="360" w:lineRule="exact"/>
              <w:rPr>
                <w:rFonts w:ascii="宋体" w:hAnsi="宋体" w:cs="宋体"/>
                <w:b w:val="0"/>
                <w:bCs w:val="0"/>
                <w:color w:val="auto"/>
                <w:szCs w:val="21"/>
              </w:rPr>
            </w:pPr>
            <w:r>
              <w:rPr>
                <w:rFonts w:hint="eastAsia" w:ascii="宋体" w:hAnsi="宋体" w:cs="宋体"/>
                <w:color w:val="auto"/>
                <w:szCs w:val="21"/>
                <w:highlight w:val="none"/>
              </w:rPr>
              <w:t>2</w:t>
            </w:r>
            <w:r>
              <w:rPr>
                <w:rFonts w:ascii="宋体" w:hAnsi="宋体" w:cs="宋体"/>
                <w:color w:val="auto"/>
                <w:szCs w:val="21"/>
                <w:highlight w:val="none"/>
              </w:rPr>
              <w:t>.</w:t>
            </w:r>
            <w:r>
              <w:rPr>
                <w:rFonts w:hint="eastAsia" w:ascii="宋体" w:hAnsi="宋体" w:cs="宋体"/>
                <w:color w:val="auto"/>
                <w:szCs w:val="21"/>
                <w:highlight w:val="none"/>
              </w:rPr>
              <w:t>验收不通过的，根据采购人意见进行整改，直到验收通过为止，期间产生的相关费用由供应商承担。</w:t>
            </w:r>
          </w:p>
        </w:tc>
      </w:tr>
      <w:tr w14:paraId="1BEBD3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1659" w:type="dxa"/>
            <w:gridSpan w:val="2"/>
            <w:vAlign w:val="center"/>
          </w:tcPr>
          <w:p w14:paraId="63957C21">
            <w:pPr>
              <w:snapToGrid w:val="0"/>
              <w:spacing w:line="320" w:lineRule="exact"/>
              <w:jc w:val="center"/>
              <w:rPr>
                <w:rFonts w:hint="eastAsia" w:ascii="宋体" w:hAnsi="宋体"/>
                <w:b/>
                <w:color w:val="auto"/>
                <w:highlight w:val="none"/>
              </w:rPr>
            </w:pPr>
            <w:r>
              <w:rPr>
                <w:rFonts w:hint="eastAsia" w:ascii="宋体" w:hAnsi="宋体"/>
                <w:b/>
                <w:color w:val="auto"/>
                <w:highlight w:val="none"/>
              </w:rPr>
              <w:t>（八）违约情形</w:t>
            </w:r>
          </w:p>
        </w:tc>
        <w:tc>
          <w:tcPr>
            <w:tcW w:w="7135" w:type="dxa"/>
            <w:gridSpan w:val="2"/>
            <w:vAlign w:val="center"/>
          </w:tcPr>
          <w:p w14:paraId="1C303F6F">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供应商有下列情形之一的，视为违约：</w:t>
            </w:r>
          </w:p>
          <w:p w14:paraId="6745733A">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（1）无正当理由拒绝承接采购人业务 2 次以上（含 2 次）的；</w:t>
            </w:r>
          </w:p>
          <w:p w14:paraId="43EEE1FF">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（2）擅自提高服务的价格的；</w:t>
            </w:r>
          </w:p>
          <w:p w14:paraId="603A628B">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（3）达不到合同规定的质量标准，以次充好，提供假冒伪劣产品的；</w:t>
            </w:r>
          </w:p>
          <w:p w14:paraId="356B5AEA">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（4）出现重大责任事故的；</w:t>
            </w:r>
          </w:p>
          <w:p w14:paraId="07341BD4">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（5）拒绝接受监督、检查的；</w:t>
            </w:r>
          </w:p>
          <w:p w14:paraId="18DBB4C2">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（6）不如实反映情况，提供虚假材料的；</w:t>
            </w:r>
          </w:p>
          <w:p w14:paraId="036C960C">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（7）服务期限内，被行业行政主管部门取消行业经营资格的；</w:t>
            </w:r>
          </w:p>
          <w:p w14:paraId="3AE2487D">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（8）其他违反法律法规和采购合同的行为。</w:t>
            </w:r>
          </w:p>
        </w:tc>
      </w:tr>
      <w:tr w14:paraId="113F3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1659" w:type="dxa"/>
            <w:gridSpan w:val="2"/>
            <w:vAlign w:val="center"/>
          </w:tcPr>
          <w:p w14:paraId="79EBEA62">
            <w:pPr>
              <w:snapToGrid w:val="0"/>
              <w:spacing w:line="320" w:lineRule="exact"/>
              <w:jc w:val="center"/>
              <w:rPr>
                <w:rFonts w:hint="eastAsia" w:ascii="宋体" w:hAnsi="宋体"/>
                <w:b/>
                <w:color w:val="auto"/>
                <w:highlight w:val="none"/>
              </w:rPr>
            </w:pPr>
            <w:r>
              <w:rPr>
                <w:rFonts w:hint="eastAsia" w:ascii="宋体" w:hAnsi="宋体"/>
                <w:b/>
                <w:color w:val="auto"/>
                <w:highlight w:val="none"/>
              </w:rPr>
              <w:t>（十）其他要求</w:t>
            </w:r>
          </w:p>
        </w:tc>
        <w:tc>
          <w:tcPr>
            <w:tcW w:w="7135" w:type="dxa"/>
            <w:gridSpan w:val="2"/>
            <w:vAlign w:val="center"/>
          </w:tcPr>
          <w:p w14:paraId="0B5C3C58">
            <w:pPr>
              <w:adjustRightInd w:val="0"/>
              <w:snapToGrid w:val="0"/>
              <w:spacing w:line="360" w:lineRule="exact"/>
              <w:rPr>
                <w:rFonts w:hint="eastAsia" w:ascii="宋体" w:hAnsi="宋体" w:cs="宋体"/>
                <w:color w:val="auto"/>
                <w:szCs w:val="21"/>
                <w:highlight w:val="none"/>
              </w:rPr>
            </w:pPr>
            <w:r>
              <w:rPr>
                <w:rFonts w:hint="eastAsia" w:ascii="宋体" w:hAnsi="宋体" w:cs="宋体"/>
                <w:color w:val="auto"/>
                <w:szCs w:val="21"/>
                <w:highlight w:val="none"/>
              </w:rPr>
              <w:t xml:space="preserve">1.供应商不得以任何方式转包或分包本项目。 </w:t>
            </w:r>
          </w:p>
          <w:p w14:paraId="3C0F0AD0">
            <w:pPr>
              <w:adjustRightInd w:val="0"/>
              <w:snapToGrid w:val="0"/>
              <w:spacing w:line="360" w:lineRule="exact"/>
              <w:rPr>
                <w:rFonts w:hint="eastAsia" w:ascii="宋体" w:hAnsi="宋体" w:cs="宋体"/>
                <w:color w:val="auto"/>
                <w:szCs w:val="21"/>
                <w:highlight w:val="none"/>
              </w:rPr>
            </w:pPr>
            <w:r>
              <w:rPr>
                <w:rFonts w:hint="eastAsia" w:ascii="宋体" w:hAnsi="宋体" w:cs="宋体"/>
                <w:color w:val="auto"/>
                <w:szCs w:val="21"/>
                <w:highlight w:val="none"/>
              </w:rPr>
              <w:t xml:space="preserve">2.供应商提供的服务不得侵犯第三者知识产权。如发生侵权行为，供应商必须自行为其提供产品或服务侵犯其他专利人的专利成果承担相应法律责任，如因侵犯他人专利权造成采购人损失的，还应赔偿采购人损失。 </w:t>
            </w:r>
          </w:p>
          <w:p w14:paraId="62450530">
            <w:pPr>
              <w:adjustRightInd w:val="0"/>
              <w:snapToGrid w:val="0"/>
              <w:spacing w:line="360" w:lineRule="exact"/>
              <w:rPr>
                <w:rFonts w:hint="eastAsia" w:ascii="宋体" w:hAnsi="宋体" w:cs="宋体"/>
                <w:color w:val="auto"/>
                <w:szCs w:val="21"/>
                <w:highlight w:val="none"/>
              </w:rPr>
            </w:pPr>
            <w:r>
              <w:rPr>
                <w:rFonts w:hint="eastAsia" w:ascii="宋体" w:hAnsi="宋体" w:cs="宋体"/>
                <w:color w:val="auto"/>
                <w:szCs w:val="21"/>
                <w:highlight w:val="none"/>
              </w:rPr>
              <w:t>3.除政府采购法规定的情形外，合同执行期间遇到下列情形之一时，可终止并无条件解除合同：1）遇到不可抗力因素导致合同无法继续执行的；2）采购人因报废、更新淘汰维保设备不再使用的。</w:t>
            </w:r>
          </w:p>
          <w:p w14:paraId="7BBD99AB">
            <w:pPr>
              <w:adjustRightInd w:val="0"/>
              <w:snapToGrid w:val="0"/>
              <w:spacing w:line="360" w:lineRule="exact"/>
              <w:rPr>
                <w:rFonts w:hint="eastAsia" w:ascii="宋体" w:hAnsi="宋体" w:cs="宋体"/>
                <w:color w:val="auto"/>
                <w:szCs w:val="21"/>
                <w:highlight w:val="none"/>
              </w:rPr>
            </w:pPr>
            <w:r>
              <w:rPr>
                <w:rFonts w:hint="eastAsia" w:ascii="宋体" w:hAnsi="宋体" w:cs="宋体"/>
                <w:color w:val="auto"/>
                <w:szCs w:val="21"/>
                <w:highlight w:val="none"/>
              </w:rPr>
              <w:t>4.对解除合同</w:t>
            </w:r>
            <w:r>
              <w:rPr>
                <w:rFonts w:hint="eastAsia" w:ascii="宋体" w:hAnsi="宋体" w:cs="宋体"/>
                <w:b w:val="0"/>
                <w:bCs w:val="0"/>
                <w:color w:val="auto"/>
                <w:szCs w:val="21"/>
                <w:highlight w:val="none"/>
              </w:rPr>
              <w:t>的情形，采购人按供应商已提供服务的天数支付服务费（费用计算为：成交总额÷365天÷3年×已提供服</w:t>
            </w:r>
            <w:r>
              <w:rPr>
                <w:rFonts w:hint="eastAsia" w:ascii="宋体" w:hAnsi="宋体" w:cs="宋体"/>
                <w:color w:val="auto"/>
                <w:szCs w:val="21"/>
                <w:highlight w:val="none"/>
              </w:rPr>
              <w:t>务的天数），不再支付其他费用。</w:t>
            </w:r>
          </w:p>
          <w:p w14:paraId="46A86FE1">
            <w:pPr>
              <w:adjustRightInd w:val="0"/>
              <w:snapToGrid w:val="0"/>
              <w:spacing w:line="360" w:lineRule="exact"/>
              <w:rPr>
                <w:rFonts w:hint="eastAsia" w:ascii="宋体" w:hAnsi="宋体" w:cs="宋体"/>
                <w:color w:val="auto"/>
                <w:szCs w:val="21"/>
                <w:highlight w:val="none"/>
              </w:rPr>
            </w:pPr>
            <w:r>
              <w:rPr>
                <w:rFonts w:hint="eastAsia" w:ascii="宋体" w:hAnsi="宋体" w:cs="宋体"/>
                <w:color w:val="auto"/>
                <w:szCs w:val="21"/>
                <w:highlight w:val="none"/>
              </w:rPr>
              <w:t>5.签订合同后，采购人可要求成交供应商提供响应文件中相关材料的原件（如响应文件中供应商提供的相关证明材料、证书及其他采购人认为需要查询的材料）进行核实，成交供应商必须按照采购人的要求在7个工作日内提供，否则采购人有权按照合同条款追究成交供应商的违约责任，并上报财政部门进行处理。</w:t>
            </w:r>
          </w:p>
          <w:p w14:paraId="62C1E44E">
            <w:pPr>
              <w:adjustRightInd w:val="0"/>
              <w:snapToGrid w:val="0"/>
              <w:spacing w:line="360" w:lineRule="exact"/>
              <w:rPr>
                <w:rFonts w:hint="eastAsia" w:ascii="宋体" w:hAnsi="宋体" w:cs="宋体"/>
                <w:color w:val="auto"/>
                <w:szCs w:val="21"/>
                <w:highlight w:val="none"/>
              </w:rPr>
            </w:pPr>
            <w:r>
              <w:rPr>
                <w:rFonts w:ascii="宋体" w:hAnsi="宋体" w:cs="宋体"/>
                <w:color w:val="auto"/>
                <w:szCs w:val="21"/>
                <w:highlight w:val="none"/>
              </w:rPr>
              <w:t>6.</w:t>
            </w:r>
            <w:r>
              <w:rPr>
                <w:rFonts w:hint="eastAsia" w:ascii="宋体" w:hAnsi="宋体" w:cs="宋体"/>
                <w:color w:val="auto"/>
                <w:szCs w:val="21"/>
                <w:highlight w:val="none"/>
              </w:rPr>
              <w:t>供应商成立至今维修工作中未发生重大责任事故。存在隐瞒或欺骗行为，一经查实，取消成交资格。</w:t>
            </w:r>
          </w:p>
          <w:p w14:paraId="0C7ED5B3">
            <w:pPr>
              <w:adjustRightInd w:val="0"/>
              <w:snapToGrid w:val="0"/>
              <w:spacing w:line="360" w:lineRule="exact"/>
              <w:rPr>
                <w:rFonts w:hint="eastAsia" w:ascii="宋体" w:hAnsi="宋体" w:cs="宋体"/>
                <w:color w:val="auto"/>
                <w:szCs w:val="21"/>
                <w:highlight w:val="none"/>
              </w:rPr>
            </w:pPr>
            <w:r>
              <w:rPr>
                <w:rFonts w:ascii="宋体" w:hAnsi="宋体" w:cs="宋体"/>
                <w:color w:val="auto"/>
                <w:szCs w:val="21"/>
                <w:highlight w:val="none"/>
              </w:rPr>
              <w:t>7.</w:t>
            </w:r>
            <w:r>
              <w:rPr>
                <w:rFonts w:hint="eastAsia" w:ascii="宋体" w:hAnsi="宋体" w:cs="宋体"/>
                <w:color w:val="auto"/>
                <w:szCs w:val="21"/>
                <w:highlight w:val="none"/>
              </w:rPr>
              <w:t>供应商须保证其在过去三年的任何政府采购活动中没有提供虚假材料谋取中标/成交的行为，否则，取消其成交资格。</w:t>
            </w:r>
          </w:p>
          <w:p w14:paraId="288843E6">
            <w:pPr>
              <w:adjustRightInd w:val="0"/>
              <w:snapToGrid w:val="0"/>
              <w:spacing w:line="360" w:lineRule="exact"/>
              <w:rPr>
                <w:rFonts w:hint="eastAsia" w:ascii="宋体" w:hAnsi="宋体" w:cs="宋体"/>
                <w:color w:val="auto"/>
                <w:szCs w:val="21"/>
                <w:highlight w:val="none"/>
              </w:rPr>
            </w:pPr>
            <w:r>
              <w:rPr>
                <w:rFonts w:ascii="宋体" w:hAnsi="宋体" w:cs="宋体"/>
                <w:color w:val="auto"/>
                <w:szCs w:val="21"/>
                <w:highlight w:val="none"/>
              </w:rPr>
              <w:t>8.</w:t>
            </w:r>
            <w:r>
              <w:rPr>
                <w:rFonts w:hint="eastAsia" w:ascii="宋体" w:hAnsi="宋体" w:cs="宋体"/>
                <w:color w:val="auto"/>
                <w:szCs w:val="21"/>
                <w:highlight w:val="none"/>
              </w:rPr>
              <w:t>供应商于响应文件中对所有采购需求要求做出真实、有效的响应和承诺，否则按虚假或不实响应处理，其响应文件无效。</w:t>
            </w:r>
          </w:p>
          <w:p w14:paraId="7ECC265B">
            <w:pPr>
              <w:adjustRightInd w:val="0"/>
              <w:snapToGrid w:val="0"/>
              <w:spacing w:line="360" w:lineRule="exact"/>
              <w:rPr>
                <w:rFonts w:hint="eastAsia" w:ascii="宋体" w:hAnsi="宋体" w:cs="宋体"/>
                <w:color w:val="auto"/>
                <w:szCs w:val="21"/>
                <w:highlight w:val="none"/>
              </w:rPr>
            </w:pPr>
            <w:r>
              <w:rPr>
                <w:rFonts w:ascii="宋体" w:hAnsi="宋体" w:cs="宋体"/>
                <w:color w:val="auto"/>
                <w:szCs w:val="21"/>
                <w:highlight w:val="none"/>
              </w:rPr>
              <w:t>9.</w:t>
            </w:r>
            <w:r>
              <w:rPr>
                <w:rFonts w:hint="eastAsia" w:ascii="宋体" w:hAnsi="宋体" w:cs="宋体"/>
                <w:color w:val="auto"/>
                <w:szCs w:val="21"/>
                <w:highlight w:val="none"/>
              </w:rPr>
              <w:t>其他未尽事宜由采购人和成交供应商在采购合同中详细约定。</w:t>
            </w:r>
          </w:p>
        </w:tc>
      </w:tr>
      <w:tr w14:paraId="7C4F4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9" w:hRule="atLeast"/>
          <w:jc w:val="center"/>
        </w:trPr>
        <w:tc>
          <w:tcPr>
            <w:tcW w:w="8794" w:type="dxa"/>
            <w:gridSpan w:val="4"/>
            <w:vAlign w:val="center"/>
          </w:tcPr>
          <w:p w14:paraId="6446ACE6">
            <w:pPr>
              <w:spacing w:line="400" w:lineRule="exact"/>
              <w:rPr>
                <w:rFonts w:ascii="宋体" w:hAnsi="宋体" w:cs="宋体"/>
                <w:b/>
                <w:color w:val="auto"/>
                <w:szCs w:val="21"/>
              </w:rPr>
            </w:pPr>
            <w:r>
              <w:rPr>
                <w:rFonts w:hint="eastAsia" w:ascii="宋体" w:hAnsi="宋体" w:cs="宋体"/>
                <w:b/>
                <w:color w:val="auto"/>
                <w:szCs w:val="21"/>
              </w:rPr>
              <w:t>三、与实现项目目标相关的要求</w:t>
            </w:r>
          </w:p>
        </w:tc>
      </w:tr>
      <w:tr w14:paraId="62330E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8" w:hRule="atLeast"/>
          <w:jc w:val="center"/>
        </w:trPr>
        <w:tc>
          <w:tcPr>
            <w:tcW w:w="1659" w:type="dxa"/>
            <w:gridSpan w:val="2"/>
            <w:vAlign w:val="center"/>
          </w:tcPr>
          <w:p w14:paraId="117055F5">
            <w:pPr>
              <w:spacing w:line="400" w:lineRule="exact"/>
              <w:jc w:val="center"/>
              <w:rPr>
                <w:rFonts w:ascii="宋体" w:hAnsi="宋体" w:cs="宋体"/>
                <w:color w:val="auto"/>
                <w:szCs w:val="21"/>
              </w:rPr>
            </w:pPr>
            <w:r>
              <w:rPr>
                <w:rFonts w:hint="eastAsia" w:ascii="宋体" w:hAnsi="宋体"/>
                <w:color w:val="auto"/>
                <w:szCs w:val="21"/>
                <w:highlight w:val="none"/>
              </w:rPr>
              <w:t>（一）</w:t>
            </w:r>
            <w:r>
              <w:rPr>
                <w:rFonts w:hint="eastAsia" w:ascii="宋体" w:hAnsi="宋体"/>
                <w:bCs/>
                <w:color w:val="auto"/>
                <w:kern w:val="0"/>
                <w:szCs w:val="21"/>
              </w:rPr>
              <w:t>项目实施方案</w:t>
            </w:r>
          </w:p>
        </w:tc>
        <w:tc>
          <w:tcPr>
            <w:tcW w:w="7135" w:type="dxa"/>
            <w:gridSpan w:val="2"/>
            <w:vAlign w:val="top"/>
          </w:tcPr>
          <w:p w14:paraId="1B2CEE07">
            <w:pPr>
              <w:spacing w:line="400" w:lineRule="exact"/>
              <w:rPr>
                <w:rFonts w:hint="eastAsia" w:ascii="宋体" w:hAnsi="宋体"/>
                <w:color w:val="auto"/>
                <w:szCs w:val="21"/>
                <w:highlight w:val="none"/>
              </w:rPr>
            </w:pPr>
            <w:r>
              <w:rPr>
                <w:rFonts w:hint="eastAsia" w:ascii="宋体" w:hAnsi="宋体"/>
                <w:color w:val="auto"/>
                <w:szCs w:val="21"/>
                <w:highlight w:val="none"/>
              </w:rPr>
              <w:t>供应商根据项目要求和自身情况，于响应文件中提供</w:t>
            </w:r>
            <w:r>
              <w:rPr>
                <w:rFonts w:hint="eastAsia" w:ascii="宋体" w:hAnsi="宋体"/>
                <w:bCs/>
                <w:color w:val="auto"/>
                <w:kern w:val="0"/>
                <w:szCs w:val="21"/>
              </w:rPr>
              <w:t>项目实施方案</w:t>
            </w:r>
            <w:r>
              <w:rPr>
                <w:rFonts w:hint="eastAsia" w:ascii="宋体" w:hAnsi="宋体"/>
                <w:color w:val="auto"/>
                <w:szCs w:val="21"/>
                <w:highlight w:val="none"/>
              </w:rPr>
              <w:t>，</w:t>
            </w:r>
            <w:r>
              <w:rPr>
                <w:rFonts w:hint="eastAsia" w:ascii="宋体" w:hAnsi="宋体"/>
                <w:bCs/>
                <w:color w:val="auto"/>
                <w:kern w:val="0"/>
                <w:szCs w:val="21"/>
              </w:rPr>
              <w:t>包含但不限于：①</w:t>
            </w:r>
            <w:r>
              <w:rPr>
                <w:rFonts w:hint="eastAsia" w:hAnsi="宋体" w:cs="宋体"/>
                <w:color w:val="auto"/>
              </w:rPr>
              <w:t>维保实施方案</w:t>
            </w:r>
            <w:r>
              <w:rPr>
                <w:rFonts w:hint="eastAsia" w:ascii="宋体" w:hAnsi="宋体"/>
                <w:bCs/>
                <w:color w:val="auto"/>
                <w:kern w:val="0"/>
                <w:szCs w:val="21"/>
              </w:rPr>
              <w:t>；②</w:t>
            </w:r>
            <w:r>
              <w:rPr>
                <w:rFonts w:hint="eastAsia" w:hAnsi="宋体" w:cs="宋体"/>
                <w:color w:val="auto"/>
              </w:rPr>
              <w:t>服务计划</w:t>
            </w:r>
            <w:r>
              <w:rPr>
                <w:rFonts w:hint="eastAsia" w:ascii="宋体" w:hAnsi="宋体"/>
                <w:bCs/>
                <w:color w:val="auto"/>
                <w:kern w:val="0"/>
                <w:szCs w:val="21"/>
              </w:rPr>
              <w:t>；③</w:t>
            </w:r>
            <w:r>
              <w:rPr>
                <w:rFonts w:hint="eastAsia" w:hAnsi="宋体" w:cs="宋体"/>
                <w:color w:val="auto"/>
              </w:rPr>
              <w:t>各项服务流程</w:t>
            </w:r>
            <w:r>
              <w:rPr>
                <w:rFonts w:hint="eastAsia" w:ascii="宋体" w:hAnsi="宋体"/>
                <w:bCs/>
                <w:color w:val="auto"/>
                <w:kern w:val="0"/>
                <w:szCs w:val="21"/>
              </w:rPr>
              <w:t>；④应急处理措施等</w:t>
            </w:r>
            <w:r>
              <w:rPr>
                <w:rFonts w:hint="eastAsia" w:ascii="宋体" w:hAnsi="宋体"/>
                <w:color w:val="auto"/>
                <w:szCs w:val="21"/>
                <w:highlight w:val="none"/>
              </w:rPr>
              <w:t>。</w:t>
            </w:r>
          </w:p>
          <w:p w14:paraId="53431874">
            <w:pPr>
              <w:spacing w:line="400" w:lineRule="exact"/>
              <w:rPr>
                <w:rFonts w:ascii="宋体" w:hAnsi="宋体" w:cs="宋体"/>
                <w:color w:val="auto"/>
                <w:szCs w:val="21"/>
              </w:rPr>
            </w:pPr>
            <w:r>
              <w:rPr>
                <w:rFonts w:hint="eastAsia" w:ascii="宋体" w:hAnsi="宋体"/>
                <w:color w:val="auto"/>
                <w:szCs w:val="21"/>
                <w:highlight w:val="none"/>
              </w:rPr>
              <w:t>注：</w:t>
            </w:r>
            <w:r>
              <w:rPr>
                <w:rFonts w:hint="eastAsia" w:ascii="宋体" w:hAnsi="宋体"/>
                <w:bCs/>
                <w:color w:val="auto"/>
                <w:kern w:val="0"/>
                <w:szCs w:val="21"/>
              </w:rPr>
              <w:t>项目实施方案</w:t>
            </w:r>
            <w:r>
              <w:rPr>
                <w:rFonts w:hint="eastAsia" w:ascii="宋体" w:hAnsi="宋体"/>
                <w:color w:val="auto"/>
                <w:szCs w:val="21"/>
                <w:highlight w:val="none"/>
              </w:rPr>
              <w:t>评分详见“第四章 评审办法”。</w:t>
            </w:r>
          </w:p>
        </w:tc>
      </w:tr>
      <w:tr w14:paraId="38B91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2" w:hRule="atLeast"/>
          <w:jc w:val="center"/>
        </w:trPr>
        <w:tc>
          <w:tcPr>
            <w:tcW w:w="1659" w:type="dxa"/>
            <w:gridSpan w:val="2"/>
            <w:vAlign w:val="center"/>
          </w:tcPr>
          <w:p w14:paraId="30C67ACE">
            <w:pPr>
              <w:spacing w:line="400" w:lineRule="exact"/>
              <w:jc w:val="center"/>
              <w:rPr>
                <w:rFonts w:ascii="宋体" w:hAnsi="宋体" w:cs="宋体"/>
                <w:color w:val="auto"/>
                <w:szCs w:val="21"/>
              </w:rPr>
            </w:pPr>
            <w:r>
              <w:rPr>
                <w:rFonts w:hint="eastAsia" w:ascii="宋体" w:hAnsi="宋体"/>
                <w:color w:val="auto"/>
                <w:szCs w:val="21"/>
                <w:highlight w:val="none"/>
              </w:rPr>
              <w:t>（二）</w:t>
            </w:r>
            <w:r>
              <w:rPr>
                <w:rFonts w:hint="eastAsia" w:ascii="宋体" w:hAnsi="宋体" w:cs="宋体"/>
                <w:color w:val="auto"/>
                <w:szCs w:val="21"/>
              </w:rPr>
              <w:t>拟投入维护保养实施人员方案</w:t>
            </w:r>
          </w:p>
        </w:tc>
        <w:tc>
          <w:tcPr>
            <w:tcW w:w="7135" w:type="dxa"/>
            <w:gridSpan w:val="2"/>
            <w:vAlign w:val="top"/>
          </w:tcPr>
          <w:p w14:paraId="72288A64">
            <w:pPr>
              <w:spacing w:line="400" w:lineRule="exact"/>
              <w:rPr>
                <w:rFonts w:ascii="宋体" w:hAnsi="宋体"/>
                <w:color w:val="auto"/>
                <w:szCs w:val="21"/>
                <w:highlight w:val="none"/>
              </w:rPr>
            </w:pPr>
            <w:r>
              <w:rPr>
                <w:rFonts w:hint="eastAsia" w:ascii="宋体" w:hAnsi="宋体"/>
                <w:color w:val="auto"/>
                <w:szCs w:val="21"/>
                <w:highlight w:val="none"/>
              </w:rPr>
              <w:t>供应商根据项目要求和自身情况，于响应文件中提供</w:t>
            </w:r>
            <w:r>
              <w:rPr>
                <w:rFonts w:hint="eastAsia" w:ascii="宋体" w:hAnsi="宋体" w:cs="宋体"/>
                <w:color w:val="auto"/>
                <w:szCs w:val="21"/>
              </w:rPr>
              <w:t>拟投入维护保养实施人员方案</w:t>
            </w:r>
            <w:r>
              <w:rPr>
                <w:rFonts w:hint="eastAsia" w:ascii="宋体" w:hAnsi="宋体"/>
                <w:color w:val="auto"/>
                <w:szCs w:val="21"/>
                <w:highlight w:val="none"/>
              </w:rPr>
              <w:t>，包括但不限于组织机构、人员配置、服务配置等。</w:t>
            </w:r>
          </w:p>
          <w:p w14:paraId="01C79355">
            <w:pPr>
              <w:spacing w:line="400" w:lineRule="exact"/>
              <w:rPr>
                <w:rFonts w:ascii="宋体" w:hAnsi="宋体" w:cs="宋体"/>
                <w:b/>
                <w:bCs/>
                <w:color w:val="auto"/>
                <w:szCs w:val="21"/>
              </w:rPr>
            </w:pPr>
            <w:r>
              <w:rPr>
                <w:rFonts w:hint="eastAsia" w:ascii="宋体" w:hAnsi="宋体"/>
                <w:color w:val="auto"/>
                <w:szCs w:val="21"/>
                <w:highlight w:val="none"/>
              </w:rPr>
              <w:t>注：</w:t>
            </w:r>
            <w:r>
              <w:rPr>
                <w:rFonts w:hint="eastAsia" w:ascii="宋体" w:hAnsi="宋体" w:cs="宋体"/>
                <w:color w:val="auto"/>
                <w:szCs w:val="21"/>
              </w:rPr>
              <w:t>拟投入维护保养实施人员方案</w:t>
            </w:r>
            <w:r>
              <w:rPr>
                <w:rFonts w:hint="eastAsia" w:ascii="宋体" w:hAnsi="宋体"/>
                <w:color w:val="auto"/>
                <w:szCs w:val="21"/>
                <w:highlight w:val="none"/>
              </w:rPr>
              <w:t>评分详见“第四章 评审办法”。</w:t>
            </w:r>
          </w:p>
        </w:tc>
      </w:tr>
      <w:tr w14:paraId="4825E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2" w:hRule="atLeast"/>
          <w:jc w:val="center"/>
        </w:trPr>
        <w:tc>
          <w:tcPr>
            <w:tcW w:w="1659" w:type="dxa"/>
            <w:gridSpan w:val="2"/>
            <w:vAlign w:val="center"/>
          </w:tcPr>
          <w:p w14:paraId="7083A214">
            <w:pPr>
              <w:spacing w:line="400" w:lineRule="exact"/>
              <w:jc w:val="center"/>
              <w:rPr>
                <w:rFonts w:ascii="宋体" w:hAnsi="宋体" w:cs="宋体"/>
                <w:color w:val="auto"/>
                <w:szCs w:val="21"/>
              </w:rPr>
            </w:pPr>
            <w:r>
              <w:rPr>
                <w:rFonts w:hint="eastAsia" w:ascii="宋体" w:hAnsi="宋体"/>
                <w:color w:val="auto"/>
                <w:szCs w:val="21"/>
                <w:highlight w:val="none"/>
              </w:rPr>
              <w:t>（三）</w:t>
            </w:r>
            <w:r>
              <w:rPr>
                <w:rFonts w:hint="eastAsia" w:ascii="宋体" w:hAnsi="宋体" w:cs="宋体"/>
                <w:color w:val="auto"/>
                <w:szCs w:val="21"/>
              </w:rPr>
              <w:t>培训方案</w:t>
            </w:r>
          </w:p>
        </w:tc>
        <w:tc>
          <w:tcPr>
            <w:tcW w:w="7135" w:type="dxa"/>
            <w:gridSpan w:val="2"/>
            <w:vAlign w:val="top"/>
          </w:tcPr>
          <w:p w14:paraId="5B356BF4">
            <w:pPr>
              <w:spacing w:line="400" w:lineRule="exact"/>
              <w:rPr>
                <w:rFonts w:ascii="宋体" w:hAnsi="宋体"/>
                <w:color w:val="auto"/>
                <w:szCs w:val="21"/>
                <w:highlight w:val="none"/>
              </w:rPr>
            </w:pPr>
            <w:r>
              <w:rPr>
                <w:rFonts w:hint="eastAsia" w:ascii="宋体" w:hAnsi="宋体"/>
                <w:color w:val="auto"/>
                <w:szCs w:val="21"/>
                <w:highlight w:val="none"/>
              </w:rPr>
              <w:t>供应商根据项目要求和自身情况，于响应文件中提供</w:t>
            </w:r>
            <w:r>
              <w:rPr>
                <w:rFonts w:hint="eastAsia" w:ascii="宋体" w:hAnsi="宋体" w:cs="宋体"/>
                <w:color w:val="auto"/>
                <w:szCs w:val="21"/>
              </w:rPr>
              <w:t>培训方案</w:t>
            </w:r>
            <w:r>
              <w:rPr>
                <w:rFonts w:hint="eastAsia" w:ascii="宋体" w:hAnsi="宋体"/>
                <w:color w:val="auto"/>
                <w:szCs w:val="21"/>
                <w:highlight w:val="none"/>
              </w:rPr>
              <w:t>，</w:t>
            </w:r>
            <w:r>
              <w:rPr>
                <w:rFonts w:hint="eastAsia" w:ascii="宋体" w:hAnsi="宋体"/>
                <w:color w:val="auto"/>
                <w:szCs w:val="21"/>
              </w:rPr>
              <w:t>包含但不限于：①</w:t>
            </w:r>
            <w:r>
              <w:rPr>
                <w:rFonts w:hint="eastAsia" w:hAnsi="宋体" w:cs="宋体"/>
                <w:bCs/>
                <w:color w:val="auto"/>
              </w:rPr>
              <w:t>师资人员安排</w:t>
            </w:r>
            <w:r>
              <w:rPr>
                <w:rFonts w:hint="eastAsia" w:ascii="宋体" w:hAnsi="宋体"/>
                <w:color w:val="auto"/>
                <w:szCs w:val="21"/>
              </w:rPr>
              <w:t>；②</w:t>
            </w:r>
            <w:r>
              <w:rPr>
                <w:rFonts w:hint="eastAsia" w:hAnsi="宋体" w:cs="宋体"/>
                <w:bCs/>
                <w:color w:val="auto"/>
              </w:rPr>
              <w:t>培训内容安排（包括设备功能理论及设备应用培训计划、设备常见问题的基本维修及保养、操作培训计划</w:t>
            </w:r>
            <w:r>
              <w:rPr>
                <w:rFonts w:hint="eastAsia" w:ascii="宋体" w:hAnsi="宋体"/>
                <w:color w:val="auto"/>
                <w:szCs w:val="21"/>
              </w:rPr>
              <w:t>等</w:t>
            </w:r>
            <w:r>
              <w:rPr>
                <w:rFonts w:hint="eastAsia" w:ascii="宋体" w:hAnsi="宋体"/>
                <w:color w:val="auto"/>
                <w:szCs w:val="21"/>
                <w:highlight w:val="none"/>
              </w:rPr>
              <w:t>。</w:t>
            </w:r>
          </w:p>
          <w:p w14:paraId="69EF22A8">
            <w:pPr>
              <w:spacing w:line="400" w:lineRule="exact"/>
              <w:rPr>
                <w:rFonts w:ascii="宋体" w:hAnsi="宋体" w:cs="宋体"/>
                <w:color w:val="auto"/>
                <w:szCs w:val="21"/>
              </w:rPr>
            </w:pPr>
            <w:r>
              <w:rPr>
                <w:rFonts w:hint="eastAsia" w:ascii="宋体" w:hAnsi="宋体"/>
                <w:color w:val="auto"/>
                <w:szCs w:val="21"/>
                <w:highlight w:val="none"/>
              </w:rPr>
              <w:t>注：</w:t>
            </w:r>
            <w:r>
              <w:rPr>
                <w:rFonts w:hint="eastAsia" w:ascii="宋体" w:hAnsi="宋体" w:cs="宋体"/>
                <w:color w:val="auto"/>
                <w:szCs w:val="21"/>
              </w:rPr>
              <w:t>培训方</w:t>
            </w:r>
            <w:r>
              <w:rPr>
                <w:rFonts w:hint="eastAsia" w:ascii="宋体" w:hAnsi="宋体" w:cs="宋体"/>
                <w:color w:val="auto"/>
                <w:szCs w:val="21"/>
                <w:lang w:eastAsia="zh-CN"/>
              </w:rPr>
              <w:t>案</w:t>
            </w:r>
            <w:r>
              <w:rPr>
                <w:rFonts w:hint="eastAsia" w:ascii="宋体" w:hAnsi="宋体"/>
                <w:color w:val="auto"/>
                <w:szCs w:val="21"/>
                <w:highlight w:val="none"/>
              </w:rPr>
              <w:t>评分详见“第四章 评审办法”。</w:t>
            </w:r>
          </w:p>
        </w:tc>
      </w:tr>
      <w:tr w14:paraId="04884A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jc w:val="center"/>
        </w:trPr>
        <w:tc>
          <w:tcPr>
            <w:tcW w:w="1659" w:type="dxa"/>
            <w:gridSpan w:val="2"/>
            <w:vAlign w:val="center"/>
          </w:tcPr>
          <w:p w14:paraId="58113AC7">
            <w:pPr>
              <w:spacing w:line="400" w:lineRule="exact"/>
              <w:jc w:val="center"/>
              <w:rPr>
                <w:rFonts w:ascii="宋体" w:hAnsi="宋体" w:cs="宋体"/>
                <w:b/>
                <w:i/>
                <w:color w:val="auto"/>
                <w:szCs w:val="21"/>
              </w:rPr>
            </w:pPr>
            <w:r>
              <w:rPr>
                <w:rFonts w:hint="eastAsia" w:ascii="宋体" w:hAnsi="宋体"/>
                <w:color w:val="auto"/>
                <w:szCs w:val="21"/>
                <w:highlight w:val="none"/>
              </w:rPr>
              <w:t>（</w:t>
            </w:r>
            <w:r>
              <w:rPr>
                <w:rFonts w:hint="eastAsia" w:ascii="宋体" w:hAnsi="宋体"/>
                <w:color w:val="auto"/>
                <w:szCs w:val="21"/>
                <w:highlight w:val="none"/>
                <w:lang w:eastAsia="zh-CN"/>
              </w:rPr>
              <w:t>四</w:t>
            </w:r>
            <w:r>
              <w:rPr>
                <w:rFonts w:hint="eastAsia" w:ascii="宋体" w:hAnsi="宋体"/>
                <w:color w:val="auto"/>
                <w:szCs w:val="21"/>
                <w:highlight w:val="none"/>
              </w:rPr>
              <w:t>）履约能力</w:t>
            </w:r>
          </w:p>
        </w:tc>
        <w:tc>
          <w:tcPr>
            <w:tcW w:w="7135" w:type="dxa"/>
            <w:gridSpan w:val="2"/>
            <w:vAlign w:val="top"/>
          </w:tcPr>
          <w:p w14:paraId="7473E8F8">
            <w:pPr>
              <w:spacing w:line="400" w:lineRule="exact"/>
              <w:rPr>
                <w:rFonts w:ascii="宋体" w:hAnsi="宋体"/>
                <w:color w:val="auto"/>
                <w:szCs w:val="21"/>
                <w:highlight w:val="none"/>
              </w:rPr>
            </w:pPr>
            <w:r>
              <w:rPr>
                <w:rFonts w:hint="eastAsia" w:ascii="宋体" w:hAnsi="宋体"/>
                <w:color w:val="auto"/>
                <w:szCs w:val="21"/>
                <w:highlight w:val="none"/>
              </w:rPr>
              <w:t>供应商在合同履约方面具备良好的履约能力并于响应文件中提供相关有效证明材料复印件。</w:t>
            </w:r>
          </w:p>
          <w:p w14:paraId="5161177D">
            <w:pPr>
              <w:spacing w:line="400" w:lineRule="exact"/>
              <w:rPr>
                <w:rFonts w:ascii="宋体" w:hAnsi="宋体" w:cs="宋体"/>
                <w:b/>
                <w:i/>
                <w:color w:val="auto"/>
                <w:szCs w:val="21"/>
              </w:rPr>
            </w:pPr>
            <w:r>
              <w:rPr>
                <w:rFonts w:hint="eastAsia" w:ascii="宋体" w:hAnsi="宋体"/>
                <w:color w:val="auto"/>
                <w:szCs w:val="21"/>
                <w:highlight w:val="none"/>
              </w:rPr>
              <w:t>注：履约能力评分详见“第四章 评审办法”。</w:t>
            </w:r>
          </w:p>
        </w:tc>
      </w:tr>
    </w:tbl>
    <w:p w14:paraId="0579ECDA">
      <w:pPr>
        <w:pStyle w:val="3"/>
        <w:spacing w:before="0" w:after="0" w:line="600" w:lineRule="exact"/>
        <w:jc w:val="center"/>
        <w:rPr>
          <w:color w:val="auto"/>
        </w:rPr>
      </w:pPr>
    </w:p>
    <w:p w14:paraId="15138A8C">
      <w:pPr>
        <w:pStyle w:val="3"/>
        <w:keepNext w:val="0"/>
        <w:wordWrap w:val="0"/>
        <w:spacing w:before="0" w:after="0" w:line="600" w:lineRule="exact"/>
        <w:jc w:val="center"/>
        <w:rPr>
          <w:color w:val="auto"/>
        </w:rPr>
      </w:pPr>
    </w:p>
    <w:p w14:paraId="55AB36A0">
      <w:pPr>
        <w:rPr>
          <w:color w:val="auto"/>
        </w:rPr>
      </w:pPr>
    </w:p>
    <w:p w14:paraId="185A7C96">
      <w:pPr>
        <w:rPr>
          <w:color w:val="auto"/>
        </w:rPr>
      </w:pPr>
    </w:p>
    <w:p w14:paraId="6E84BCCE">
      <w:pPr>
        <w:rPr>
          <w:color w:val="auto"/>
        </w:rPr>
      </w:pPr>
    </w:p>
    <w:p w14:paraId="636E1F6E">
      <w:pPr>
        <w:rPr>
          <w:color w:val="auto"/>
        </w:rPr>
      </w:pPr>
    </w:p>
    <w:p w14:paraId="6F680963">
      <w:pPr>
        <w:rPr>
          <w:color w:val="auto"/>
        </w:rPr>
      </w:pPr>
    </w:p>
    <w:p w14:paraId="0268C402">
      <w:pPr>
        <w:rPr>
          <w:color w:val="auto"/>
        </w:rPr>
      </w:pPr>
    </w:p>
    <w:p w14:paraId="4EA11733">
      <w:pPr>
        <w:rPr>
          <w:color w:val="auto"/>
        </w:rPr>
      </w:pPr>
    </w:p>
    <w:p w14:paraId="2C6F06C0">
      <w:pPr>
        <w:rPr>
          <w:color w:val="auto"/>
        </w:rPr>
      </w:pPr>
    </w:p>
    <w:p w14:paraId="07295288">
      <w:pPr>
        <w:rPr>
          <w:color w:val="auto"/>
        </w:rPr>
      </w:pPr>
    </w:p>
    <w:p w14:paraId="24ABF011">
      <w:pPr>
        <w:rPr>
          <w:color w:val="auto"/>
        </w:rPr>
      </w:pPr>
    </w:p>
    <w:p w14:paraId="15D36117">
      <w:pPr>
        <w:rPr>
          <w:color w:val="auto"/>
        </w:rPr>
      </w:pPr>
    </w:p>
    <w:p w14:paraId="14143231">
      <w:pPr>
        <w:rPr>
          <w:color w:val="auto"/>
        </w:rPr>
      </w:pPr>
    </w:p>
    <w:p w14:paraId="3EE2ADE7">
      <w:pPr>
        <w:rPr>
          <w:color w:val="auto"/>
        </w:rPr>
      </w:pPr>
    </w:p>
    <w:p w14:paraId="155F4D6D">
      <w:pPr>
        <w:rPr>
          <w:color w:val="auto"/>
        </w:rPr>
      </w:pPr>
    </w:p>
    <w:p w14:paraId="4C0005E6">
      <w:pPr>
        <w:rPr>
          <w:color w:val="auto"/>
        </w:rPr>
      </w:pPr>
    </w:p>
    <w:p w14:paraId="434C43D9">
      <w:pPr>
        <w:pStyle w:val="2"/>
        <w:rPr>
          <w:color w:val="auto"/>
        </w:rPr>
      </w:pPr>
    </w:p>
    <w:p w14:paraId="4F1E87C9">
      <w:pPr>
        <w:pStyle w:val="2"/>
        <w:rPr>
          <w:color w:val="auto"/>
        </w:rPr>
      </w:pPr>
    </w:p>
    <w:p w14:paraId="60B4FE47">
      <w:pPr>
        <w:rPr>
          <w:color w:val="auto"/>
        </w:rPr>
      </w:pPr>
    </w:p>
    <w:p w14:paraId="3061CE32">
      <w:pPr>
        <w:widowControl/>
        <w:jc w:val="left"/>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附表：</w:t>
      </w:r>
    </w:p>
    <w:p w14:paraId="3DC559E0">
      <w:pPr>
        <w:pStyle w:val="2"/>
        <w:jc w:val="center"/>
        <w:rPr>
          <w:rFonts w:hint="eastAsia"/>
          <w:b/>
          <w:color w:val="auto"/>
          <w:sz w:val="28"/>
          <w:szCs w:val="28"/>
          <w:highlight w:val="none"/>
        </w:rPr>
      </w:pPr>
      <w:r>
        <w:rPr>
          <w:rFonts w:hint="eastAsia"/>
          <w:b/>
          <w:color w:val="auto"/>
          <w:sz w:val="28"/>
          <w:szCs w:val="28"/>
          <w:highlight w:val="none"/>
        </w:rPr>
        <w:t>中小企业划型标准规定</w:t>
      </w:r>
    </w:p>
    <w:p w14:paraId="554DAE36">
      <w:pPr>
        <w:pStyle w:val="2"/>
        <w:jc w:val="center"/>
        <w:rPr>
          <w:rFonts w:ascii="宋体" w:hAnsi="宋体"/>
          <w:color w:val="auto"/>
          <w:szCs w:val="21"/>
          <w:highlight w:val="none"/>
        </w:rPr>
      </w:pPr>
      <w:r>
        <w:rPr>
          <w:rFonts w:hint="eastAsia" w:ascii="宋体" w:hAnsi="宋体"/>
          <w:color w:val="auto"/>
          <w:szCs w:val="21"/>
          <w:highlight w:val="none"/>
        </w:rPr>
        <w:t>工信部联企业〔2011〕300号</w:t>
      </w:r>
    </w:p>
    <w:p w14:paraId="52AA7187">
      <w:pPr>
        <w:pStyle w:val="2"/>
        <w:rPr>
          <w:rFonts w:hint="eastAsia"/>
          <w:color w:val="auto"/>
          <w:sz w:val="24"/>
          <w:szCs w:val="21"/>
          <w:highlight w:val="none"/>
        </w:rPr>
      </w:pPr>
    </w:p>
    <w:p w14:paraId="0D34E43F">
      <w:pPr>
        <w:pStyle w:val="2"/>
        <w:spacing w:after="0" w:line="360" w:lineRule="exact"/>
        <w:ind w:firstLine="420" w:firstLineChars="200"/>
        <w:rPr>
          <w:rFonts w:ascii="宋体" w:hAnsi="宋体"/>
          <w:color w:val="auto"/>
          <w:szCs w:val="21"/>
          <w:highlight w:val="none"/>
        </w:rPr>
      </w:pPr>
      <w:r>
        <w:rPr>
          <w:rFonts w:hint="eastAsia" w:ascii="宋体" w:hAnsi="宋体"/>
          <w:color w:val="auto"/>
          <w:szCs w:val="21"/>
          <w:highlight w:val="none"/>
        </w:rPr>
        <w:t>一、根据《中华人民共和国中小企业促进法》和《国务院关于进一步促进中小企业发展的若干意见》</w:t>
      </w:r>
      <w:r>
        <w:rPr>
          <w:rFonts w:ascii="宋体" w:hAnsi="宋体"/>
          <w:color w:val="auto"/>
          <w:szCs w:val="21"/>
          <w:highlight w:val="none"/>
        </w:rPr>
        <w:t>(</w:t>
      </w:r>
      <w:r>
        <w:rPr>
          <w:rFonts w:hint="eastAsia" w:ascii="宋体" w:hAnsi="宋体"/>
          <w:color w:val="auto"/>
          <w:szCs w:val="21"/>
          <w:highlight w:val="none"/>
        </w:rPr>
        <w:t>国发〔</w:t>
      </w:r>
      <w:r>
        <w:rPr>
          <w:rFonts w:ascii="宋体" w:hAnsi="宋体"/>
          <w:color w:val="auto"/>
          <w:szCs w:val="21"/>
          <w:highlight w:val="none"/>
        </w:rPr>
        <w:t>2009</w:t>
      </w:r>
      <w:r>
        <w:rPr>
          <w:rFonts w:hint="eastAsia" w:ascii="宋体" w:hAnsi="宋体"/>
          <w:color w:val="auto"/>
          <w:szCs w:val="21"/>
          <w:highlight w:val="none"/>
        </w:rPr>
        <w:t>〕</w:t>
      </w:r>
      <w:r>
        <w:rPr>
          <w:rFonts w:ascii="宋体" w:hAnsi="宋体"/>
          <w:color w:val="auto"/>
          <w:szCs w:val="21"/>
          <w:highlight w:val="none"/>
        </w:rPr>
        <w:t>36</w:t>
      </w:r>
      <w:r>
        <w:rPr>
          <w:rFonts w:hint="eastAsia" w:ascii="宋体" w:hAnsi="宋体"/>
          <w:color w:val="auto"/>
          <w:szCs w:val="21"/>
          <w:highlight w:val="none"/>
        </w:rPr>
        <w:t>号</w:t>
      </w:r>
      <w:r>
        <w:rPr>
          <w:rFonts w:ascii="宋体" w:hAnsi="宋体"/>
          <w:color w:val="auto"/>
          <w:szCs w:val="21"/>
          <w:highlight w:val="none"/>
        </w:rPr>
        <w:t>)</w:t>
      </w:r>
      <w:r>
        <w:rPr>
          <w:rFonts w:hint="eastAsia" w:ascii="宋体" w:hAnsi="宋体"/>
          <w:color w:val="auto"/>
          <w:szCs w:val="21"/>
          <w:highlight w:val="none"/>
        </w:rPr>
        <w:t>，制定本规定。</w:t>
      </w:r>
    </w:p>
    <w:p w14:paraId="010A5770">
      <w:pPr>
        <w:pStyle w:val="2"/>
        <w:spacing w:after="0" w:line="360" w:lineRule="exact"/>
        <w:ind w:firstLine="420" w:firstLineChars="200"/>
        <w:rPr>
          <w:rFonts w:ascii="宋体" w:hAnsi="宋体"/>
          <w:color w:val="auto"/>
          <w:szCs w:val="21"/>
          <w:highlight w:val="none"/>
        </w:rPr>
      </w:pPr>
      <w:r>
        <w:rPr>
          <w:rFonts w:hint="eastAsia" w:ascii="宋体" w:hAnsi="宋体"/>
          <w:color w:val="auto"/>
          <w:szCs w:val="21"/>
          <w:highlight w:val="none"/>
        </w:rPr>
        <w:t>二、中小企业划分为中型、小型、微型三种类型，具体标准根据企业从业人员、营业收入、资产总额等指标，结合行业特点制定。</w:t>
      </w:r>
    </w:p>
    <w:p w14:paraId="7097EA04">
      <w:pPr>
        <w:pStyle w:val="2"/>
        <w:spacing w:after="0" w:line="360" w:lineRule="exact"/>
        <w:ind w:firstLine="420" w:firstLineChars="200"/>
        <w:rPr>
          <w:rFonts w:ascii="宋体" w:hAnsi="宋体"/>
          <w:color w:val="auto"/>
          <w:szCs w:val="21"/>
          <w:highlight w:val="none"/>
        </w:rPr>
      </w:pPr>
      <w:r>
        <w:rPr>
          <w:rFonts w:hint="eastAsia" w:ascii="宋体" w:hAnsi="宋体"/>
          <w:color w:val="auto"/>
          <w:szCs w:val="21"/>
          <w:highlight w:val="none"/>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42DB7A3D">
      <w:pPr>
        <w:pStyle w:val="2"/>
        <w:spacing w:after="0" w:line="360" w:lineRule="exact"/>
        <w:ind w:firstLine="420" w:firstLineChars="200"/>
        <w:rPr>
          <w:rFonts w:ascii="宋体" w:hAnsi="宋体"/>
          <w:color w:val="auto"/>
          <w:szCs w:val="21"/>
          <w:highlight w:val="none"/>
        </w:rPr>
      </w:pPr>
      <w:r>
        <w:rPr>
          <w:rFonts w:hint="eastAsia" w:ascii="宋体" w:hAnsi="宋体"/>
          <w:color w:val="auto"/>
          <w:szCs w:val="21"/>
          <w:highlight w:val="none"/>
        </w:rPr>
        <w:t>四、各行业划型标准为：</w:t>
      </w:r>
    </w:p>
    <w:p w14:paraId="59B25899">
      <w:pPr>
        <w:pStyle w:val="2"/>
        <w:spacing w:after="0" w:line="360" w:lineRule="exact"/>
        <w:ind w:firstLine="420" w:firstLineChars="200"/>
        <w:rPr>
          <w:rFonts w:ascii="宋体" w:hAnsi="宋体"/>
          <w:color w:val="auto"/>
          <w:szCs w:val="21"/>
          <w:highlight w:val="none"/>
        </w:rPr>
      </w:pPr>
      <w:r>
        <w:rPr>
          <w:rFonts w:hint="eastAsia" w:ascii="宋体" w:hAnsi="宋体"/>
          <w:color w:val="auto"/>
          <w:szCs w:val="21"/>
          <w:highlight w:val="none"/>
        </w:rPr>
        <w:t>（一）农、林、牧、渔业。营业收入</w:t>
      </w:r>
      <w:r>
        <w:rPr>
          <w:rFonts w:ascii="宋体" w:hAnsi="宋体"/>
          <w:color w:val="auto"/>
          <w:szCs w:val="21"/>
          <w:highlight w:val="none"/>
        </w:rPr>
        <w:t>20000</w:t>
      </w:r>
      <w:r>
        <w:rPr>
          <w:rFonts w:hint="eastAsia" w:ascii="宋体" w:hAnsi="宋体"/>
          <w:color w:val="auto"/>
          <w:szCs w:val="21"/>
          <w:highlight w:val="none"/>
        </w:rPr>
        <w:t>万元以下的为中小微型企业。其中，营业收入</w:t>
      </w:r>
      <w:r>
        <w:rPr>
          <w:rFonts w:ascii="宋体" w:hAnsi="宋体"/>
          <w:color w:val="auto"/>
          <w:szCs w:val="21"/>
          <w:highlight w:val="none"/>
        </w:rPr>
        <w:t>500</w:t>
      </w:r>
      <w:r>
        <w:rPr>
          <w:rFonts w:hint="eastAsia" w:ascii="宋体" w:hAnsi="宋体"/>
          <w:color w:val="auto"/>
          <w:szCs w:val="21"/>
          <w:highlight w:val="none"/>
        </w:rPr>
        <w:t>万元及以上的为中型企业，营业收入</w:t>
      </w:r>
      <w:r>
        <w:rPr>
          <w:rFonts w:ascii="宋体" w:hAnsi="宋体"/>
          <w:color w:val="auto"/>
          <w:szCs w:val="21"/>
          <w:highlight w:val="none"/>
        </w:rPr>
        <w:t>50</w:t>
      </w:r>
      <w:r>
        <w:rPr>
          <w:rFonts w:hint="eastAsia" w:ascii="宋体" w:hAnsi="宋体"/>
          <w:color w:val="auto"/>
          <w:szCs w:val="21"/>
          <w:highlight w:val="none"/>
        </w:rPr>
        <w:t>万元及以上的为小型企业，营业收入</w:t>
      </w:r>
      <w:r>
        <w:rPr>
          <w:rFonts w:ascii="宋体" w:hAnsi="宋体"/>
          <w:color w:val="auto"/>
          <w:szCs w:val="21"/>
          <w:highlight w:val="none"/>
        </w:rPr>
        <w:t>50</w:t>
      </w:r>
      <w:r>
        <w:rPr>
          <w:rFonts w:hint="eastAsia" w:ascii="宋体" w:hAnsi="宋体"/>
          <w:color w:val="auto"/>
          <w:szCs w:val="21"/>
          <w:highlight w:val="none"/>
        </w:rPr>
        <w:t>万元以下的为微型企业。</w:t>
      </w:r>
    </w:p>
    <w:p w14:paraId="043E62AF">
      <w:pPr>
        <w:pStyle w:val="2"/>
        <w:spacing w:after="0" w:line="360" w:lineRule="exact"/>
        <w:ind w:firstLine="420" w:firstLineChars="200"/>
        <w:rPr>
          <w:rFonts w:ascii="宋体" w:hAnsi="宋体"/>
          <w:color w:val="auto"/>
          <w:szCs w:val="21"/>
          <w:highlight w:val="none"/>
        </w:rPr>
      </w:pPr>
      <w:r>
        <w:rPr>
          <w:rFonts w:hint="eastAsia" w:ascii="宋体" w:hAnsi="宋体"/>
          <w:color w:val="auto"/>
          <w:szCs w:val="21"/>
          <w:highlight w:val="none"/>
        </w:rPr>
        <w:t>（二）工业。从业人员</w:t>
      </w:r>
      <w:r>
        <w:rPr>
          <w:rFonts w:ascii="宋体" w:hAnsi="宋体"/>
          <w:color w:val="auto"/>
          <w:szCs w:val="21"/>
          <w:highlight w:val="none"/>
        </w:rPr>
        <w:t>1000</w:t>
      </w:r>
      <w:r>
        <w:rPr>
          <w:rFonts w:hint="eastAsia" w:ascii="宋体" w:hAnsi="宋体"/>
          <w:color w:val="auto"/>
          <w:szCs w:val="21"/>
          <w:highlight w:val="none"/>
        </w:rPr>
        <w:t>人以下或营业收入</w:t>
      </w:r>
      <w:r>
        <w:rPr>
          <w:rFonts w:ascii="宋体" w:hAnsi="宋体"/>
          <w:color w:val="auto"/>
          <w:szCs w:val="21"/>
          <w:highlight w:val="none"/>
        </w:rPr>
        <w:t>40000</w:t>
      </w:r>
      <w:r>
        <w:rPr>
          <w:rFonts w:hint="eastAsia" w:ascii="宋体" w:hAnsi="宋体"/>
          <w:color w:val="auto"/>
          <w:szCs w:val="21"/>
          <w:highlight w:val="none"/>
        </w:rPr>
        <w:t>万元以下的为中小微型企业。其中，从业人员</w:t>
      </w:r>
      <w:r>
        <w:rPr>
          <w:rFonts w:ascii="宋体" w:hAnsi="宋体"/>
          <w:color w:val="auto"/>
          <w:szCs w:val="21"/>
          <w:highlight w:val="none"/>
        </w:rPr>
        <w:t>300</w:t>
      </w:r>
      <w:r>
        <w:rPr>
          <w:rFonts w:hint="eastAsia" w:ascii="宋体" w:hAnsi="宋体"/>
          <w:color w:val="auto"/>
          <w:szCs w:val="21"/>
          <w:highlight w:val="none"/>
        </w:rPr>
        <w:t>人及以上，且营业收入</w:t>
      </w:r>
      <w:r>
        <w:rPr>
          <w:rFonts w:ascii="宋体" w:hAnsi="宋体"/>
          <w:color w:val="auto"/>
          <w:szCs w:val="21"/>
          <w:highlight w:val="none"/>
        </w:rPr>
        <w:t>2000</w:t>
      </w:r>
      <w:r>
        <w:rPr>
          <w:rFonts w:hint="eastAsia" w:ascii="宋体" w:hAnsi="宋体"/>
          <w:color w:val="auto"/>
          <w:szCs w:val="21"/>
          <w:highlight w:val="none"/>
        </w:rPr>
        <w:t>万元及以上的为中型企业；从业人员</w:t>
      </w:r>
      <w:r>
        <w:rPr>
          <w:rFonts w:ascii="宋体" w:hAnsi="宋体"/>
          <w:color w:val="auto"/>
          <w:szCs w:val="21"/>
          <w:highlight w:val="none"/>
        </w:rPr>
        <w:t>20</w:t>
      </w:r>
      <w:r>
        <w:rPr>
          <w:rFonts w:hint="eastAsia" w:ascii="宋体" w:hAnsi="宋体"/>
          <w:color w:val="auto"/>
          <w:szCs w:val="21"/>
          <w:highlight w:val="none"/>
        </w:rPr>
        <w:t>人及以上，且营业收入</w:t>
      </w:r>
      <w:r>
        <w:rPr>
          <w:rFonts w:ascii="宋体" w:hAnsi="宋体"/>
          <w:color w:val="auto"/>
          <w:szCs w:val="21"/>
          <w:highlight w:val="none"/>
        </w:rPr>
        <w:t>300</w:t>
      </w:r>
      <w:r>
        <w:rPr>
          <w:rFonts w:hint="eastAsia" w:ascii="宋体" w:hAnsi="宋体"/>
          <w:color w:val="auto"/>
          <w:szCs w:val="21"/>
          <w:highlight w:val="none"/>
        </w:rPr>
        <w:t>万元及以上的为小型企业；从业人员</w:t>
      </w:r>
      <w:r>
        <w:rPr>
          <w:rFonts w:ascii="宋体" w:hAnsi="宋体"/>
          <w:color w:val="auto"/>
          <w:szCs w:val="21"/>
          <w:highlight w:val="none"/>
        </w:rPr>
        <w:t>20</w:t>
      </w:r>
      <w:r>
        <w:rPr>
          <w:rFonts w:hint="eastAsia" w:ascii="宋体" w:hAnsi="宋体"/>
          <w:color w:val="auto"/>
          <w:szCs w:val="21"/>
          <w:highlight w:val="none"/>
        </w:rPr>
        <w:t>人以下或营业收入</w:t>
      </w:r>
      <w:r>
        <w:rPr>
          <w:rFonts w:ascii="宋体" w:hAnsi="宋体"/>
          <w:color w:val="auto"/>
          <w:szCs w:val="21"/>
          <w:highlight w:val="none"/>
        </w:rPr>
        <w:t>300</w:t>
      </w:r>
      <w:r>
        <w:rPr>
          <w:rFonts w:hint="eastAsia" w:ascii="宋体" w:hAnsi="宋体"/>
          <w:color w:val="auto"/>
          <w:szCs w:val="21"/>
          <w:highlight w:val="none"/>
        </w:rPr>
        <w:t>万元以下的为微型企业。</w:t>
      </w:r>
    </w:p>
    <w:p w14:paraId="70E4789B">
      <w:pPr>
        <w:pStyle w:val="2"/>
        <w:spacing w:after="0" w:line="360" w:lineRule="exact"/>
        <w:ind w:firstLine="420" w:firstLineChars="200"/>
        <w:rPr>
          <w:rFonts w:ascii="宋体" w:hAnsi="宋体"/>
          <w:color w:val="auto"/>
          <w:szCs w:val="21"/>
          <w:highlight w:val="none"/>
        </w:rPr>
      </w:pPr>
      <w:r>
        <w:rPr>
          <w:rFonts w:hint="eastAsia" w:ascii="宋体" w:hAnsi="宋体"/>
          <w:color w:val="auto"/>
          <w:szCs w:val="21"/>
          <w:highlight w:val="none"/>
        </w:rPr>
        <w:t>（三）建筑业。营业收入</w:t>
      </w:r>
      <w:r>
        <w:rPr>
          <w:rFonts w:ascii="宋体" w:hAnsi="宋体"/>
          <w:color w:val="auto"/>
          <w:szCs w:val="21"/>
          <w:highlight w:val="none"/>
        </w:rPr>
        <w:t>80000</w:t>
      </w:r>
      <w:r>
        <w:rPr>
          <w:rFonts w:hint="eastAsia" w:ascii="宋体" w:hAnsi="宋体"/>
          <w:color w:val="auto"/>
          <w:szCs w:val="21"/>
          <w:highlight w:val="none"/>
        </w:rPr>
        <w:t>万元以下或资产总额</w:t>
      </w:r>
      <w:r>
        <w:rPr>
          <w:rFonts w:ascii="宋体" w:hAnsi="宋体"/>
          <w:color w:val="auto"/>
          <w:szCs w:val="21"/>
          <w:highlight w:val="none"/>
        </w:rPr>
        <w:t>80000</w:t>
      </w:r>
      <w:r>
        <w:rPr>
          <w:rFonts w:hint="eastAsia" w:ascii="宋体" w:hAnsi="宋体"/>
          <w:color w:val="auto"/>
          <w:szCs w:val="21"/>
          <w:highlight w:val="none"/>
        </w:rPr>
        <w:t>万元以下的为中小微型企业。其中，营业收入</w:t>
      </w:r>
      <w:r>
        <w:rPr>
          <w:rFonts w:ascii="宋体" w:hAnsi="宋体"/>
          <w:color w:val="auto"/>
          <w:szCs w:val="21"/>
          <w:highlight w:val="none"/>
        </w:rPr>
        <w:t>6000</w:t>
      </w:r>
      <w:r>
        <w:rPr>
          <w:rFonts w:hint="eastAsia" w:ascii="宋体" w:hAnsi="宋体"/>
          <w:color w:val="auto"/>
          <w:szCs w:val="21"/>
          <w:highlight w:val="none"/>
        </w:rPr>
        <w:t>万元及以上，且资产总额</w:t>
      </w:r>
      <w:r>
        <w:rPr>
          <w:rFonts w:ascii="宋体" w:hAnsi="宋体"/>
          <w:color w:val="auto"/>
          <w:szCs w:val="21"/>
          <w:highlight w:val="none"/>
        </w:rPr>
        <w:t>5000</w:t>
      </w:r>
      <w:r>
        <w:rPr>
          <w:rFonts w:hint="eastAsia" w:ascii="宋体" w:hAnsi="宋体"/>
          <w:color w:val="auto"/>
          <w:szCs w:val="21"/>
          <w:highlight w:val="none"/>
        </w:rPr>
        <w:t>万元及以上的为中型企业；营业收入</w:t>
      </w:r>
      <w:r>
        <w:rPr>
          <w:rFonts w:ascii="宋体" w:hAnsi="宋体"/>
          <w:color w:val="auto"/>
          <w:szCs w:val="21"/>
          <w:highlight w:val="none"/>
        </w:rPr>
        <w:t>300</w:t>
      </w:r>
      <w:r>
        <w:rPr>
          <w:rFonts w:hint="eastAsia" w:ascii="宋体" w:hAnsi="宋体"/>
          <w:color w:val="auto"/>
          <w:szCs w:val="21"/>
          <w:highlight w:val="none"/>
        </w:rPr>
        <w:t>万元及以上，且资产总额</w:t>
      </w:r>
      <w:r>
        <w:rPr>
          <w:rFonts w:ascii="宋体" w:hAnsi="宋体"/>
          <w:color w:val="auto"/>
          <w:szCs w:val="21"/>
          <w:highlight w:val="none"/>
        </w:rPr>
        <w:t>300</w:t>
      </w:r>
      <w:r>
        <w:rPr>
          <w:rFonts w:hint="eastAsia" w:ascii="宋体" w:hAnsi="宋体"/>
          <w:color w:val="auto"/>
          <w:szCs w:val="21"/>
          <w:highlight w:val="none"/>
        </w:rPr>
        <w:t>万元及以上的为小型企业；营业收入</w:t>
      </w:r>
      <w:r>
        <w:rPr>
          <w:rFonts w:ascii="宋体" w:hAnsi="宋体"/>
          <w:color w:val="auto"/>
          <w:szCs w:val="21"/>
          <w:highlight w:val="none"/>
        </w:rPr>
        <w:t>300</w:t>
      </w:r>
      <w:r>
        <w:rPr>
          <w:rFonts w:hint="eastAsia" w:ascii="宋体" w:hAnsi="宋体"/>
          <w:color w:val="auto"/>
          <w:szCs w:val="21"/>
          <w:highlight w:val="none"/>
        </w:rPr>
        <w:t>万元以下或资产总额</w:t>
      </w:r>
      <w:r>
        <w:rPr>
          <w:rFonts w:ascii="宋体" w:hAnsi="宋体"/>
          <w:color w:val="auto"/>
          <w:szCs w:val="21"/>
          <w:highlight w:val="none"/>
        </w:rPr>
        <w:t>300</w:t>
      </w:r>
      <w:r>
        <w:rPr>
          <w:rFonts w:hint="eastAsia" w:ascii="宋体" w:hAnsi="宋体"/>
          <w:color w:val="auto"/>
          <w:szCs w:val="21"/>
          <w:highlight w:val="none"/>
        </w:rPr>
        <w:t>万元以下的为微型企业。</w:t>
      </w:r>
    </w:p>
    <w:p w14:paraId="1786237C">
      <w:pPr>
        <w:pStyle w:val="2"/>
        <w:spacing w:after="0" w:line="360" w:lineRule="exact"/>
        <w:ind w:firstLine="420" w:firstLineChars="200"/>
        <w:rPr>
          <w:rFonts w:ascii="宋体" w:hAnsi="宋体"/>
          <w:color w:val="auto"/>
          <w:szCs w:val="21"/>
          <w:highlight w:val="none"/>
        </w:rPr>
      </w:pPr>
      <w:r>
        <w:rPr>
          <w:rFonts w:hint="eastAsia" w:ascii="宋体" w:hAnsi="宋体"/>
          <w:color w:val="auto"/>
          <w:szCs w:val="21"/>
          <w:highlight w:val="none"/>
        </w:rPr>
        <w:t>（四）批发业。从业人员</w:t>
      </w:r>
      <w:r>
        <w:rPr>
          <w:rFonts w:ascii="宋体" w:hAnsi="宋体"/>
          <w:color w:val="auto"/>
          <w:szCs w:val="21"/>
          <w:highlight w:val="none"/>
        </w:rPr>
        <w:t>200</w:t>
      </w:r>
      <w:r>
        <w:rPr>
          <w:rFonts w:hint="eastAsia" w:ascii="宋体" w:hAnsi="宋体"/>
          <w:color w:val="auto"/>
          <w:szCs w:val="21"/>
          <w:highlight w:val="none"/>
        </w:rPr>
        <w:t>人以下或营业收入</w:t>
      </w:r>
      <w:r>
        <w:rPr>
          <w:rFonts w:ascii="宋体" w:hAnsi="宋体"/>
          <w:color w:val="auto"/>
          <w:szCs w:val="21"/>
          <w:highlight w:val="none"/>
        </w:rPr>
        <w:t>40000</w:t>
      </w:r>
      <w:r>
        <w:rPr>
          <w:rFonts w:hint="eastAsia" w:ascii="宋体" w:hAnsi="宋体"/>
          <w:color w:val="auto"/>
          <w:szCs w:val="21"/>
          <w:highlight w:val="none"/>
        </w:rPr>
        <w:t>万元以下的为中小微型企业。其中，从业人员</w:t>
      </w:r>
      <w:r>
        <w:rPr>
          <w:rFonts w:ascii="宋体" w:hAnsi="宋体"/>
          <w:color w:val="auto"/>
          <w:szCs w:val="21"/>
          <w:highlight w:val="none"/>
        </w:rPr>
        <w:t>20</w:t>
      </w:r>
      <w:r>
        <w:rPr>
          <w:rFonts w:hint="eastAsia" w:ascii="宋体" w:hAnsi="宋体"/>
          <w:color w:val="auto"/>
          <w:szCs w:val="21"/>
          <w:highlight w:val="none"/>
        </w:rPr>
        <w:t>人及以上，且营业收入</w:t>
      </w:r>
      <w:r>
        <w:rPr>
          <w:rFonts w:ascii="宋体" w:hAnsi="宋体"/>
          <w:color w:val="auto"/>
          <w:szCs w:val="21"/>
          <w:highlight w:val="none"/>
        </w:rPr>
        <w:t>5000</w:t>
      </w:r>
      <w:r>
        <w:rPr>
          <w:rFonts w:hint="eastAsia" w:ascii="宋体" w:hAnsi="宋体"/>
          <w:color w:val="auto"/>
          <w:szCs w:val="21"/>
          <w:highlight w:val="none"/>
        </w:rPr>
        <w:t>万元及以上的为中型企业；从业人员</w:t>
      </w:r>
      <w:r>
        <w:rPr>
          <w:rFonts w:ascii="宋体" w:hAnsi="宋体"/>
          <w:color w:val="auto"/>
          <w:szCs w:val="21"/>
          <w:highlight w:val="none"/>
        </w:rPr>
        <w:t>5</w:t>
      </w:r>
      <w:r>
        <w:rPr>
          <w:rFonts w:hint="eastAsia" w:ascii="宋体" w:hAnsi="宋体"/>
          <w:color w:val="auto"/>
          <w:szCs w:val="21"/>
          <w:highlight w:val="none"/>
        </w:rPr>
        <w:t>人及以上，且营业收入</w:t>
      </w:r>
      <w:r>
        <w:rPr>
          <w:rFonts w:ascii="宋体" w:hAnsi="宋体"/>
          <w:color w:val="auto"/>
          <w:szCs w:val="21"/>
          <w:highlight w:val="none"/>
        </w:rPr>
        <w:t>1000</w:t>
      </w:r>
      <w:r>
        <w:rPr>
          <w:rFonts w:hint="eastAsia" w:ascii="宋体" w:hAnsi="宋体"/>
          <w:color w:val="auto"/>
          <w:szCs w:val="21"/>
          <w:highlight w:val="none"/>
        </w:rPr>
        <w:t>万元及以上的为小型企业；从业人员</w:t>
      </w:r>
      <w:r>
        <w:rPr>
          <w:rFonts w:ascii="宋体" w:hAnsi="宋体"/>
          <w:color w:val="auto"/>
          <w:szCs w:val="21"/>
          <w:highlight w:val="none"/>
        </w:rPr>
        <w:t>5</w:t>
      </w:r>
      <w:r>
        <w:rPr>
          <w:rFonts w:hint="eastAsia" w:ascii="宋体" w:hAnsi="宋体"/>
          <w:color w:val="auto"/>
          <w:szCs w:val="21"/>
          <w:highlight w:val="none"/>
        </w:rPr>
        <w:t>人以下或营业收入</w:t>
      </w:r>
      <w:r>
        <w:rPr>
          <w:rFonts w:ascii="宋体" w:hAnsi="宋体"/>
          <w:color w:val="auto"/>
          <w:szCs w:val="21"/>
          <w:highlight w:val="none"/>
        </w:rPr>
        <w:t>1000</w:t>
      </w:r>
      <w:r>
        <w:rPr>
          <w:rFonts w:hint="eastAsia" w:ascii="宋体" w:hAnsi="宋体"/>
          <w:color w:val="auto"/>
          <w:szCs w:val="21"/>
          <w:highlight w:val="none"/>
        </w:rPr>
        <w:t>万元以下的为微型企业。</w:t>
      </w:r>
    </w:p>
    <w:p w14:paraId="6A32F7A9">
      <w:pPr>
        <w:pStyle w:val="2"/>
        <w:spacing w:after="0" w:line="360" w:lineRule="exact"/>
        <w:ind w:firstLine="420" w:firstLineChars="200"/>
        <w:rPr>
          <w:rFonts w:ascii="宋体" w:hAnsi="宋体"/>
          <w:color w:val="auto"/>
          <w:szCs w:val="21"/>
          <w:highlight w:val="none"/>
        </w:rPr>
      </w:pPr>
      <w:r>
        <w:rPr>
          <w:rFonts w:hint="eastAsia" w:ascii="宋体" w:hAnsi="宋体"/>
          <w:color w:val="auto"/>
          <w:szCs w:val="21"/>
          <w:highlight w:val="none"/>
        </w:rPr>
        <w:t>（五）零售业。从业人员</w:t>
      </w:r>
      <w:r>
        <w:rPr>
          <w:rFonts w:ascii="宋体" w:hAnsi="宋体"/>
          <w:color w:val="auto"/>
          <w:szCs w:val="21"/>
          <w:highlight w:val="none"/>
        </w:rPr>
        <w:t>300</w:t>
      </w:r>
      <w:r>
        <w:rPr>
          <w:rFonts w:hint="eastAsia" w:ascii="宋体" w:hAnsi="宋体"/>
          <w:color w:val="auto"/>
          <w:szCs w:val="21"/>
          <w:highlight w:val="none"/>
        </w:rPr>
        <w:t>人以下或营业收入</w:t>
      </w:r>
      <w:r>
        <w:rPr>
          <w:rFonts w:ascii="宋体" w:hAnsi="宋体"/>
          <w:color w:val="auto"/>
          <w:szCs w:val="21"/>
          <w:highlight w:val="none"/>
        </w:rPr>
        <w:t>20000</w:t>
      </w:r>
      <w:r>
        <w:rPr>
          <w:rFonts w:hint="eastAsia" w:ascii="宋体" w:hAnsi="宋体"/>
          <w:color w:val="auto"/>
          <w:szCs w:val="21"/>
          <w:highlight w:val="none"/>
        </w:rPr>
        <w:t>万元以下的为中小微型企业。其中，从业人员</w:t>
      </w:r>
      <w:r>
        <w:rPr>
          <w:rFonts w:ascii="宋体" w:hAnsi="宋体"/>
          <w:color w:val="auto"/>
          <w:szCs w:val="21"/>
          <w:highlight w:val="none"/>
        </w:rPr>
        <w:t>50</w:t>
      </w:r>
      <w:r>
        <w:rPr>
          <w:rFonts w:hint="eastAsia" w:ascii="宋体" w:hAnsi="宋体"/>
          <w:color w:val="auto"/>
          <w:szCs w:val="21"/>
          <w:highlight w:val="none"/>
        </w:rPr>
        <w:t>人及以上，且营业收入</w:t>
      </w:r>
      <w:r>
        <w:rPr>
          <w:rFonts w:ascii="宋体" w:hAnsi="宋体"/>
          <w:color w:val="auto"/>
          <w:szCs w:val="21"/>
          <w:highlight w:val="none"/>
        </w:rPr>
        <w:t>500</w:t>
      </w:r>
      <w:r>
        <w:rPr>
          <w:rFonts w:hint="eastAsia" w:ascii="宋体" w:hAnsi="宋体"/>
          <w:color w:val="auto"/>
          <w:szCs w:val="21"/>
          <w:highlight w:val="none"/>
        </w:rPr>
        <w:t>万元及以上的为中型企业；从业人员</w:t>
      </w:r>
      <w:r>
        <w:rPr>
          <w:rFonts w:ascii="宋体" w:hAnsi="宋体"/>
          <w:color w:val="auto"/>
          <w:szCs w:val="21"/>
          <w:highlight w:val="none"/>
        </w:rPr>
        <w:t>10</w:t>
      </w:r>
      <w:r>
        <w:rPr>
          <w:rFonts w:hint="eastAsia" w:ascii="宋体" w:hAnsi="宋体"/>
          <w:color w:val="auto"/>
          <w:szCs w:val="21"/>
          <w:highlight w:val="none"/>
        </w:rPr>
        <w:t>人及以上，且营业收入</w:t>
      </w:r>
      <w:r>
        <w:rPr>
          <w:rFonts w:ascii="宋体" w:hAnsi="宋体"/>
          <w:color w:val="auto"/>
          <w:szCs w:val="21"/>
          <w:highlight w:val="none"/>
        </w:rPr>
        <w:t>100</w:t>
      </w:r>
      <w:r>
        <w:rPr>
          <w:rFonts w:hint="eastAsia" w:ascii="宋体" w:hAnsi="宋体"/>
          <w:color w:val="auto"/>
          <w:szCs w:val="21"/>
          <w:highlight w:val="none"/>
        </w:rPr>
        <w:t>万元及以上的为小型企业；从业人员</w:t>
      </w:r>
      <w:r>
        <w:rPr>
          <w:rFonts w:ascii="宋体" w:hAnsi="宋体"/>
          <w:color w:val="auto"/>
          <w:szCs w:val="21"/>
          <w:highlight w:val="none"/>
        </w:rPr>
        <w:t>10</w:t>
      </w:r>
      <w:r>
        <w:rPr>
          <w:rFonts w:hint="eastAsia" w:ascii="宋体" w:hAnsi="宋体"/>
          <w:color w:val="auto"/>
          <w:szCs w:val="21"/>
          <w:highlight w:val="none"/>
        </w:rPr>
        <w:t>人以下或营业收入</w:t>
      </w:r>
      <w:r>
        <w:rPr>
          <w:rFonts w:ascii="宋体" w:hAnsi="宋体"/>
          <w:color w:val="auto"/>
          <w:szCs w:val="21"/>
          <w:highlight w:val="none"/>
        </w:rPr>
        <w:t>100</w:t>
      </w:r>
      <w:r>
        <w:rPr>
          <w:rFonts w:hint="eastAsia" w:ascii="宋体" w:hAnsi="宋体"/>
          <w:color w:val="auto"/>
          <w:szCs w:val="21"/>
          <w:highlight w:val="none"/>
        </w:rPr>
        <w:t>万元以下的为微型企业。</w:t>
      </w:r>
    </w:p>
    <w:p w14:paraId="482312CE">
      <w:pPr>
        <w:pStyle w:val="2"/>
        <w:spacing w:after="0" w:line="360" w:lineRule="exact"/>
        <w:ind w:firstLine="420" w:firstLineChars="200"/>
        <w:rPr>
          <w:rFonts w:ascii="宋体" w:hAnsi="宋体"/>
          <w:color w:val="auto"/>
          <w:szCs w:val="21"/>
          <w:highlight w:val="none"/>
        </w:rPr>
      </w:pPr>
      <w:r>
        <w:rPr>
          <w:rFonts w:hint="eastAsia" w:ascii="宋体" w:hAnsi="宋体"/>
          <w:color w:val="auto"/>
          <w:szCs w:val="21"/>
          <w:highlight w:val="none"/>
        </w:rPr>
        <w:t>（六）交通运输业。从业人员</w:t>
      </w:r>
      <w:r>
        <w:rPr>
          <w:rFonts w:ascii="宋体" w:hAnsi="宋体"/>
          <w:color w:val="auto"/>
          <w:szCs w:val="21"/>
          <w:highlight w:val="none"/>
        </w:rPr>
        <w:t>1000</w:t>
      </w:r>
      <w:r>
        <w:rPr>
          <w:rFonts w:hint="eastAsia" w:ascii="宋体" w:hAnsi="宋体"/>
          <w:color w:val="auto"/>
          <w:szCs w:val="21"/>
          <w:highlight w:val="none"/>
        </w:rPr>
        <w:t>人以下或营业收入</w:t>
      </w:r>
      <w:r>
        <w:rPr>
          <w:rFonts w:ascii="宋体" w:hAnsi="宋体"/>
          <w:color w:val="auto"/>
          <w:szCs w:val="21"/>
          <w:highlight w:val="none"/>
        </w:rPr>
        <w:t>30000</w:t>
      </w:r>
      <w:r>
        <w:rPr>
          <w:rFonts w:hint="eastAsia" w:ascii="宋体" w:hAnsi="宋体"/>
          <w:color w:val="auto"/>
          <w:szCs w:val="21"/>
          <w:highlight w:val="none"/>
        </w:rPr>
        <w:t>万元以下的为中小微型企业。其中，从业人员</w:t>
      </w:r>
      <w:r>
        <w:rPr>
          <w:rFonts w:ascii="宋体" w:hAnsi="宋体"/>
          <w:color w:val="auto"/>
          <w:szCs w:val="21"/>
          <w:highlight w:val="none"/>
        </w:rPr>
        <w:t>300</w:t>
      </w:r>
      <w:r>
        <w:rPr>
          <w:rFonts w:hint="eastAsia" w:ascii="宋体" w:hAnsi="宋体"/>
          <w:color w:val="auto"/>
          <w:szCs w:val="21"/>
          <w:highlight w:val="none"/>
        </w:rPr>
        <w:t>人及以上，且营业收入</w:t>
      </w:r>
      <w:r>
        <w:rPr>
          <w:rFonts w:ascii="宋体" w:hAnsi="宋体"/>
          <w:color w:val="auto"/>
          <w:szCs w:val="21"/>
          <w:highlight w:val="none"/>
        </w:rPr>
        <w:t>3000</w:t>
      </w:r>
      <w:r>
        <w:rPr>
          <w:rFonts w:hint="eastAsia" w:ascii="宋体" w:hAnsi="宋体"/>
          <w:color w:val="auto"/>
          <w:szCs w:val="21"/>
          <w:highlight w:val="none"/>
        </w:rPr>
        <w:t>万元及以上的为中型企业；从业人员</w:t>
      </w:r>
      <w:r>
        <w:rPr>
          <w:rFonts w:ascii="宋体" w:hAnsi="宋体"/>
          <w:color w:val="auto"/>
          <w:szCs w:val="21"/>
          <w:highlight w:val="none"/>
        </w:rPr>
        <w:t>20</w:t>
      </w:r>
      <w:r>
        <w:rPr>
          <w:rFonts w:hint="eastAsia" w:ascii="宋体" w:hAnsi="宋体"/>
          <w:color w:val="auto"/>
          <w:szCs w:val="21"/>
          <w:highlight w:val="none"/>
        </w:rPr>
        <w:t>人及以上，且营业收入</w:t>
      </w:r>
      <w:r>
        <w:rPr>
          <w:rFonts w:ascii="宋体" w:hAnsi="宋体"/>
          <w:color w:val="auto"/>
          <w:szCs w:val="21"/>
          <w:highlight w:val="none"/>
        </w:rPr>
        <w:t>200</w:t>
      </w:r>
      <w:r>
        <w:rPr>
          <w:rFonts w:hint="eastAsia" w:ascii="宋体" w:hAnsi="宋体"/>
          <w:color w:val="auto"/>
          <w:szCs w:val="21"/>
          <w:highlight w:val="none"/>
        </w:rPr>
        <w:t>万元及以上的为小型企业；从业人员</w:t>
      </w:r>
      <w:r>
        <w:rPr>
          <w:rFonts w:ascii="宋体" w:hAnsi="宋体"/>
          <w:color w:val="auto"/>
          <w:szCs w:val="21"/>
          <w:highlight w:val="none"/>
        </w:rPr>
        <w:t>20</w:t>
      </w:r>
      <w:r>
        <w:rPr>
          <w:rFonts w:hint="eastAsia" w:ascii="宋体" w:hAnsi="宋体"/>
          <w:color w:val="auto"/>
          <w:szCs w:val="21"/>
          <w:highlight w:val="none"/>
        </w:rPr>
        <w:t>人以下或营业收入</w:t>
      </w:r>
      <w:r>
        <w:rPr>
          <w:rFonts w:ascii="宋体" w:hAnsi="宋体"/>
          <w:color w:val="auto"/>
          <w:szCs w:val="21"/>
          <w:highlight w:val="none"/>
        </w:rPr>
        <w:t>200</w:t>
      </w:r>
      <w:r>
        <w:rPr>
          <w:rFonts w:hint="eastAsia" w:ascii="宋体" w:hAnsi="宋体"/>
          <w:color w:val="auto"/>
          <w:szCs w:val="21"/>
          <w:highlight w:val="none"/>
        </w:rPr>
        <w:t>万元以下的为微型企业。</w:t>
      </w:r>
    </w:p>
    <w:p w14:paraId="28FDBE47">
      <w:pPr>
        <w:pStyle w:val="2"/>
        <w:spacing w:after="0" w:line="360" w:lineRule="exact"/>
        <w:ind w:firstLine="420" w:firstLineChars="200"/>
        <w:rPr>
          <w:rFonts w:ascii="宋体" w:hAnsi="宋体"/>
          <w:color w:val="auto"/>
          <w:szCs w:val="21"/>
          <w:highlight w:val="none"/>
        </w:rPr>
      </w:pPr>
      <w:r>
        <w:rPr>
          <w:rFonts w:hint="eastAsia" w:ascii="宋体" w:hAnsi="宋体"/>
          <w:color w:val="auto"/>
          <w:szCs w:val="21"/>
          <w:highlight w:val="none"/>
        </w:rPr>
        <w:t>（七）仓储业。从业人员</w:t>
      </w:r>
      <w:r>
        <w:rPr>
          <w:rFonts w:ascii="宋体" w:hAnsi="宋体"/>
          <w:color w:val="auto"/>
          <w:szCs w:val="21"/>
          <w:highlight w:val="none"/>
        </w:rPr>
        <w:t>200</w:t>
      </w:r>
      <w:r>
        <w:rPr>
          <w:rFonts w:hint="eastAsia" w:ascii="宋体" w:hAnsi="宋体"/>
          <w:color w:val="auto"/>
          <w:szCs w:val="21"/>
          <w:highlight w:val="none"/>
        </w:rPr>
        <w:t>人以下或营业收入</w:t>
      </w:r>
      <w:r>
        <w:rPr>
          <w:rFonts w:ascii="宋体" w:hAnsi="宋体"/>
          <w:color w:val="auto"/>
          <w:szCs w:val="21"/>
          <w:highlight w:val="none"/>
        </w:rPr>
        <w:t>30000</w:t>
      </w:r>
      <w:r>
        <w:rPr>
          <w:rFonts w:hint="eastAsia" w:ascii="宋体" w:hAnsi="宋体"/>
          <w:color w:val="auto"/>
          <w:szCs w:val="21"/>
          <w:highlight w:val="none"/>
        </w:rPr>
        <w:t>万元以下的为中小微型企业。其中，从业人员</w:t>
      </w:r>
      <w:r>
        <w:rPr>
          <w:rFonts w:ascii="宋体" w:hAnsi="宋体"/>
          <w:color w:val="auto"/>
          <w:szCs w:val="21"/>
          <w:highlight w:val="none"/>
        </w:rPr>
        <w:t>100</w:t>
      </w:r>
      <w:r>
        <w:rPr>
          <w:rFonts w:hint="eastAsia" w:ascii="宋体" w:hAnsi="宋体"/>
          <w:color w:val="auto"/>
          <w:szCs w:val="21"/>
          <w:highlight w:val="none"/>
        </w:rPr>
        <w:t>人及以上，且营业收入</w:t>
      </w:r>
      <w:r>
        <w:rPr>
          <w:rFonts w:ascii="宋体" w:hAnsi="宋体"/>
          <w:color w:val="auto"/>
          <w:szCs w:val="21"/>
          <w:highlight w:val="none"/>
        </w:rPr>
        <w:t>1000</w:t>
      </w:r>
      <w:r>
        <w:rPr>
          <w:rFonts w:hint="eastAsia" w:ascii="宋体" w:hAnsi="宋体"/>
          <w:color w:val="auto"/>
          <w:szCs w:val="21"/>
          <w:highlight w:val="none"/>
        </w:rPr>
        <w:t>万元及以上的为中型企业；从业人员</w:t>
      </w:r>
      <w:r>
        <w:rPr>
          <w:rFonts w:ascii="宋体" w:hAnsi="宋体"/>
          <w:color w:val="auto"/>
          <w:szCs w:val="21"/>
          <w:highlight w:val="none"/>
        </w:rPr>
        <w:t>20</w:t>
      </w:r>
      <w:r>
        <w:rPr>
          <w:rFonts w:hint="eastAsia" w:ascii="宋体" w:hAnsi="宋体"/>
          <w:color w:val="auto"/>
          <w:szCs w:val="21"/>
          <w:highlight w:val="none"/>
        </w:rPr>
        <w:t>人及以上，且营业收入</w:t>
      </w:r>
      <w:r>
        <w:rPr>
          <w:rFonts w:ascii="宋体" w:hAnsi="宋体"/>
          <w:color w:val="auto"/>
          <w:szCs w:val="21"/>
          <w:highlight w:val="none"/>
        </w:rPr>
        <w:t>100</w:t>
      </w:r>
      <w:r>
        <w:rPr>
          <w:rFonts w:hint="eastAsia" w:ascii="宋体" w:hAnsi="宋体"/>
          <w:color w:val="auto"/>
          <w:szCs w:val="21"/>
          <w:highlight w:val="none"/>
        </w:rPr>
        <w:t>万元及以上的为小型企业；从业人员</w:t>
      </w:r>
      <w:r>
        <w:rPr>
          <w:rFonts w:ascii="宋体" w:hAnsi="宋体"/>
          <w:color w:val="auto"/>
          <w:szCs w:val="21"/>
          <w:highlight w:val="none"/>
        </w:rPr>
        <w:t>20</w:t>
      </w:r>
      <w:r>
        <w:rPr>
          <w:rFonts w:hint="eastAsia" w:ascii="宋体" w:hAnsi="宋体"/>
          <w:color w:val="auto"/>
          <w:szCs w:val="21"/>
          <w:highlight w:val="none"/>
        </w:rPr>
        <w:t>人以下或营业收入</w:t>
      </w:r>
      <w:r>
        <w:rPr>
          <w:rFonts w:ascii="宋体" w:hAnsi="宋体"/>
          <w:color w:val="auto"/>
          <w:szCs w:val="21"/>
          <w:highlight w:val="none"/>
        </w:rPr>
        <w:t>100</w:t>
      </w:r>
      <w:r>
        <w:rPr>
          <w:rFonts w:hint="eastAsia" w:ascii="宋体" w:hAnsi="宋体"/>
          <w:color w:val="auto"/>
          <w:szCs w:val="21"/>
          <w:highlight w:val="none"/>
        </w:rPr>
        <w:t>万元以下的为微型企业。</w:t>
      </w:r>
    </w:p>
    <w:p w14:paraId="71C14FBC">
      <w:pPr>
        <w:pStyle w:val="2"/>
        <w:spacing w:after="0" w:line="360" w:lineRule="exact"/>
        <w:ind w:firstLine="420" w:firstLineChars="200"/>
        <w:rPr>
          <w:rFonts w:ascii="宋体" w:hAnsi="宋体"/>
          <w:color w:val="auto"/>
          <w:szCs w:val="21"/>
          <w:highlight w:val="none"/>
        </w:rPr>
      </w:pPr>
      <w:r>
        <w:rPr>
          <w:rFonts w:hint="eastAsia" w:ascii="宋体" w:hAnsi="宋体"/>
          <w:color w:val="auto"/>
          <w:szCs w:val="21"/>
          <w:highlight w:val="none"/>
        </w:rPr>
        <w:t>（八）邮政业。从业人员</w:t>
      </w:r>
      <w:r>
        <w:rPr>
          <w:rFonts w:ascii="宋体" w:hAnsi="宋体"/>
          <w:color w:val="auto"/>
          <w:szCs w:val="21"/>
          <w:highlight w:val="none"/>
        </w:rPr>
        <w:t>1000</w:t>
      </w:r>
      <w:r>
        <w:rPr>
          <w:rFonts w:hint="eastAsia" w:ascii="宋体" w:hAnsi="宋体"/>
          <w:color w:val="auto"/>
          <w:szCs w:val="21"/>
          <w:highlight w:val="none"/>
        </w:rPr>
        <w:t>人以下或营业收入</w:t>
      </w:r>
      <w:r>
        <w:rPr>
          <w:rFonts w:ascii="宋体" w:hAnsi="宋体"/>
          <w:color w:val="auto"/>
          <w:szCs w:val="21"/>
          <w:highlight w:val="none"/>
        </w:rPr>
        <w:t>30000</w:t>
      </w:r>
      <w:r>
        <w:rPr>
          <w:rFonts w:hint="eastAsia" w:ascii="宋体" w:hAnsi="宋体"/>
          <w:color w:val="auto"/>
          <w:szCs w:val="21"/>
          <w:highlight w:val="none"/>
        </w:rPr>
        <w:t>万元以下的为中小微型企业。其中，从业人员</w:t>
      </w:r>
      <w:r>
        <w:rPr>
          <w:rFonts w:ascii="宋体" w:hAnsi="宋体"/>
          <w:color w:val="auto"/>
          <w:szCs w:val="21"/>
          <w:highlight w:val="none"/>
        </w:rPr>
        <w:t>300</w:t>
      </w:r>
      <w:r>
        <w:rPr>
          <w:rFonts w:hint="eastAsia" w:ascii="宋体" w:hAnsi="宋体"/>
          <w:color w:val="auto"/>
          <w:szCs w:val="21"/>
          <w:highlight w:val="none"/>
        </w:rPr>
        <w:t>人及以上，且营业收入</w:t>
      </w:r>
      <w:r>
        <w:rPr>
          <w:rFonts w:ascii="宋体" w:hAnsi="宋体"/>
          <w:color w:val="auto"/>
          <w:szCs w:val="21"/>
          <w:highlight w:val="none"/>
        </w:rPr>
        <w:t>2000</w:t>
      </w:r>
      <w:r>
        <w:rPr>
          <w:rFonts w:hint="eastAsia" w:ascii="宋体" w:hAnsi="宋体"/>
          <w:color w:val="auto"/>
          <w:szCs w:val="21"/>
          <w:highlight w:val="none"/>
        </w:rPr>
        <w:t>万元及以上的为中型企业；从业人员</w:t>
      </w:r>
      <w:r>
        <w:rPr>
          <w:rFonts w:ascii="宋体" w:hAnsi="宋体"/>
          <w:color w:val="auto"/>
          <w:szCs w:val="21"/>
          <w:highlight w:val="none"/>
        </w:rPr>
        <w:t>20</w:t>
      </w:r>
      <w:r>
        <w:rPr>
          <w:rFonts w:hint="eastAsia" w:ascii="宋体" w:hAnsi="宋体"/>
          <w:color w:val="auto"/>
          <w:szCs w:val="21"/>
          <w:highlight w:val="none"/>
        </w:rPr>
        <w:t>人及以上，且营业收入</w:t>
      </w:r>
      <w:r>
        <w:rPr>
          <w:rFonts w:ascii="宋体" w:hAnsi="宋体"/>
          <w:color w:val="auto"/>
          <w:szCs w:val="21"/>
          <w:highlight w:val="none"/>
        </w:rPr>
        <w:t>100</w:t>
      </w:r>
      <w:r>
        <w:rPr>
          <w:rFonts w:hint="eastAsia" w:ascii="宋体" w:hAnsi="宋体"/>
          <w:color w:val="auto"/>
          <w:szCs w:val="21"/>
          <w:highlight w:val="none"/>
        </w:rPr>
        <w:t>万元及以上的为小型企业；从业人员</w:t>
      </w:r>
      <w:r>
        <w:rPr>
          <w:rFonts w:ascii="宋体" w:hAnsi="宋体"/>
          <w:color w:val="auto"/>
          <w:szCs w:val="21"/>
          <w:highlight w:val="none"/>
        </w:rPr>
        <w:t>20</w:t>
      </w:r>
      <w:r>
        <w:rPr>
          <w:rFonts w:hint="eastAsia" w:ascii="宋体" w:hAnsi="宋体"/>
          <w:color w:val="auto"/>
          <w:szCs w:val="21"/>
          <w:highlight w:val="none"/>
        </w:rPr>
        <w:t>人以下或营业收入</w:t>
      </w:r>
      <w:r>
        <w:rPr>
          <w:rFonts w:ascii="宋体" w:hAnsi="宋体"/>
          <w:color w:val="auto"/>
          <w:szCs w:val="21"/>
          <w:highlight w:val="none"/>
        </w:rPr>
        <w:t>100</w:t>
      </w:r>
      <w:r>
        <w:rPr>
          <w:rFonts w:hint="eastAsia" w:ascii="宋体" w:hAnsi="宋体"/>
          <w:color w:val="auto"/>
          <w:szCs w:val="21"/>
          <w:highlight w:val="none"/>
        </w:rPr>
        <w:t>万元以下的为微型企业。</w:t>
      </w:r>
    </w:p>
    <w:p w14:paraId="6FCC968D">
      <w:pPr>
        <w:pStyle w:val="2"/>
        <w:spacing w:after="0" w:line="360" w:lineRule="exact"/>
        <w:ind w:firstLine="420" w:firstLineChars="200"/>
        <w:rPr>
          <w:rFonts w:ascii="宋体" w:hAnsi="宋体"/>
          <w:color w:val="auto"/>
          <w:szCs w:val="21"/>
          <w:highlight w:val="none"/>
        </w:rPr>
      </w:pPr>
      <w:r>
        <w:rPr>
          <w:rFonts w:hint="eastAsia" w:ascii="宋体" w:hAnsi="宋体"/>
          <w:color w:val="auto"/>
          <w:szCs w:val="21"/>
          <w:highlight w:val="none"/>
        </w:rPr>
        <w:t>（九）住宿业。从业人员</w:t>
      </w:r>
      <w:r>
        <w:rPr>
          <w:rFonts w:ascii="宋体" w:hAnsi="宋体"/>
          <w:color w:val="auto"/>
          <w:szCs w:val="21"/>
          <w:highlight w:val="none"/>
        </w:rPr>
        <w:t>300</w:t>
      </w:r>
      <w:r>
        <w:rPr>
          <w:rFonts w:hint="eastAsia" w:ascii="宋体" w:hAnsi="宋体"/>
          <w:color w:val="auto"/>
          <w:szCs w:val="21"/>
          <w:highlight w:val="none"/>
        </w:rPr>
        <w:t>人以下或营业收入</w:t>
      </w:r>
      <w:r>
        <w:rPr>
          <w:rFonts w:ascii="宋体" w:hAnsi="宋体"/>
          <w:color w:val="auto"/>
          <w:szCs w:val="21"/>
          <w:highlight w:val="none"/>
        </w:rPr>
        <w:t>10000</w:t>
      </w:r>
      <w:r>
        <w:rPr>
          <w:rFonts w:hint="eastAsia" w:ascii="宋体" w:hAnsi="宋体"/>
          <w:color w:val="auto"/>
          <w:szCs w:val="21"/>
          <w:highlight w:val="none"/>
        </w:rPr>
        <w:t>万元以下的为中小微型企业。其中，从业人员</w:t>
      </w:r>
      <w:r>
        <w:rPr>
          <w:rFonts w:ascii="宋体" w:hAnsi="宋体"/>
          <w:color w:val="auto"/>
          <w:szCs w:val="21"/>
          <w:highlight w:val="none"/>
        </w:rPr>
        <w:t>100</w:t>
      </w:r>
      <w:r>
        <w:rPr>
          <w:rFonts w:hint="eastAsia" w:ascii="宋体" w:hAnsi="宋体"/>
          <w:color w:val="auto"/>
          <w:szCs w:val="21"/>
          <w:highlight w:val="none"/>
        </w:rPr>
        <w:t>人及以上，且营业收入</w:t>
      </w:r>
      <w:r>
        <w:rPr>
          <w:rFonts w:ascii="宋体" w:hAnsi="宋体"/>
          <w:color w:val="auto"/>
          <w:szCs w:val="21"/>
          <w:highlight w:val="none"/>
        </w:rPr>
        <w:t>2000</w:t>
      </w:r>
      <w:r>
        <w:rPr>
          <w:rFonts w:hint="eastAsia" w:ascii="宋体" w:hAnsi="宋体"/>
          <w:color w:val="auto"/>
          <w:szCs w:val="21"/>
          <w:highlight w:val="none"/>
        </w:rPr>
        <w:t>万元及以上的为中型企业；从业人员</w:t>
      </w:r>
      <w:r>
        <w:rPr>
          <w:rFonts w:ascii="宋体" w:hAnsi="宋体"/>
          <w:color w:val="auto"/>
          <w:szCs w:val="21"/>
          <w:highlight w:val="none"/>
        </w:rPr>
        <w:t>10</w:t>
      </w:r>
      <w:r>
        <w:rPr>
          <w:rFonts w:hint="eastAsia" w:ascii="宋体" w:hAnsi="宋体"/>
          <w:color w:val="auto"/>
          <w:szCs w:val="21"/>
          <w:highlight w:val="none"/>
        </w:rPr>
        <w:t>人及以上，且营业收入</w:t>
      </w:r>
      <w:r>
        <w:rPr>
          <w:rFonts w:ascii="宋体" w:hAnsi="宋体"/>
          <w:color w:val="auto"/>
          <w:szCs w:val="21"/>
          <w:highlight w:val="none"/>
        </w:rPr>
        <w:t>100</w:t>
      </w:r>
      <w:r>
        <w:rPr>
          <w:rFonts w:hint="eastAsia" w:ascii="宋体" w:hAnsi="宋体"/>
          <w:color w:val="auto"/>
          <w:szCs w:val="21"/>
          <w:highlight w:val="none"/>
        </w:rPr>
        <w:t>万元及以上的为小型企业；从业人员</w:t>
      </w:r>
      <w:r>
        <w:rPr>
          <w:rFonts w:ascii="宋体" w:hAnsi="宋体"/>
          <w:color w:val="auto"/>
          <w:szCs w:val="21"/>
          <w:highlight w:val="none"/>
        </w:rPr>
        <w:t>10</w:t>
      </w:r>
      <w:r>
        <w:rPr>
          <w:rFonts w:hint="eastAsia" w:ascii="宋体" w:hAnsi="宋体"/>
          <w:color w:val="auto"/>
          <w:szCs w:val="21"/>
          <w:highlight w:val="none"/>
        </w:rPr>
        <w:t>人以下或营业收入</w:t>
      </w:r>
      <w:r>
        <w:rPr>
          <w:rFonts w:ascii="宋体" w:hAnsi="宋体"/>
          <w:color w:val="auto"/>
          <w:szCs w:val="21"/>
          <w:highlight w:val="none"/>
        </w:rPr>
        <w:t>100</w:t>
      </w:r>
      <w:r>
        <w:rPr>
          <w:rFonts w:hint="eastAsia" w:ascii="宋体" w:hAnsi="宋体"/>
          <w:color w:val="auto"/>
          <w:szCs w:val="21"/>
          <w:highlight w:val="none"/>
        </w:rPr>
        <w:t>万元以下的为微型企业。</w:t>
      </w:r>
    </w:p>
    <w:p w14:paraId="0A86C0A1">
      <w:pPr>
        <w:pStyle w:val="2"/>
        <w:spacing w:after="0" w:line="360" w:lineRule="exact"/>
        <w:rPr>
          <w:rFonts w:ascii="宋体" w:hAnsi="宋体"/>
          <w:color w:val="auto"/>
          <w:szCs w:val="21"/>
          <w:highlight w:val="none"/>
        </w:rPr>
      </w:pPr>
      <w:r>
        <w:rPr>
          <w:rFonts w:hint="eastAsia" w:ascii="宋体" w:hAnsi="宋体"/>
          <w:color w:val="auto"/>
          <w:szCs w:val="21"/>
          <w:highlight w:val="none"/>
        </w:rPr>
        <w:t>　（十）餐饮业。从业人员</w:t>
      </w:r>
      <w:r>
        <w:rPr>
          <w:rFonts w:ascii="宋体" w:hAnsi="宋体"/>
          <w:color w:val="auto"/>
          <w:szCs w:val="21"/>
          <w:highlight w:val="none"/>
        </w:rPr>
        <w:t>300</w:t>
      </w:r>
      <w:r>
        <w:rPr>
          <w:rFonts w:hint="eastAsia" w:ascii="宋体" w:hAnsi="宋体"/>
          <w:color w:val="auto"/>
          <w:szCs w:val="21"/>
          <w:highlight w:val="none"/>
        </w:rPr>
        <w:t>人以下或营业收入</w:t>
      </w:r>
      <w:r>
        <w:rPr>
          <w:rFonts w:ascii="宋体" w:hAnsi="宋体"/>
          <w:color w:val="auto"/>
          <w:szCs w:val="21"/>
          <w:highlight w:val="none"/>
        </w:rPr>
        <w:t>10000</w:t>
      </w:r>
      <w:r>
        <w:rPr>
          <w:rFonts w:hint="eastAsia" w:ascii="宋体" w:hAnsi="宋体"/>
          <w:color w:val="auto"/>
          <w:szCs w:val="21"/>
          <w:highlight w:val="none"/>
        </w:rPr>
        <w:t>万元以下的为中小微型企业。其中，从业人员</w:t>
      </w:r>
      <w:r>
        <w:rPr>
          <w:rFonts w:ascii="宋体" w:hAnsi="宋体"/>
          <w:color w:val="auto"/>
          <w:szCs w:val="21"/>
          <w:highlight w:val="none"/>
        </w:rPr>
        <w:t>100</w:t>
      </w:r>
      <w:r>
        <w:rPr>
          <w:rFonts w:hint="eastAsia" w:ascii="宋体" w:hAnsi="宋体"/>
          <w:color w:val="auto"/>
          <w:szCs w:val="21"/>
          <w:highlight w:val="none"/>
        </w:rPr>
        <w:t>人及以上，且营业收入</w:t>
      </w:r>
      <w:r>
        <w:rPr>
          <w:rFonts w:ascii="宋体" w:hAnsi="宋体"/>
          <w:color w:val="auto"/>
          <w:szCs w:val="21"/>
          <w:highlight w:val="none"/>
        </w:rPr>
        <w:t>2000</w:t>
      </w:r>
      <w:r>
        <w:rPr>
          <w:rFonts w:hint="eastAsia" w:ascii="宋体" w:hAnsi="宋体"/>
          <w:color w:val="auto"/>
          <w:szCs w:val="21"/>
          <w:highlight w:val="none"/>
        </w:rPr>
        <w:t>万元及以上的为中型企业；从业人员</w:t>
      </w:r>
      <w:r>
        <w:rPr>
          <w:rFonts w:ascii="宋体" w:hAnsi="宋体"/>
          <w:color w:val="auto"/>
          <w:szCs w:val="21"/>
          <w:highlight w:val="none"/>
        </w:rPr>
        <w:t>10</w:t>
      </w:r>
      <w:r>
        <w:rPr>
          <w:rFonts w:hint="eastAsia" w:ascii="宋体" w:hAnsi="宋体"/>
          <w:color w:val="auto"/>
          <w:szCs w:val="21"/>
          <w:highlight w:val="none"/>
        </w:rPr>
        <w:t>人及以上，且营业收入</w:t>
      </w:r>
      <w:r>
        <w:rPr>
          <w:rFonts w:ascii="宋体" w:hAnsi="宋体"/>
          <w:color w:val="auto"/>
          <w:szCs w:val="21"/>
          <w:highlight w:val="none"/>
        </w:rPr>
        <w:t>100</w:t>
      </w:r>
      <w:r>
        <w:rPr>
          <w:rFonts w:hint="eastAsia" w:ascii="宋体" w:hAnsi="宋体"/>
          <w:color w:val="auto"/>
          <w:szCs w:val="21"/>
          <w:highlight w:val="none"/>
        </w:rPr>
        <w:t>万元及以上的为小型企业；从业人员</w:t>
      </w:r>
      <w:r>
        <w:rPr>
          <w:rFonts w:ascii="宋体" w:hAnsi="宋体"/>
          <w:color w:val="auto"/>
          <w:szCs w:val="21"/>
          <w:highlight w:val="none"/>
        </w:rPr>
        <w:t>10</w:t>
      </w:r>
      <w:r>
        <w:rPr>
          <w:rFonts w:hint="eastAsia" w:ascii="宋体" w:hAnsi="宋体"/>
          <w:color w:val="auto"/>
          <w:szCs w:val="21"/>
          <w:highlight w:val="none"/>
        </w:rPr>
        <w:t>人以下或营业收入</w:t>
      </w:r>
      <w:r>
        <w:rPr>
          <w:rFonts w:ascii="宋体" w:hAnsi="宋体"/>
          <w:color w:val="auto"/>
          <w:szCs w:val="21"/>
          <w:highlight w:val="none"/>
        </w:rPr>
        <w:t>100</w:t>
      </w:r>
      <w:r>
        <w:rPr>
          <w:rFonts w:hint="eastAsia" w:ascii="宋体" w:hAnsi="宋体"/>
          <w:color w:val="auto"/>
          <w:szCs w:val="21"/>
          <w:highlight w:val="none"/>
        </w:rPr>
        <w:t>万元以下的为微型企业。</w:t>
      </w:r>
    </w:p>
    <w:p w14:paraId="183F805A">
      <w:pPr>
        <w:pStyle w:val="2"/>
        <w:spacing w:after="0" w:line="360" w:lineRule="exact"/>
        <w:ind w:firstLine="420" w:firstLineChars="200"/>
        <w:rPr>
          <w:rFonts w:ascii="宋体" w:hAnsi="宋体"/>
          <w:color w:val="auto"/>
          <w:szCs w:val="21"/>
          <w:highlight w:val="none"/>
        </w:rPr>
      </w:pPr>
      <w:r>
        <w:rPr>
          <w:rFonts w:hint="eastAsia" w:ascii="宋体" w:hAnsi="宋体"/>
          <w:color w:val="auto"/>
          <w:szCs w:val="21"/>
          <w:highlight w:val="none"/>
        </w:rPr>
        <w:t>（十一）信息传输业。从业人员</w:t>
      </w:r>
      <w:r>
        <w:rPr>
          <w:rFonts w:ascii="宋体" w:hAnsi="宋体"/>
          <w:color w:val="auto"/>
          <w:szCs w:val="21"/>
          <w:highlight w:val="none"/>
        </w:rPr>
        <w:t>2000</w:t>
      </w:r>
      <w:r>
        <w:rPr>
          <w:rFonts w:hint="eastAsia" w:ascii="宋体" w:hAnsi="宋体"/>
          <w:color w:val="auto"/>
          <w:szCs w:val="21"/>
          <w:highlight w:val="none"/>
        </w:rPr>
        <w:t>人以下或营业收入</w:t>
      </w:r>
      <w:r>
        <w:rPr>
          <w:rFonts w:ascii="宋体" w:hAnsi="宋体"/>
          <w:color w:val="auto"/>
          <w:szCs w:val="21"/>
          <w:highlight w:val="none"/>
        </w:rPr>
        <w:t>100000</w:t>
      </w:r>
      <w:r>
        <w:rPr>
          <w:rFonts w:hint="eastAsia" w:ascii="宋体" w:hAnsi="宋体"/>
          <w:color w:val="auto"/>
          <w:szCs w:val="21"/>
          <w:highlight w:val="none"/>
        </w:rPr>
        <w:t>万元以下的为中小微型企业。其中，从业人员</w:t>
      </w:r>
      <w:r>
        <w:rPr>
          <w:rFonts w:ascii="宋体" w:hAnsi="宋体"/>
          <w:color w:val="auto"/>
          <w:szCs w:val="21"/>
          <w:highlight w:val="none"/>
        </w:rPr>
        <w:t>100</w:t>
      </w:r>
      <w:r>
        <w:rPr>
          <w:rFonts w:hint="eastAsia" w:ascii="宋体" w:hAnsi="宋体"/>
          <w:color w:val="auto"/>
          <w:szCs w:val="21"/>
          <w:highlight w:val="none"/>
        </w:rPr>
        <w:t>人及以上，且营业收入</w:t>
      </w:r>
      <w:r>
        <w:rPr>
          <w:rFonts w:ascii="宋体" w:hAnsi="宋体"/>
          <w:color w:val="auto"/>
          <w:szCs w:val="21"/>
          <w:highlight w:val="none"/>
        </w:rPr>
        <w:t>1000</w:t>
      </w:r>
      <w:r>
        <w:rPr>
          <w:rFonts w:hint="eastAsia" w:ascii="宋体" w:hAnsi="宋体"/>
          <w:color w:val="auto"/>
          <w:szCs w:val="21"/>
          <w:highlight w:val="none"/>
        </w:rPr>
        <w:t>万元及以上的为中型企业；从业人员</w:t>
      </w:r>
      <w:r>
        <w:rPr>
          <w:rFonts w:ascii="宋体" w:hAnsi="宋体"/>
          <w:color w:val="auto"/>
          <w:szCs w:val="21"/>
          <w:highlight w:val="none"/>
        </w:rPr>
        <w:t>10</w:t>
      </w:r>
      <w:r>
        <w:rPr>
          <w:rFonts w:hint="eastAsia" w:ascii="宋体" w:hAnsi="宋体"/>
          <w:color w:val="auto"/>
          <w:szCs w:val="21"/>
          <w:highlight w:val="none"/>
        </w:rPr>
        <w:t>人及以上，且营业收入</w:t>
      </w:r>
      <w:r>
        <w:rPr>
          <w:rFonts w:ascii="宋体" w:hAnsi="宋体"/>
          <w:color w:val="auto"/>
          <w:szCs w:val="21"/>
          <w:highlight w:val="none"/>
        </w:rPr>
        <w:t>100</w:t>
      </w:r>
      <w:r>
        <w:rPr>
          <w:rFonts w:hint="eastAsia" w:ascii="宋体" w:hAnsi="宋体"/>
          <w:color w:val="auto"/>
          <w:szCs w:val="21"/>
          <w:highlight w:val="none"/>
        </w:rPr>
        <w:t>万元及以上的为小型企业；从业人员</w:t>
      </w:r>
      <w:r>
        <w:rPr>
          <w:rFonts w:ascii="宋体" w:hAnsi="宋体"/>
          <w:color w:val="auto"/>
          <w:szCs w:val="21"/>
          <w:highlight w:val="none"/>
        </w:rPr>
        <w:t>10</w:t>
      </w:r>
      <w:r>
        <w:rPr>
          <w:rFonts w:hint="eastAsia" w:ascii="宋体" w:hAnsi="宋体"/>
          <w:color w:val="auto"/>
          <w:szCs w:val="21"/>
          <w:highlight w:val="none"/>
        </w:rPr>
        <w:t>人以下或营业收入</w:t>
      </w:r>
      <w:r>
        <w:rPr>
          <w:rFonts w:ascii="宋体" w:hAnsi="宋体"/>
          <w:color w:val="auto"/>
          <w:szCs w:val="21"/>
          <w:highlight w:val="none"/>
        </w:rPr>
        <w:t>100</w:t>
      </w:r>
      <w:r>
        <w:rPr>
          <w:rFonts w:hint="eastAsia" w:ascii="宋体" w:hAnsi="宋体"/>
          <w:color w:val="auto"/>
          <w:szCs w:val="21"/>
          <w:highlight w:val="none"/>
        </w:rPr>
        <w:t>万元以下的为微型企业。</w:t>
      </w:r>
    </w:p>
    <w:p w14:paraId="4233A1E4">
      <w:pPr>
        <w:pStyle w:val="2"/>
        <w:spacing w:after="0" w:line="360" w:lineRule="exact"/>
        <w:ind w:firstLine="420" w:firstLineChars="200"/>
        <w:rPr>
          <w:rFonts w:ascii="宋体" w:hAnsi="宋体"/>
          <w:color w:val="auto"/>
          <w:szCs w:val="21"/>
          <w:highlight w:val="none"/>
        </w:rPr>
      </w:pPr>
      <w:r>
        <w:rPr>
          <w:rFonts w:hint="eastAsia" w:ascii="宋体" w:hAnsi="宋体"/>
          <w:color w:val="auto"/>
          <w:szCs w:val="21"/>
          <w:highlight w:val="none"/>
        </w:rPr>
        <w:t>（十二）软件和信息技术服务业。从业人员</w:t>
      </w:r>
      <w:r>
        <w:rPr>
          <w:rFonts w:ascii="宋体" w:hAnsi="宋体"/>
          <w:color w:val="auto"/>
          <w:szCs w:val="21"/>
          <w:highlight w:val="none"/>
        </w:rPr>
        <w:t>300</w:t>
      </w:r>
      <w:r>
        <w:rPr>
          <w:rFonts w:hint="eastAsia" w:ascii="宋体" w:hAnsi="宋体"/>
          <w:color w:val="auto"/>
          <w:szCs w:val="21"/>
          <w:highlight w:val="none"/>
        </w:rPr>
        <w:t>人以下或营业收入</w:t>
      </w:r>
      <w:r>
        <w:rPr>
          <w:rFonts w:ascii="宋体" w:hAnsi="宋体"/>
          <w:color w:val="auto"/>
          <w:szCs w:val="21"/>
          <w:highlight w:val="none"/>
        </w:rPr>
        <w:t>10000</w:t>
      </w:r>
      <w:r>
        <w:rPr>
          <w:rFonts w:hint="eastAsia" w:ascii="宋体" w:hAnsi="宋体"/>
          <w:color w:val="auto"/>
          <w:szCs w:val="21"/>
          <w:highlight w:val="none"/>
        </w:rPr>
        <w:t>万元以下的为中小微型企业。其中，从业人员</w:t>
      </w:r>
      <w:r>
        <w:rPr>
          <w:rFonts w:ascii="宋体" w:hAnsi="宋体"/>
          <w:color w:val="auto"/>
          <w:szCs w:val="21"/>
          <w:highlight w:val="none"/>
        </w:rPr>
        <w:t>100</w:t>
      </w:r>
      <w:r>
        <w:rPr>
          <w:rFonts w:hint="eastAsia" w:ascii="宋体" w:hAnsi="宋体"/>
          <w:color w:val="auto"/>
          <w:szCs w:val="21"/>
          <w:highlight w:val="none"/>
        </w:rPr>
        <w:t>人及以上，且营业收入</w:t>
      </w:r>
      <w:r>
        <w:rPr>
          <w:rFonts w:ascii="宋体" w:hAnsi="宋体"/>
          <w:color w:val="auto"/>
          <w:szCs w:val="21"/>
          <w:highlight w:val="none"/>
        </w:rPr>
        <w:t>1000</w:t>
      </w:r>
      <w:r>
        <w:rPr>
          <w:rFonts w:hint="eastAsia" w:ascii="宋体" w:hAnsi="宋体"/>
          <w:color w:val="auto"/>
          <w:szCs w:val="21"/>
          <w:highlight w:val="none"/>
        </w:rPr>
        <w:t>万元及以上的为中型企业；从业人员</w:t>
      </w:r>
      <w:r>
        <w:rPr>
          <w:rFonts w:ascii="宋体" w:hAnsi="宋体"/>
          <w:color w:val="auto"/>
          <w:szCs w:val="21"/>
          <w:highlight w:val="none"/>
        </w:rPr>
        <w:t>10</w:t>
      </w:r>
      <w:r>
        <w:rPr>
          <w:rFonts w:hint="eastAsia" w:ascii="宋体" w:hAnsi="宋体"/>
          <w:color w:val="auto"/>
          <w:szCs w:val="21"/>
          <w:highlight w:val="none"/>
        </w:rPr>
        <w:t>人及以上，且营业收入</w:t>
      </w:r>
      <w:r>
        <w:rPr>
          <w:rFonts w:ascii="宋体" w:hAnsi="宋体"/>
          <w:color w:val="auto"/>
          <w:szCs w:val="21"/>
          <w:highlight w:val="none"/>
        </w:rPr>
        <w:t>50</w:t>
      </w:r>
      <w:r>
        <w:rPr>
          <w:rFonts w:hint="eastAsia" w:ascii="宋体" w:hAnsi="宋体"/>
          <w:color w:val="auto"/>
          <w:szCs w:val="21"/>
          <w:highlight w:val="none"/>
        </w:rPr>
        <w:t>万元及以上的为小型企业；从业人员</w:t>
      </w:r>
      <w:r>
        <w:rPr>
          <w:rFonts w:ascii="宋体" w:hAnsi="宋体"/>
          <w:color w:val="auto"/>
          <w:szCs w:val="21"/>
          <w:highlight w:val="none"/>
        </w:rPr>
        <w:t>10</w:t>
      </w:r>
      <w:r>
        <w:rPr>
          <w:rFonts w:hint="eastAsia" w:ascii="宋体" w:hAnsi="宋体"/>
          <w:color w:val="auto"/>
          <w:szCs w:val="21"/>
          <w:highlight w:val="none"/>
        </w:rPr>
        <w:t>人以下或营业收入</w:t>
      </w:r>
      <w:r>
        <w:rPr>
          <w:rFonts w:ascii="宋体" w:hAnsi="宋体"/>
          <w:color w:val="auto"/>
          <w:szCs w:val="21"/>
          <w:highlight w:val="none"/>
        </w:rPr>
        <w:t>50</w:t>
      </w:r>
      <w:r>
        <w:rPr>
          <w:rFonts w:hint="eastAsia" w:ascii="宋体" w:hAnsi="宋体"/>
          <w:color w:val="auto"/>
          <w:szCs w:val="21"/>
          <w:highlight w:val="none"/>
        </w:rPr>
        <w:t>万元以下的为微型企业。</w:t>
      </w:r>
    </w:p>
    <w:p w14:paraId="74D0369D">
      <w:pPr>
        <w:pStyle w:val="2"/>
        <w:spacing w:after="0" w:line="360" w:lineRule="exact"/>
        <w:ind w:firstLine="420" w:firstLineChars="200"/>
        <w:rPr>
          <w:rFonts w:ascii="宋体" w:hAnsi="宋体"/>
          <w:color w:val="auto"/>
          <w:szCs w:val="21"/>
          <w:highlight w:val="none"/>
        </w:rPr>
      </w:pPr>
      <w:r>
        <w:rPr>
          <w:rFonts w:hint="eastAsia" w:ascii="宋体" w:hAnsi="宋体"/>
          <w:color w:val="auto"/>
          <w:szCs w:val="21"/>
          <w:highlight w:val="none"/>
        </w:rPr>
        <w:t>（十三）房地产开发经营。营业收入</w:t>
      </w:r>
      <w:r>
        <w:rPr>
          <w:rFonts w:ascii="宋体" w:hAnsi="宋体"/>
          <w:color w:val="auto"/>
          <w:szCs w:val="21"/>
          <w:highlight w:val="none"/>
        </w:rPr>
        <w:t>200000</w:t>
      </w:r>
      <w:r>
        <w:rPr>
          <w:rFonts w:hint="eastAsia" w:ascii="宋体" w:hAnsi="宋体"/>
          <w:color w:val="auto"/>
          <w:szCs w:val="21"/>
          <w:highlight w:val="none"/>
        </w:rPr>
        <w:t>万元以下或资产总额</w:t>
      </w:r>
      <w:r>
        <w:rPr>
          <w:rFonts w:ascii="宋体" w:hAnsi="宋体"/>
          <w:color w:val="auto"/>
          <w:szCs w:val="21"/>
          <w:highlight w:val="none"/>
        </w:rPr>
        <w:t>10000</w:t>
      </w:r>
      <w:r>
        <w:rPr>
          <w:rFonts w:hint="eastAsia" w:ascii="宋体" w:hAnsi="宋体"/>
          <w:color w:val="auto"/>
          <w:szCs w:val="21"/>
          <w:highlight w:val="none"/>
        </w:rPr>
        <w:t>万元以下的为中小微型企业。其中，营业收入</w:t>
      </w:r>
      <w:r>
        <w:rPr>
          <w:rFonts w:ascii="宋体" w:hAnsi="宋体"/>
          <w:color w:val="auto"/>
          <w:szCs w:val="21"/>
          <w:highlight w:val="none"/>
        </w:rPr>
        <w:t>1000</w:t>
      </w:r>
      <w:r>
        <w:rPr>
          <w:rFonts w:hint="eastAsia" w:ascii="宋体" w:hAnsi="宋体"/>
          <w:color w:val="auto"/>
          <w:szCs w:val="21"/>
          <w:highlight w:val="none"/>
        </w:rPr>
        <w:t>万元及以上，且资产总额</w:t>
      </w:r>
      <w:r>
        <w:rPr>
          <w:rFonts w:ascii="宋体" w:hAnsi="宋体"/>
          <w:color w:val="auto"/>
          <w:szCs w:val="21"/>
          <w:highlight w:val="none"/>
        </w:rPr>
        <w:t>5000</w:t>
      </w:r>
      <w:r>
        <w:rPr>
          <w:rFonts w:hint="eastAsia" w:ascii="宋体" w:hAnsi="宋体"/>
          <w:color w:val="auto"/>
          <w:szCs w:val="21"/>
          <w:highlight w:val="none"/>
        </w:rPr>
        <w:t>万元及以上的为中型企业；营业收入</w:t>
      </w:r>
      <w:r>
        <w:rPr>
          <w:rFonts w:ascii="宋体" w:hAnsi="宋体"/>
          <w:color w:val="auto"/>
          <w:szCs w:val="21"/>
          <w:highlight w:val="none"/>
        </w:rPr>
        <w:t>100</w:t>
      </w:r>
      <w:r>
        <w:rPr>
          <w:rFonts w:hint="eastAsia" w:ascii="宋体" w:hAnsi="宋体"/>
          <w:color w:val="auto"/>
          <w:szCs w:val="21"/>
          <w:highlight w:val="none"/>
        </w:rPr>
        <w:t>万元及以上，且资产总额</w:t>
      </w:r>
      <w:r>
        <w:rPr>
          <w:rFonts w:ascii="宋体" w:hAnsi="宋体"/>
          <w:color w:val="auto"/>
          <w:szCs w:val="21"/>
          <w:highlight w:val="none"/>
        </w:rPr>
        <w:t>2000</w:t>
      </w:r>
      <w:r>
        <w:rPr>
          <w:rFonts w:hint="eastAsia" w:ascii="宋体" w:hAnsi="宋体"/>
          <w:color w:val="auto"/>
          <w:szCs w:val="21"/>
          <w:highlight w:val="none"/>
        </w:rPr>
        <w:t>万元及以上的为小型企业；营业收入</w:t>
      </w:r>
      <w:r>
        <w:rPr>
          <w:rFonts w:ascii="宋体" w:hAnsi="宋体"/>
          <w:color w:val="auto"/>
          <w:szCs w:val="21"/>
          <w:highlight w:val="none"/>
        </w:rPr>
        <w:t>100</w:t>
      </w:r>
      <w:r>
        <w:rPr>
          <w:rFonts w:hint="eastAsia" w:ascii="宋体" w:hAnsi="宋体"/>
          <w:color w:val="auto"/>
          <w:szCs w:val="21"/>
          <w:highlight w:val="none"/>
        </w:rPr>
        <w:t>万元以下或资产总额</w:t>
      </w:r>
      <w:r>
        <w:rPr>
          <w:rFonts w:ascii="宋体" w:hAnsi="宋体"/>
          <w:color w:val="auto"/>
          <w:szCs w:val="21"/>
          <w:highlight w:val="none"/>
        </w:rPr>
        <w:t>2000</w:t>
      </w:r>
      <w:r>
        <w:rPr>
          <w:rFonts w:hint="eastAsia" w:ascii="宋体" w:hAnsi="宋体"/>
          <w:color w:val="auto"/>
          <w:szCs w:val="21"/>
          <w:highlight w:val="none"/>
        </w:rPr>
        <w:t>万元以下的为微型企业。</w:t>
      </w:r>
    </w:p>
    <w:p w14:paraId="40EBB8C1">
      <w:pPr>
        <w:pStyle w:val="2"/>
        <w:spacing w:after="0" w:line="360" w:lineRule="exact"/>
        <w:ind w:firstLine="420" w:firstLineChars="200"/>
        <w:rPr>
          <w:rFonts w:ascii="宋体" w:hAnsi="宋体"/>
          <w:color w:val="auto"/>
          <w:szCs w:val="21"/>
          <w:highlight w:val="none"/>
        </w:rPr>
      </w:pPr>
      <w:r>
        <w:rPr>
          <w:rFonts w:hint="eastAsia" w:ascii="宋体" w:hAnsi="宋体"/>
          <w:color w:val="auto"/>
          <w:szCs w:val="21"/>
          <w:highlight w:val="none"/>
        </w:rPr>
        <w:t>（十四）物业管理。从业人员</w:t>
      </w:r>
      <w:r>
        <w:rPr>
          <w:rFonts w:ascii="宋体" w:hAnsi="宋体"/>
          <w:color w:val="auto"/>
          <w:szCs w:val="21"/>
          <w:highlight w:val="none"/>
        </w:rPr>
        <w:t>1000</w:t>
      </w:r>
      <w:r>
        <w:rPr>
          <w:rFonts w:hint="eastAsia" w:ascii="宋体" w:hAnsi="宋体"/>
          <w:color w:val="auto"/>
          <w:szCs w:val="21"/>
          <w:highlight w:val="none"/>
        </w:rPr>
        <w:t>人以下或营业收入</w:t>
      </w:r>
      <w:r>
        <w:rPr>
          <w:rFonts w:ascii="宋体" w:hAnsi="宋体"/>
          <w:color w:val="auto"/>
          <w:szCs w:val="21"/>
          <w:highlight w:val="none"/>
        </w:rPr>
        <w:t>5000</w:t>
      </w:r>
      <w:r>
        <w:rPr>
          <w:rFonts w:hint="eastAsia" w:ascii="宋体" w:hAnsi="宋体"/>
          <w:color w:val="auto"/>
          <w:szCs w:val="21"/>
          <w:highlight w:val="none"/>
        </w:rPr>
        <w:t>万元以下的为中小微型企业。其中，从业人员</w:t>
      </w:r>
      <w:r>
        <w:rPr>
          <w:rFonts w:ascii="宋体" w:hAnsi="宋体"/>
          <w:color w:val="auto"/>
          <w:szCs w:val="21"/>
          <w:highlight w:val="none"/>
        </w:rPr>
        <w:t>300</w:t>
      </w:r>
      <w:r>
        <w:rPr>
          <w:rFonts w:hint="eastAsia" w:ascii="宋体" w:hAnsi="宋体"/>
          <w:color w:val="auto"/>
          <w:szCs w:val="21"/>
          <w:highlight w:val="none"/>
        </w:rPr>
        <w:t>人及以上，且营业收入</w:t>
      </w:r>
      <w:r>
        <w:rPr>
          <w:rFonts w:ascii="宋体" w:hAnsi="宋体"/>
          <w:color w:val="auto"/>
          <w:szCs w:val="21"/>
          <w:highlight w:val="none"/>
        </w:rPr>
        <w:t>1000</w:t>
      </w:r>
      <w:r>
        <w:rPr>
          <w:rFonts w:hint="eastAsia" w:ascii="宋体" w:hAnsi="宋体"/>
          <w:color w:val="auto"/>
          <w:szCs w:val="21"/>
          <w:highlight w:val="none"/>
        </w:rPr>
        <w:t>万元及以上的为中型企业；从业人员</w:t>
      </w:r>
      <w:r>
        <w:rPr>
          <w:rFonts w:ascii="宋体" w:hAnsi="宋体"/>
          <w:color w:val="auto"/>
          <w:szCs w:val="21"/>
          <w:highlight w:val="none"/>
        </w:rPr>
        <w:t>100</w:t>
      </w:r>
      <w:r>
        <w:rPr>
          <w:rFonts w:hint="eastAsia" w:ascii="宋体" w:hAnsi="宋体"/>
          <w:color w:val="auto"/>
          <w:szCs w:val="21"/>
          <w:highlight w:val="none"/>
        </w:rPr>
        <w:t>人及以上，且营业收入</w:t>
      </w:r>
      <w:r>
        <w:rPr>
          <w:rFonts w:ascii="宋体" w:hAnsi="宋体"/>
          <w:color w:val="auto"/>
          <w:szCs w:val="21"/>
          <w:highlight w:val="none"/>
        </w:rPr>
        <w:t>500</w:t>
      </w:r>
      <w:r>
        <w:rPr>
          <w:rFonts w:hint="eastAsia" w:ascii="宋体" w:hAnsi="宋体"/>
          <w:color w:val="auto"/>
          <w:szCs w:val="21"/>
          <w:highlight w:val="none"/>
        </w:rPr>
        <w:t>万元及以上的为小型企业；从业人员</w:t>
      </w:r>
      <w:r>
        <w:rPr>
          <w:rFonts w:ascii="宋体" w:hAnsi="宋体"/>
          <w:color w:val="auto"/>
          <w:szCs w:val="21"/>
          <w:highlight w:val="none"/>
        </w:rPr>
        <w:t>100</w:t>
      </w:r>
      <w:r>
        <w:rPr>
          <w:rFonts w:hint="eastAsia" w:ascii="宋体" w:hAnsi="宋体"/>
          <w:color w:val="auto"/>
          <w:szCs w:val="21"/>
          <w:highlight w:val="none"/>
        </w:rPr>
        <w:t>人以下或营业收入</w:t>
      </w:r>
      <w:r>
        <w:rPr>
          <w:rFonts w:ascii="宋体" w:hAnsi="宋体"/>
          <w:color w:val="auto"/>
          <w:szCs w:val="21"/>
          <w:highlight w:val="none"/>
        </w:rPr>
        <w:t>500</w:t>
      </w:r>
      <w:r>
        <w:rPr>
          <w:rFonts w:hint="eastAsia" w:ascii="宋体" w:hAnsi="宋体"/>
          <w:color w:val="auto"/>
          <w:szCs w:val="21"/>
          <w:highlight w:val="none"/>
        </w:rPr>
        <w:t>万元以下的为微型企业。</w:t>
      </w:r>
    </w:p>
    <w:p w14:paraId="3D8717CC">
      <w:pPr>
        <w:pStyle w:val="2"/>
        <w:spacing w:after="0" w:line="360" w:lineRule="exact"/>
        <w:ind w:firstLine="420" w:firstLineChars="200"/>
        <w:rPr>
          <w:rFonts w:ascii="宋体" w:hAnsi="宋体"/>
          <w:color w:val="auto"/>
          <w:szCs w:val="21"/>
          <w:highlight w:val="none"/>
        </w:rPr>
      </w:pPr>
      <w:r>
        <w:rPr>
          <w:rFonts w:hint="eastAsia" w:ascii="宋体" w:hAnsi="宋体"/>
          <w:color w:val="auto"/>
          <w:szCs w:val="21"/>
          <w:highlight w:val="none"/>
        </w:rPr>
        <w:t>（十五）租赁和商务服务业。从业人员</w:t>
      </w:r>
      <w:r>
        <w:rPr>
          <w:rFonts w:ascii="宋体" w:hAnsi="宋体"/>
          <w:color w:val="auto"/>
          <w:szCs w:val="21"/>
          <w:highlight w:val="none"/>
        </w:rPr>
        <w:t>300</w:t>
      </w:r>
      <w:r>
        <w:rPr>
          <w:rFonts w:hint="eastAsia" w:ascii="宋体" w:hAnsi="宋体"/>
          <w:color w:val="auto"/>
          <w:szCs w:val="21"/>
          <w:highlight w:val="none"/>
        </w:rPr>
        <w:t>人以下或资产总额</w:t>
      </w:r>
      <w:r>
        <w:rPr>
          <w:rFonts w:ascii="宋体" w:hAnsi="宋体"/>
          <w:color w:val="auto"/>
          <w:szCs w:val="21"/>
          <w:highlight w:val="none"/>
        </w:rPr>
        <w:t>120000</w:t>
      </w:r>
      <w:r>
        <w:rPr>
          <w:rFonts w:hint="eastAsia" w:ascii="宋体" w:hAnsi="宋体"/>
          <w:color w:val="auto"/>
          <w:szCs w:val="21"/>
          <w:highlight w:val="none"/>
        </w:rPr>
        <w:t>万元以下的为中小微型企业。其中，从业人员</w:t>
      </w:r>
      <w:r>
        <w:rPr>
          <w:rFonts w:ascii="宋体" w:hAnsi="宋体"/>
          <w:color w:val="auto"/>
          <w:szCs w:val="21"/>
          <w:highlight w:val="none"/>
        </w:rPr>
        <w:t>100</w:t>
      </w:r>
      <w:r>
        <w:rPr>
          <w:rFonts w:hint="eastAsia" w:ascii="宋体" w:hAnsi="宋体"/>
          <w:color w:val="auto"/>
          <w:szCs w:val="21"/>
          <w:highlight w:val="none"/>
        </w:rPr>
        <w:t>人及以上，且资产总额</w:t>
      </w:r>
      <w:r>
        <w:rPr>
          <w:rFonts w:ascii="宋体" w:hAnsi="宋体"/>
          <w:color w:val="auto"/>
          <w:szCs w:val="21"/>
          <w:highlight w:val="none"/>
        </w:rPr>
        <w:t>8000</w:t>
      </w:r>
      <w:r>
        <w:rPr>
          <w:rFonts w:hint="eastAsia" w:ascii="宋体" w:hAnsi="宋体"/>
          <w:color w:val="auto"/>
          <w:szCs w:val="21"/>
          <w:highlight w:val="none"/>
        </w:rPr>
        <w:t>万元及以上的为中型企业；从业人员</w:t>
      </w:r>
      <w:r>
        <w:rPr>
          <w:rFonts w:ascii="宋体" w:hAnsi="宋体"/>
          <w:color w:val="auto"/>
          <w:szCs w:val="21"/>
          <w:highlight w:val="none"/>
        </w:rPr>
        <w:t>10</w:t>
      </w:r>
      <w:r>
        <w:rPr>
          <w:rFonts w:hint="eastAsia" w:ascii="宋体" w:hAnsi="宋体"/>
          <w:color w:val="auto"/>
          <w:szCs w:val="21"/>
          <w:highlight w:val="none"/>
        </w:rPr>
        <w:t>人及以上，且资产总额</w:t>
      </w:r>
      <w:r>
        <w:rPr>
          <w:rFonts w:ascii="宋体" w:hAnsi="宋体"/>
          <w:color w:val="auto"/>
          <w:szCs w:val="21"/>
          <w:highlight w:val="none"/>
        </w:rPr>
        <w:t>100</w:t>
      </w:r>
      <w:r>
        <w:rPr>
          <w:rFonts w:hint="eastAsia" w:ascii="宋体" w:hAnsi="宋体"/>
          <w:color w:val="auto"/>
          <w:szCs w:val="21"/>
          <w:highlight w:val="none"/>
        </w:rPr>
        <w:t>万元及以上的为小型企业；从业人员</w:t>
      </w:r>
      <w:r>
        <w:rPr>
          <w:rFonts w:ascii="宋体" w:hAnsi="宋体"/>
          <w:color w:val="auto"/>
          <w:szCs w:val="21"/>
          <w:highlight w:val="none"/>
        </w:rPr>
        <w:t>10</w:t>
      </w:r>
      <w:r>
        <w:rPr>
          <w:rFonts w:hint="eastAsia" w:ascii="宋体" w:hAnsi="宋体"/>
          <w:color w:val="auto"/>
          <w:szCs w:val="21"/>
          <w:highlight w:val="none"/>
        </w:rPr>
        <w:t>人以下或资产总额</w:t>
      </w:r>
      <w:r>
        <w:rPr>
          <w:rFonts w:ascii="宋体" w:hAnsi="宋体"/>
          <w:color w:val="auto"/>
          <w:szCs w:val="21"/>
          <w:highlight w:val="none"/>
        </w:rPr>
        <w:t>100</w:t>
      </w:r>
      <w:r>
        <w:rPr>
          <w:rFonts w:hint="eastAsia" w:ascii="宋体" w:hAnsi="宋体"/>
          <w:color w:val="auto"/>
          <w:szCs w:val="21"/>
          <w:highlight w:val="none"/>
        </w:rPr>
        <w:t>万元以下的为微型企业。</w:t>
      </w:r>
    </w:p>
    <w:p w14:paraId="094573D8">
      <w:pPr>
        <w:pStyle w:val="2"/>
        <w:spacing w:after="0" w:line="360" w:lineRule="exact"/>
        <w:ind w:firstLine="420" w:firstLineChars="200"/>
        <w:rPr>
          <w:rFonts w:ascii="宋体" w:hAnsi="宋体"/>
          <w:color w:val="auto"/>
          <w:szCs w:val="21"/>
          <w:highlight w:val="none"/>
        </w:rPr>
      </w:pPr>
      <w:r>
        <w:rPr>
          <w:rFonts w:hint="eastAsia" w:ascii="宋体" w:hAnsi="宋体"/>
          <w:color w:val="auto"/>
          <w:szCs w:val="21"/>
          <w:highlight w:val="none"/>
        </w:rPr>
        <w:t>（十六）其他未列明行业。从业人员</w:t>
      </w:r>
      <w:r>
        <w:rPr>
          <w:rFonts w:ascii="宋体" w:hAnsi="宋体"/>
          <w:color w:val="auto"/>
          <w:szCs w:val="21"/>
          <w:highlight w:val="none"/>
        </w:rPr>
        <w:t>300</w:t>
      </w:r>
      <w:r>
        <w:rPr>
          <w:rFonts w:hint="eastAsia" w:ascii="宋体" w:hAnsi="宋体"/>
          <w:color w:val="auto"/>
          <w:szCs w:val="21"/>
          <w:highlight w:val="none"/>
        </w:rPr>
        <w:t>人以下的为中小微型企业。其中，从业人员</w:t>
      </w:r>
      <w:r>
        <w:rPr>
          <w:rFonts w:ascii="宋体" w:hAnsi="宋体"/>
          <w:color w:val="auto"/>
          <w:szCs w:val="21"/>
          <w:highlight w:val="none"/>
        </w:rPr>
        <w:t>100</w:t>
      </w:r>
      <w:r>
        <w:rPr>
          <w:rFonts w:hint="eastAsia" w:ascii="宋体" w:hAnsi="宋体"/>
          <w:color w:val="auto"/>
          <w:szCs w:val="21"/>
          <w:highlight w:val="none"/>
        </w:rPr>
        <w:t>人及以上的为中型企业；从业人员</w:t>
      </w:r>
      <w:r>
        <w:rPr>
          <w:rFonts w:ascii="宋体" w:hAnsi="宋体"/>
          <w:color w:val="auto"/>
          <w:szCs w:val="21"/>
          <w:highlight w:val="none"/>
        </w:rPr>
        <w:t>10</w:t>
      </w:r>
      <w:r>
        <w:rPr>
          <w:rFonts w:hint="eastAsia" w:ascii="宋体" w:hAnsi="宋体"/>
          <w:color w:val="auto"/>
          <w:szCs w:val="21"/>
          <w:highlight w:val="none"/>
        </w:rPr>
        <w:t>人及以上的为小型企业；从业人员</w:t>
      </w:r>
      <w:r>
        <w:rPr>
          <w:rFonts w:ascii="宋体" w:hAnsi="宋体"/>
          <w:color w:val="auto"/>
          <w:szCs w:val="21"/>
          <w:highlight w:val="none"/>
        </w:rPr>
        <w:t>10</w:t>
      </w:r>
      <w:r>
        <w:rPr>
          <w:rFonts w:hint="eastAsia" w:ascii="宋体" w:hAnsi="宋体"/>
          <w:color w:val="auto"/>
          <w:szCs w:val="21"/>
          <w:highlight w:val="none"/>
        </w:rPr>
        <w:t>人以下的为微型企业。</w:t>
      </w:r>
    </w:p>
    <w:p w14:paraId="393FC59D">
      <w:pPr>
        <w:pStyle w:val="2"/>
        <w:spacing w:after="0" w:line="360" w:lineRule="exact"/>
        <w:ind w:firstLine="420" w:firstLineChars="200"/>
        <w:rPr>
          <w:rFonts w:ascii="宋体" w:hAnsi="宋体"/>
          <w:color w:val="auto"/>
          <w:szCs w:val="21"/>
          <w:highlight w:val="none"/>
        </w:rPr>
      </w:pPr>
      <w:r>
        <w:rPr>
          <w:rFonts w:hint="eastAsia" w:ascii="宋体" w:hAnsi="宋体"/>
          <w:color w:val="auto"/>
          <w:szCs w:val="21"/>
          <w:highlight w:val="none"/>
        </w:rPr>
        <w:t>五、企业类型的划分以统计部门的统计数据为依据。</w:t>
      </w:r>
    </w:p>
    <w:p w14:paraId="34DDFD96">
      <w:pPr>
        <w:pStyle w:val="2"/>
        <w:spacing w:after="0" w:line="360" w:lineRule="exact"/>
        <w:ind w:firstLine="420" w:firstLineChars="200"/>
        <w:rPr>
          <w:rFonts w:ascii="宋体" w:hAnsi="宋体"/>
          <w:color w:val="auto"/>
          <w:szCs w:val="21"/>
          <w:highlight w:val="none"/>
        </w:rPr>
      </w:pPr>
      <w:r>
        <w:rPr>
          <w:rFonts w:hint="eastAsia" w:ascii="宋体" w:hAnsi="宋体"/>
          <w:color w:val="auto"/>
          <w:szCs w:val="21"/>
          <w:highlight w:val="none"/>
        </w:rPr>
        <w:t>六、本规定适用于在中华人民共和国境内依法设立的各类所有制和各种组织形式的企业。个体工商户和本规定以外的行业，参照本规定进行划型。</w:t>
      </w:r>
    </w:p>
    <w:p w14:paraId="2F762FB0">
      <w:pPr>
        <w:pStyle w:val="2"/>
        <w:spacing w:after="0" w:line="360" w:lineRule="exact"/>
        <w:ind w:firstLine="420" w:firstLineChars="200"/>
        <w:rPr>
          <w:rFonts w:ascii="宋体" w:hAnsi="宋体"/>
          <w:color w:val="auto"/>
          <w:szCs w:val="21"/>
          <w:highlight w:val="none"/>
        </w:rPr>
      </w:pPr>
      <w:r>
        <w:rPr>
          <w:rFonts w:hint="eastAsia" w:ascii="宋体" w:hAnsi="宋体"/>
          <w:color w:val="auto"/>
          <w:szCs w:val="21"/>
          <w:highlight w:val="none"/>
        </w:rPr>
        <w:t>七、本规定的中型企业标准上限即为大型企业标准的下限，国家统计部门据此制定大中小微型企业的统计分类。国务院有关部门据此进行相关数据分析，不得制定与本规定不一致的企业划型标准。</w:t>
      </w:r>
    </w:p>
    <w:p w14:paraId="56F04351">
      <w:pPr>
        <w:pStyle w:val="2"/>
        <w:spacing w:after="0" w:line="360" w:lineRule="exact"/>
        <w:ind w:firstLine="420" w:firstLineChars="200"/>
        <w:rPr>
          <w:rFonts w:ascii="宋体" w:hAnsi="宋体"/>
          <w:color w:val="auto"/>
          <w:szCs w:val="21"/>
          <w:highlight w:val="none"/>
        </w:rPr>
      </w:pPr>
      <w:r>
        <w:rPr>
          <w:rFonts w:hint="eastAsia" w:ascii="宋体" w:hAnsi="宋体"/>
          <w:color w:val="auto"/>
          <w:szCs w:val="21"/>
          <w:highlight w:val="none"/>
        </w:rPr>
        <w:t>八、本规定由工业和信息化部、国家统计局会同有关部门根据《国民经济行业分类》修订情况和企业发展变化情况适时修订。</w:t>
      </w:r>
    </w:p>
    <w:p w14:paraId="67E6789C">
      <w:pPr>
        <w:pStyle w:val="2"/>
        <w:spacing w:after="0" w:line="360" w:lineRule="exact"/>
        <w:ind w:firstLine="420" w:firstLineChars="200"/>
        <w:rPr>
          <w:rFonts w:ascii="宋体" w:hAnsi="宋体"/>
          <w:color w:val="auto"/>
          <w:szCs w:val="21"/>
          <w:highlight w:val="none"/>
        </w:rPr>
      </w:pPr>
      <w:r>
        <w:rPr>
          <w:rFonts w:hint="eastAsia" w:ascii="宋体" w:hAnsi="宋体"/>
          <w:color w:val="auto"/>
          <w:szCs w:val="21"/>
          <w:highlight w:val="none"/>
        </w:rPr>
        <w:t>九、本规定由工业和信息化部、国家统计局会同有关部门负责解释。</w:t>
      </w:r>
    </w:p>
    <w:p w14:paraId="64A5451F">
      <w:pPr>
        <w:pStyle w:val="2"/>
        <w:spacing w:after="0" w:line="360" w:lineRule="exact"/>
        <w:ind w:firstLine="420" w:firstLineChars="200"/>
        <w:rPr>
          <w:color w:val="auto"/>
          <w:szCs w:val="21"/>
          <w:highlight w:val="none"/>
        </w:rPr>
      </w:pPr>
      <w:r>
        <w:rPr>
          <w:rFonts w:hint="eastAsia" w:ascii="宋体" w:hAnsi="宋体"/>
          <w:color w:val="auto"/>
          <w:szCs w:val="21"/>
          <w:highlight w:val="none"/>
        </w:rPr>
        <w:t>十、本规定自发布之日起执行，原国家经贸委、原国家计委、财政部和国家统计局</w:t>
      </w:r>
      <w:r>
        <w:rPr>
          <w:rFonts w:ascii="宋体" w:hAnsi="宋体"/>
          <w:color w:val="auto"/>
          <w:szCs w:val="21"/>
          <w:highlight w:val="none"/>
        </w:rPr>
        <w:t>2003</w:t>
      </w:r>
      <w:r>
        <w:rPr>
          <w:rFonts w:hint="eastAsia" w:ascii="宋体" w:hAnsi="宋体"/>
          <w:color w:val="auto"/>
          <w:szCs w:val="21"/>
          <w:highlight w:val="none"/>
        </w:rPr>
        <w:t>年颁布的《中小企业标准暂行规定》同时废止。</w:t>
      </w:r>
    </w:p>
    <w:p w14:paraId="2A14FA69">
      <w:pPr>
        <w:tabs>
          <w:tab w:val="left" w:pos="180"/>
          <w:tab w:val="left" w:pos="1620"/>
        </w:tabs>
        <w:spacing w:line="360" w:lineRule="auto"/>
        <w:ind w:firstLine="422" w:firstLineChars="200"/>
        <w:rPr>
          <w:rFonts w:hint="eastAsia" w:ascii="宋体" w:hAnsi="宋体" w:cs="宋体"/>
          <w:b/>
          <w:bCs/>
          <w:color w:val="auto"/>
          <w:szCs w:val="21"/>
          <w:highlight w:val="none"/>
        </w:rPr>
      </w:pPr>
    </w:p>
    <w:p w14:paraId="54FA639F">
      <w:pPr>
        <w:rPr>
          <w:color w:val="auto"/>
        </w:rPr>
      </w:pPr>
    </w:p>
    <w:p w14:paraId="74CBFDD7">
      <w:pPr>
        <w:rPr>
          <w:color w:val="auto"/>
        </w:rPr>
      </w:pPr>
    </w:p>
    <w:p w14:paraId="08BEAA2D">
      <w:pPr>
        <w:rPr>
          <w:color w:val="auto"/>
        </w:rPr>
      </w:pPr>
    </w:p>
    <w:p w14:paraId="1BEEF753">
      <w:pPr>
        <w:rPr>
          <w:color w:val="auto"/>
        </w:rPr>
      </w:pPr>
    </w:p>
    <w:p w14:paraId="4AD8CEF6">
      <w:pPr>
        <w:rPr>
          <w:color w:val="auto"/>
        </w:rPr>
      </w:pPr>
    </w:p>
    <w:p w14:paraId="2141007F">
      <w:pPr>
        <w:rPr>
          <w:color w:val="auto"/>
        </w:rPr>
      </w:pPr>
    </w:p>
    <w:p w14:paraId="496BB6E1">
      <w:pPr>
        <w:rPr>
          <w:color w:val="auto"/>
        </w:rPr>
      </w:pPr>
    </w:p>
    <w:p w14:paraId="44236BAD">
      <w:pPr>
        <w:rPr>
          <w:color w:val="auto"/>
        </w:rPr>
      </w:pPr>
    </w:p>
    <w:p w14:paraId="6E8475CF">
      <w:pPr>
        <w:rPr>
          <w:color w:val="auto"/>
        </w:rPr>
      </w:pPr>
    </w:p>
    <w:p w14:paraId="5BD35752">
      <w:pPr>
        <w:rPr>
          <w:color w:val="auto"/>
        </w:rPr>
      </w:pPr>
    </w:p>
    <w:p w14:paraId="651F5396">
      <w:pPr>
        <w:rPr>
          <w:color w:val="auto"/>
        </w:rPr>
      </w:pPr>
    </w:p>
    <w:p w14:paraId="49C183DE">
      <w:pPr>
        <w:rPr>
          <w:color w:val="auto"/>
        </w:rPr>
      </w:pPr>
    </w:p>
    <w:p w14:paraId="1E4B2623">
      <w:pPr>
        <w:rPr>
          <w:color w:val="auto"/>
        </w:rPr>
      </w:pPr>
    </w:p>
    <w:p w14:paraId="07254621">
      <w:pPr>
        <w:rPr>
          <w:color w:val="auto"/>
        </w:rPr>
      </w:pPr>
    </w:p>
    <w:p w14:paraId="6079761F">
      <w:pPr>
        <w:rPr>
          <w:color w:val="auto"/>
        </w:rPr>
      </w:pPr>
    </w:p>
    <w:p w14:paraId="1B22BEA0">
      <w:pPr>
        <w:rPr>
          <w:color w:val="auto"/>
        </w:rPr>
      </w:pPr>
    </w:p>
    <w:p w14:paraId="77DE9FCB">
      <w:pPr>
        <w:rPr>
          <w:color w:val="auto"/>
        </w:rPr>
      </w:pPr>
    </w:p>
    <w:p w14:paraId="4E45321C">
      <w:pPr>
        <w:rPr>
          <w:color w:val="auto"/>
        </w:rPr>
      </w:pPr>
    </w:p>
    <w:p w14:paraId="26B5EF24">
      <w:pPr>
        <w:rPr>
          <w:color w:val="auto"/>
        </w:rPr>
      </w:pPr>
    </w:p>
    <w:p w14:paraId="3206FDF0">
      <w:pPr>
        <w:rPr>
          <w:color w:val="auto"/>
        </w:rPr>
      </w:pPr>
    </w:p>
    <w:p w14:paraId="11B76887">
      <w:pPr>
        <w:rPr>
          <w:color w:val="auto"/>
        </w:rPr>
      </w:pPr>
    </w:p>
    <w:p w14:paraId="0ACC2FD2">
      <w:pPr>
        <w:rPr>
          <w:color w:val="auto"/>
        </w:rPr>
      </w:pPr>
    </w:p>
    <w:p w14:paraId="10F27868">
      <w:pPr>
        <w:rPr>
          <w:color w:val="auto"/>
        </w:rPr>
      </w:pPr>
    </w:p>
    <w:p w14:paraId="3A3A8CF8">
      <w:pPr>
        <w:rPr>
          <w:color w:val="auto"/>
        </w:rPr>
      </w:pPr>
    </w:p>
    <w:p w14:paraId="56578C5E">
      <w:pPr>
        <w:rPr>
          <w:color w:val="auto"/>
        </w:rPr>
      </w:pPr>
    </w:p>
    <w:p w14:paraId="65B49389">
      <w:pPr>
        <w:rPr>
          <w:color w:val="auto"/>
        </w:rPr>
      </w:pPr>
    </w:p>
    <w:p w14:paraId="38D23E4F">
      <w:pPr>
        <w:rPr>
          <w:color w:val="auto"/>
        </w:rPr>
      </w:pPr>
    </w:p>
    <w:p w14:paraId="6E7869F3">
      <w:pPr>
        <w:rPr>
          <w:color w:val="auto"/>
        </w:rPr>
      </w:pPr>
    </w:p>
    <w:p w14:paraId="3FAC5116">
      <w:pPr>
        <w:rPr>
          <w:color w:val="auto"/>
        </w:rPr>
      </w:pPr>
    </w:p>
    <w:p w14:paraId="3C2FA8CF">
      <w:pPr>
        <w:pStyle w:val="3"/>
        <w:keepNext w:val="0"/>
        <w:wordWrap w:val="0"/>
        <w:spacing w:before="0" w:after="0" w:line="600" w:lineRule="exact"/>
        <w:jc w:val="center"/>
        <w:rPr>
          <w:color w:val="auto"/>
        </w:rPr>
      </w:pPr>
      <w:r>
        <w:rPr>
          <w:rFonts w:hint="eastAsia"/>
          <w:color w:val="auto"/>
        </w:rPr>
        <w:t>第四章  评审程序、评审方法和评审标准</w:t>
      </w:r>
      <w:bookmarkEnd w:id="77"/>
    </w:p>
    <w:p w14:paraId="08ED6876">
      <w:pPr>
        <w:spacing w:line="360" w:lineRule="auto"/>
        <w:jc w:val="center"/>
        <w:rPr>
          <w:rFonts w:ascii="宋体" w:hAnsi="宋体"/>
          <w:b/>
          <w:color w:val="auto"/>
          <w:sz w:val="32"/>
          <w:szCs w:val="32"/>
        </w:rPr>
      </w:pPr>
      <w:r>
        <w:rPr>
          <w:rFonts w:hint="eastAsia" w:ascii="宋体" w:hAnsi="宋体"/>
          <w:b/>
          <w:color w:val="auto"/>
          <w:sz w:val="32"/>
          <w:szCs w:val="32"/>
        </w:rPr>
        <w:t>一、评审程序和评审方法</w:t>
      </w:r>
    </w:p>
    <w:p w14:paraId="531B8D97">
      <w:pPr>
        <w:spacing w:line="360" w:lineRule="auto"/>
        <w:ind w:firstLine="482" w:firstLineChars="200"/>
        <w:rPr>
          <w:rFonts w:ascii="黑体" w:hAnsi="黑体" w:eastAsia="黑体" w:cs="宋体"/>
          <w:b/>
          <w:bCs/>
          <w:color w:val="auto"/>
          <w:sz w:val="24"/>
        </w:rPr>
      </w:pPr>
      <w:r>
        <w:rPr>
          <w:rFonts w:ascii="黑体" w:hAnsi="黑体" w:eastAsia="黑体" w:cs="宋体"/>
          <w:b/>
          <w:bCs/>
          <w:color w:val="auto"/>
          <w:sz w:val="24"/>
        </w:rPr>
        <w:t>1</w:t>
      </w:r>
      <w:r>
        <w:rPr>
          <w:rFonts w:hint="eastAsia" w:ascii="黑体" w:hAnsi="黑体" w:eastAsia="黑体" w:cs="宋体"/>
          <w:b/>
          <w:bCs/>
          <w:color w:val="auto"/>
          <w:sz w:val="24"/>
        </w:rPr>
        <w:t>.资格审查</w:t>
      </w:r>
    </w:p>
    <w:p w14:paraId="1B89D08C">
      <w:pPr>
        <w:snapToGrid w:val="0"/>
        <w:spacing w:line="360" w:lineRule="auto"/>
        <w:ind w:firstLine="420" w:firstLineChars="200"/>
        <w:rPr>
          <w:rFonts w:ascii="宋体" w:hAnsi="宋体"/>
          <w:color w:val="auto"/>
          <w:szCs w:val="21"/>
        </w:rPr>
      </w:pPr>
      <w:r>
        <w:rPr>
          <w:rFonts w:ascii="宋体" w:hAnsi="宋体" w:cs="宋体"/>
          <w:color w:val="auto"/>
          <w:szCs w:val="21"/>
        </w:rPr>
        <w:t>1</w:t>
      </w:r>
      <w:r>
        <w:rPr>
          <w:rFonts w:hint="eastAsia" w:ascii="宋体" w:hAnsi="宋体" w:cs="宋体"/>
          <w:color w:val="auto"/>
          <w:szCs w:val="21"/>
        </w:rPr>
        <w:t>.1</w:t>
      </w:r>
      <w:r>
        <w:rPr>
          <w:rFonts w:hint="eastAsia" w:ascii="宋体" w:hAnsi="宋体"/>
          <w:color w:val="auto"/>
          <w:szCs w:val="21"/>
        </w:rPr>
        <w:t>响应文件开启后，磋商小组依法对供应商的资格证明文件进行审查。</w:t>
      </w:r>
    </w:p>
    <w:p w14:paraId="0DD6951B">
      <w:pPr>
        <w:snapToGrid w:val="0"/>
        <w:spacing w:line="360" w:lineRule="auto"/>
        <w:ind w:firstLine="420" w:firstLineChars="200"/>
        <w:rPr>
          <w:rFonts w:ascii="宋体" w:hAnsi="宋体" w:cs="宋体"/>
          <w:color w:val="auto"/>
          <w:szCs w:val="21"/>
        </w:rPr>
      </w:pPr>
      <w:r>
        <w:rPr>
          <w:rFonts w:hint="eastAsia" w:ascii="宋体" w:hAnsi="宋体" w:cs="宋体"/>
          <w:color w:val="auto"/>
          <w:szCs w:val="21"/>
        </w:rPr>
        <w:t>注：</w:t>
      </w:r>
      <w:r>
        <w:rPr>
          <w:rFonts w:hint="eastAsia"/>
          <w:color w:val="auto"/>
        </w:rPr>
        <w:t>磋商小组</w:t>
      </w:r>
      <w:r>
        <w:rPr>
          <w:rFonts w:hint="eastAsia" w:ascii="宋体" w:hAnsi="宋体" w:cs="宋体"/>
          <w:color w:val="auto"/>
          <w:szCs w:val="21"/>
        </w:rPr>
        <w:t>在资格审查结束前，对供应商进行信用查询。</w:t>
      </w:r>
    </w:p>
    <w:p w14:paraId="643D1E84">
      <w:pPr>
        <w:snapToGrid w:val="0"/>
        <w:spacing w:line="360" w:lineRule="auto"/>
        <w:ind w:firstLine="420" w:firstLineChars="200"/>
        <w:rPr>
          <w:rFonts w:ascii="宋体" w:hAnsi="宋体" w:cs="宋体"/>
          <w:color w:val="auto"/>
          <w:szCs w:val="21"/>
        </w:rPr>
      </w:pPr>
      <w:r>
        <w:rPr>
          <w:rFonts w:hint="eastAsia" w:ascii="宋体" w:hAnsi="宋体" w:cs="宋体"/>
          <w:color w:val="auto"/>
          <w:szCs w:val="21"/>
        </w:rPr>
        <w:t>（1）查询渠道：</w:t>
      </w:r>
      <w:r>
        <w:rPr>
          <w:rFonts w:hint="eastAsia" w:ascii="宋体" w:hAnsi="宋体"/>
          <w:color w:val="auto"/>
          <w:szCs w:val="21"/>
        </w:rPr>
        <w:t>广西政府采购云平台</w:t>
      </w:r>
      <w:r>
        <w:rPr>
          <w:rFonts w:hint="eastAsia" w:ascii="宋体" w:hAnsi="宋体" w:cs="宋体"/>
          <w:color w:val="auto"/>
          <w:szCs w:val="21"/>
        </w:rPr>
        <w:t>“信用中国”网站(www.creditchina.gov.cn)、中国政府采购网(www.ccgp.gov.cn)链接入口。</w:t>
      </w:r>
    </w:p>
    <w:p w14:paraId="169F9EDA">
      <w:pPr>
        <w:snapToGrid w:val="0"/>
        <w:spacing w:line="360" w:lineRule="auto"/>
        <w:ind w:firstLine="420" w:firstLineChars="200"/>
        <w:rPr>
          <w:rFonts w:ascii="宋体" w:hAnsi="宋体" w:cs="宋体"/>
          <w:color w:val="auto"/>
          <w:szCs w:val="21"/>
        </w:rPr>
      </w:pPr>
      <w:r>
        <w:rPr>
          <w:rFonts w:hint="eastAsia" w:ascii="宋体" w:hAnsi="宋体" w:cs="宋体"/>
          <w:color w:val="auto"/>
          <w:szCs w:val="21"/>
        </w:rPr>
        <w:t>（2）信用查询截止时点：资格审查结束前。</w:t>
      </w:r>
    </w:p>
    <w:p w14:paraId="04DA3729">
      <w:pPr>
        <w:snapToGrid w:val="0"/>
        <w:spacing w:line="360" w:lineRule="auto"/>
        <w:ind w:firstLine="420" w:firstLineChars="200"/>
        <w:rPr>
          <w:rFonts w:ascii="宋体" w:hAnsi="宋体" w:cs="宋体"/>
          <w:color w:val="auto"/>
          <w:szCs w:val="21"/>
        </w:rPr>
      </w:pPr>
      <w:r>
        <w:rPr>
          <w:rFonts w:hint="eastAsia" w:ascii="宋体" w:hAnsi="宋体" w:cs="宋体"/>
          <w:color w:val="auto"/>
          <w:szCs w:val="21"/>
        </w:rPr>
        <w:t>（3）查询记录和证据留存方式：在查询网站中直接查询，截图另存为电子文档作为评审资料保存。</w:t>
      </w:r>
    </w:p>
    <w:p w14:paraId="3A6E552D">
      <w:pPr>
        <w:snapToGrid w:val="0"/>
        <w:spacing w:line="360" w:lineRule="auto"/>
        <w:ind w:firstLine="420" w:firstLineChars="200"/>
        <w:rPr>
          <w:rFonts w:ascii="宋体" w:hAnsi="宋体" w:cs="宋体"/>
          <w:color w:val="auto"/>
          <w:szCs w:val="21"/>
        </w:rPr>
      </w:pPr>
      <w:r>
        <w:rPr>
          <w:rFonts w:hint="eastAsia" w:ascii="宋体" w:hAnsi="宋体" w:cs="宋体"/>
          <w:color w:val="auto"/>
          <w:szCs w:val="21"/>
        </w:rPr>
        <w:t>（4）信用信息使用规则：对在“信用中国”网站（www.creditchina.gov.cn） 、中国政府采购网（www.ccgp.gov.cn）被列入失信被执行人、</w:t>
      </w:r>
      <w:r>
        <w:rPr>
          <w:rFonts w:hint="eastAsia" w:ascii="宋体" w:hAnsi="宋体" w:cs="宋体"/>
          <w:color w:val="auto"/>
          <w:kern w:val="0"/>
          <w:szCs w:val="21"/>
        </w:rPr>
        <w:t>重大税收违法失信主体</w:t>
      </w:r>
      <w:r>
        <w:rPr>
          <w:rFonts w:hint="eastAsia" w:ascii="宋体" w:hAnsi="宋体" w:cs="宋体"/>
          <w:color w:val="auto"/>
          <w:szCs w:val="21"/>
        </w:rPr>
        <w:t>、政府采购严重违法失信行为记录名单及其他不符合《中华人民共和国政府采购法》第二十二条规定条件的供应商，资格审查不通过，不得参与政府采购活动。</w:t>
      </w:r>
      <w:r>
        <w:rPr>
          <w:rFonts w:hint="eastAsia" w:ascii="宋体" w:hAnsi="宋体"/>
          <w:color w:val="auto"/>
          <w:szCs w:val="21"/>
        </w:rPr>
        <w:t>两个以上的自然人、法人或者其他组织组成一个联合体，以一个供应商的身份共同参加政府采购活动的，应当对所有联合体成员进行信用记录查询，联合体成员存在不良信用记录（被列入失信被执行人、</w:t>
      </w:r>
      <w:r>
        <w:rPr>
          <w:rFonts w:hint="eastAsia" w:ascii="宋体" w:hAnsi="宋体" w:cs="宋体"/>
          <w:color w:val="auto"/>
          <w:kern w:val="0"/>
          <w:szCs w:val="21"/>
        </w:rPr>
        <w:t>重大税收违法失信主体</w:t>
      </w:r>
      <w:r>
        <w:rPr>
          <w:rFonts w:hint="eastAsia" w:ascii="宋体" w:hAnsi="宋体"/>
          <w:color w:val="auto"/>
          <w:szCs w:val="21"/>
        </w:rPr>
        <w:t>、政府采购严重违法失信行为记录名单及其他不符合《中华人民共和国政府采购法》第二十二条规定条件的供应商）的，视同联合体存在不良信用记录</w:t>
      </w:r>
      <w:r>
        <w:rPr>
          <w:rFonts w:hint="eastAsia" w:ascii="宋体" w:hAnsi="宋体" w:cs="宋体"/>
          <w:color w:val="auto"/>
          <w:szCs w:val="21"/>
        </w:rPr>
        <w:t>。</w:t>
      </w:r>
    </w:p>
    <w:p w14:paraId="215613DF">
      <w:pPr>
        <w:spacing w:line="360" w:lineRule="auto"/>
        <w:ind w:firstLine="420" w:firstLineChars="200"/>
        <w:rPr>
          <w:rFonts w:ascii="宋体" w:hAnsi="宋体" w:cs="宋体"/>
          <w:color w:val="auto"/>
          <w:szCs w:val="21"/>
        </w:rPr>
      </w:pPr>
      <w:r>
        <w:rPr>
          <w:rFonts w:ascii="宋体" w:hAnsi="宋体" w:cs="宋体"/>
          <w:color w:val="auto"/>
          <w:szCs w:val="21"/>
        </w:rPr>
        <w:t>1</w:t>
      </w:r>
      <w:r>
        <w:rPr>
          <w:rFonts w:hint="eastAsia" w:ascii="宋体" w:hAnsi="宋体" w:cs="宋体"/>
          <w:color w:val="auto"/>
          <w:szCs w:val="21"/>
        </w:rPr>
        <w:t>.2资格审查标准为本磋商文件中载明对供应商资格要求的条件。资格审查采用合格制，凡符合磋商文件规定的供应商资格要求的响应文件均通过资格审查。</w:t>
      </w:r>
    </w:p>
    <w:p w14:paraId="3384FFA3">
      <w:pPr>
        <w:spacing w:line="360" w:lineRule="auto"/>
        <w:ind w:firstLine="420" w:firstLineChars="200"/>
        <w:rPr>
          <w:rFonts w:ascii="宋体" w:hAnsi="宋体" w:cs="宋体"/>
          <w:color w:val="auto"/>
          <w:szCs w:val="21"/>
        </w:rPr>
      </w:pPr>
      <w:r>
        <w:rPr>
          <w:rFonts w:ascii="宋体" w:hAnsi="宋体" w:cs="宋体"/>
          <w:color w:val="auto"/>
          <w:szCs w:val="21"/>
        </w:rPr>
        <w:t>1</w:t>
      </w:r>
      <w:r>
        <w:rPr>
          <w:rFonts w:hint="eastAsia" w:ascii="宋体" w:hAnsi="宋体" w:cs="宋体"/>
          <w:color w:val="auto"/>
          <w:szCs w:val="21"/>
        </w:rPr>
        <w:t>.3供应商有下列情形之一的，资格审查不通过，其响应文件按无效响应处理：</w:t>
      </w:r>
    </w:p>
    <w:p w14:paraId="57575485">
      <w:pPr>
        <w:snapToGrid w:val="0"/>
        <w:spacing w:line="360" w:lineRule="auto"/>
        <w:ind w:firstLine="420" w:firstLineChars="200"/>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1</w:t>
      </w:r>
      <w:r>
        <w:rPr>
          <w:rFonts w:hint="eastAsia" w:ascii="宋体" w:hAnsi="宋体" w:cs="宋体"/>
          <w:color w:val="auto"/>
          <w:szCs w:val="21"/>
        </w:rPr>
        <w:t>）不具备磋商文件中规定的资格要求的；</w:t>
      </w:r>
    </w:p>
    <w:p w14:paraId="2BA84410">
      <w:pPr>
        <w:spacing w:line="360" w:lineRule="auto"/>
        <w:ind w:firstLine="420" w:firstLineChars="200"/>
        <w:rPr>
          <w:rFonts w:ascii="宋体" w:hAnsi="宋体" w:cs="宋体"/>
          <w:color w:val="auto"/>
          <w:szCs w:val="21"/>
        </w:rPr>
      </w:pPr>
      <w:r>
        <w:rPr>
          <w:rFonts w:hint="eastAsia" w:ascii="宋体" w:hAnsi="宋体" w:cs="宋体"/>
          <w:color w:val="auto"/>
          <w:szCs w:val="21"/>
        </w:rPr>
        <w:t>（2）未按磋商文件规定的方式获取本磋商文件的供应商；</w:t>
      </w:r>
    </w:p>
    <w:p w14:paraId="1C4CA055">
      <w:pPr>
        <w:spacing w:line="360" w:lineRule="auto"/>
        <w:ind w:firstLine="420" w:firstLineChars="200"/>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3</w:t>
      </w:r>
      <w:r>
        <w:rPr>
          <w:rFonts w:hint="eastAsia" w:ascii="宋体" w:hAnsi="宋体" w:cs="宋体"/>
          <w:color w:val="auto"/>
          <w:szCs w:val="21"/>
        </w:rPr>
        <w:t>）响应文件的资格证明文件缺少任一项“供应商须知前附表”资格证明文件规定的“必须提供”的文件资料的；</w:t>
      </w:r>
    </w:p>
    <w:p w14:paraId="50169146">
      <w:pPr>
        <w:spacing w:line="360" w:lineRule="auto"/>
        <w:ind w:firstLine="420" w:firstLineChars="200"/>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4</w:t>
      </w:r>
      <w:r>
        <w:rPr>
          <w:rFonts w:hint="eastAsia" w:ascii="宋体" w:hAnsi="宋体" w:cs="宋体"/>
          <w:color w:val="auto"/>
          <w:szCs w:val="21"/>
        </w:rPr>
        <w:t>）响应文件中的资格证明文件出现任一项不符合“供应商须知前附表”资格证明文件规定的“必须提供”的文件资料要求或者无效的；</w:t>
      </w:r>
    </w:p>
    <w:p w14:paraId="003504E0">
      <w:pPr>
        <w:spacing w:line="360" w:lineRule="auto"/>
        <w:ind w:firstLine="420" w:firstLineChars="200"/>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5</w:t>
      </w:r>
      <w:r>
        <w:rPr>
          <w:rFonts w:hint="eastAsia" w:ascii="宋体" w:hAnsi="宋体" w:cs="宋体"/>
          <w:color w:val="auto"/>
          <w:szCs w:val="21"/>
        </w:rPr>
        <w:t>）同一合同项下的不同供应商，单位负责人为同一人或者存在直接控股、管理关系的；为本项目提供过整体设计、规范编制或者项目管理、监理、检测等服务的供应商，再参加该采购项目的其他采购活动的。</w:t>
      </w:r>
    </w:p>
    <w:p w14:paraId="2941DE43">
      <w:pPr>
        <w:spacing w:line="360" w:lineRule="auto"/>
        <w:ind w:firstLine="420" w:firstLineChars="200"/>
        <w:rPr>
          <w:rFonts w:ascii="宋体" w:hAnsi="宋体" w:cs="宋体"/>
          <w:color w:val="auto"/>
          <w:szCs w:val="21"/>
        </w:rPr>
      </w:pPr>
      <w:r>
        <w:rPr>
          <w:rFonts w:ascii="宋体" w:hAnsi="宋体" w:cs="宋体"/>
          <w:color w:val="auto"/>
          <w:szCs w:val="21"/>
        </w:rPr>
        <w:t>1</w:t>
      </w:r>
      <w:r>
        <w:rPr>
          <w:rFonts w:hint="eastAsia" w:ascii="宋体" w:hAnsi="宋体" w:cs="宋体"/>
          <w:color w:val="auto"/>
          <w:szCs w:val="21"/>
        </w:rPr>
        <w:t>.4通过资格审查的合格供应商不足3家的，不得进入符合性审查环节，</w:t>
      </w:r>
      <w:r>
        <w:rPr>
          <w:rFonts w:hint="eastAsia" w:ascii="宋体" w:hAnsi="宋体"/>
          <w:color w:val="auto"/>
          <w:szCs w:val="21"/>
        </w:rPr>
        <w:t>采购人或者采购代理机构应当重新开展采购活动。</w:t>
      </w:r>
    </w:p>
    <w:p w14:paraId="6F777828">
      <w:pPr>
        <w:spacing w:line="360" w:lineRule="auto"/>
        <w:ind w:firstLine="482" w:firstLineChars="200"/>
        <w:rPr>
          <w:rFonts w:ascii="黑体" w:hAnsi="黑体" w:eastAsia="黑体" w:cs="宋体"/>
          <w:b/>
          <w:bCs/>
          <w:color w:val="auto"/>
          <w:sz w:val="24"/>
        </w:rPr>
      </w:pPr>
      <w:r>
        <w:rPr>
          <w:rFonts w:ascii="黑体" w:hAnsi="黑体" w:eastAsia="黑体" w:cs="宋体"/>
          <w:b/>
          <w:bCs/>
          <w:color w:val="auto"/>
          <w:sz w:val="24"/>
        </w:rPr>
        <w:t>2</w:t>
      </w:r>
      <w:r>
        <w:rPr>
          <w:rFonts w:hint="eastAsia" w:ascii="黑体" w:hAnsi="黑体" w:eastAsia="黑体" w:cs="宋体"/>
          <w:b/>
          <w:bCs/>
          <w:color w:val="auto"/>
          <w:sz w:val="24"/>
        </w:rPr>
        <w:t>.符合性审查</w:t>
      </w:r>
    </w:p>
    <w:p w14:paraId="478C6524">
      <w:pPr>
        <w:spacing w:line="360" w:lineRule="auto"/>
        <w:ind w:firstLine="420" w:firstLineChars="200"/>
        <w:rPr>
          <w:rFonts w:ascii="宋体" w:hAnsi="宋体" w:cs="宋体"/>
          <w:color w:val="auto"/>
          <w:szCs w:val="21"/>
        </w:rPr>
      </w:pPr>
      <w:bookmarkStart w:id="78" w:name="_Hlk42528882"/>
      <w:r>
        <w:rPr>
          <w:rFonts w:ascii="宋体" w:hAnsi="宋体" w:cs="宋体"/>
          <w:color w:val="auto"/>
          <w:szCs w:val="21"/>
        </w:rPr>
        <w:t>2.1</w:t>
      </w:r>
      <w:r>
        <w:rPr>
          <w:rFonts w:hint="eastAsia" w:ascii="宋体" w:hAnsi="宋体" w:cs="宋体"/>
          <w:color w:val="auto"/>
          <w:szCs w:val="21"/>
        </w:rPr>
        <w:t>由磋商小组对</w:t>
      </w:r>
      <w:r>
        <w:rPr>
          <w:rFonts w:hint="eastAsia" w:ascii="宋体" w:hAnsi="宋体"/>
          <w:color w:val="auto"/>
          <w:szCs w:val="21"/>
        </w:rPr>
        <w:t>通过资格审查的合格供应商</w:t>
      </w:r>
      <w:r>
        <w:rPr>
          <w:rFonts w:hint="eastAsia" w:ascii="宋体" w:hAnsi="宋体" w:cs="宋体"/>
          <w:color w:val="auto"/>
          <w:szCs w:val="21"/>
        </w:rPr>
        <w:t>的响应文件的</w:t>
      </w:r>
      <w:r>
        <w:rPr>
          <w:rFonts w:hint="eastAsia" w:ascii="宋体" w:hAnsi="宋体" w:cs="宋体"/>
          <w:color w:val="auto"/>
          <w:szCs w:val="21"/>
          <w:lang w:eastAsia="zh-CN"/>
        </w:rPr>
        <w:t>磋商报价</w:t>
      </w:r>
      <w:r>
        <w:rPr>
          <w:rFonts w:hint="eastAsia" w:ascii="宋体" w:hAnsi="宋体" w:cs="宋体"/>
          <w:color w:val="auto"/>
          <w:szCs w:val="21"/>
        </w:rPr>
        <w:t>、商务、技术等实质性要求进行符合性审查，以确定其是否满足磋商文件的实质性要求。</w:t>
      </w:r>
    </w:p>
    <w:bookmarkEnd w:id="78"/>
    <w:p w14:paraId="36EDB44C">
      <w:pPr>
        <w:spacing w:line="360" w:lineRule="auto"/>
        <w:ind w:firstLine="420" w:firstLineChars="200"/>
        <w:rPr>
          <w:rFonts w:ascii="宋体" w:hAnsi="宋体" w:cs="宋体"/>
          <w:color w:val="auto"/>
          <w:szCs w:val="21"/>
        </w:rPr>
      </w:pPr>
      <w:r>
        <w:rPr>
          <w:rFonts w:ascii="宋体" w:hAnsi="宋体" w:cs="宋体"/>
          <w:color w:val="auto"/>
          <w:szCs w:val="21"/>
        </w:rPr>
        <w:t>2.2</w:t>
      </w:r>
      <w:r>
        <w:rPr>
          <w:rFonts w:hint="eastAsia" w:ascii="宋体" w:hAnsi="宋体" w:cs="宋体"/>
          <w:color w:val="auto"/>
          <w:szCs w:val="21"/>
        </w:rPr>
        <w:t>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062E1E89">
      <w:pPr>
        <w:spacing w:line="360" w:lineRule="auto"/>
        <w:ind w:firstLine="420" w:firstLineChars="200"/>
        <w:rPr>
          <w:rFonts w:ascii="宋体" w:hAnsi="宋体" w:cs="宋体"/>
          <w:color w:val="auto"/>
          <w:spacing w:val="-6"/>
          <w:szCs w:val="21"/>
        </w:rPr>
      </w:pPr>
      <w:r>
        <w:rPr>
          <w:rFonts w:ascii="宋体" w:hAnsi="宋体" w:cs="宋体"/>
          <w:color w:val="auto"/>
          <w:szCs w:val="21"/>
        </w:rPr>
        <w:t>2</w:t>
      </w:r>
      <w:r>
        <w:rPr>
          <w:rFonts w:hint="eastAsia" w:ascii="宋体" w:hAnsi="宋体" w:cs="宋体"/>
          <w:color w:val="auto"/>
          <w:szCs w:val="21"/>
        </w:rPr>
        <w:t>.</w:t>
      </w:r>
      <w:r>
        <w:rPr>
          <w:rFonts w:ascii="宋体" w:hAnsi="宋体" w:cs="宋体"/>
          <w:color w:val="auto"/>
          <w:szCs w:val="21"/>
        </w:rPr>
        <w:t>3</w:t>
      </w:r>
      <w:r>
        <w:rPr>
          <w:rFonts w:hint="eastAsia" w:ascii="宋体" w:hAnsi="宋体" w:cs="宋体"/>
          <w:color w:val="auto"/>
          <w:szCs w:val="21"/>
        </w:rPr>
        <w:t>磋商小组要求供应商澄清、说明或者更正响应文件应当以电子澄清函形式作出。供应商的澄清、说明或者更正应当已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公章或电子签章</w:t>
      </w:r>
      <w:r>
        <w:rPr>
          <w:rFonts w:hint="eastAsia" w:ascii="宋体" w:hAnsi="宋体" w:cs="宋体"/>
          <w:color w:val="auto"/>
          <w:spacing w:val="-6"/>
          <w:szCs w:val="21"/>
        </w:rPr>
        <w:t>。</w:t>
      </w:r>
    </w:p>
    <w:p w14:paraId="22BAC175">
      <w:pPr>
        <w:spacing w:line="360" w:lineRule="auto"/>
        <w:ind w:firstLine="420" w:firstLineChars="200"/>
        <w:rPr>
          <w:rFonts w:ascii="宋体" w:hAnsi="宋体" w:cs="宋体"/>
          <w:color w:val="auto"/>
          <w:spacing w:val="-6"/>
          <w:szCs w:val="21"/>
        </w:rPr>
      </w:pPr>
      <w:r>
        <w:rPr>
          <w:rFonts w:hint="eastAsia" w:ascii="宋体" w:hAnsi="宋体" w:cs="Courier New"/>
          <w:color w:val="auto"/>
          <w:szCs w:val="21"/>
        </w:rPr>
        <w:t>异常情况处理：如遇无法正常使用线上发送澄清函的情况，将启动书面形式办理。启动书面形式办理的情况下，磋商小组以书面形式要求供应商在规定时间内作出必要的澄清、说明或者补正。供应商的澄清、说明或者补正必须采用书面形式，并加盖公章，或者由法定代表人或者其授权的代表签字。</w:t>
      </w:r>
    </w:p>
    <w:p w14:paraId="316B2443">
      <w:pPr>
        <w:spacing w:line="360" w:lineRule="auto"/>
        <w:ind w:firstLine="396" w:firstLineChars="200"/>
        <w:rPr>
          <w:rFonts w:ascii="宋体" w:hAnsi="宋体" w:cs="宋体"/>
          <w:color w:val="auto"/>
          <w:szCs w:val="21"/>
        </w:rPr>
      </w:pPr>
      <w:r>
        <w:rPr>
          <w:rFonts w:ascii="宋体" w:hAnsi="宋体" w:cs="宋体"/>
          <w:color w:val="auto"/>
          <w:spacing w:val="-6"/>
          <w:szCs w:val="21"/>
        </w:rPr>
        <w:t>2.4</w:t>
      </w:r>
      <w:r>
        <w:rPr>
          <w:rFonts w:hint="eastAsia" w:ascii="宋体" w:hAnsi="宋体" w:cs="宋体"/>
          <w:color w:val="auto"/>
          <w:szCs w:val="21"/>
        </w:rPr>
        <w:t xml:space="preserve">首次响应文件报价出现前后不一致的，按照下列规定修正： </w:t>
      </w:r>
    </w:p>
    <w:p w14:paraId="3CF02F6B">
      <w:pPr>
        <w:spacing w:line="360" w:lineRule="auto"/>
        <w:ind w:firstLine="420" w:firstLineChars="200"/>
        <w:rPr>
          <w:rFonts w:ascii="宋体" w:hAnsi="宋体" w:cs="宋体"/>
          <w:color w:val="auto"/>
          <w:szCs w:val="21"/>
        </w:rPr>
      </w:pPr>
      <w:r>
        <w:rPr>
          <w:rFonts w:hint="eastAsia" w:ascii="宋体" w:hAnsi="宋体" w:cs="宋体"/>
          <w:color w:val="auto"/>
          <w:szCs w:val="21"/>
        </w:rPr>
        <w:t>（1）响应文件中报价表内容与响应文件中相应内容不一致的，以报价表为准；</w:t>
      </w:r>
    </w:p>
    <w:p w14:paraId="2AB7BC69">
      <w:pPr>
        <w:spacing w:line="360" w:lineRule="auto"/>
        <w:ind w:firstLine="420" w:firstLineChars="200"/>
        <w:rPr>
          <w:rFonts w:ascii="宋体" w:hAnsi="宋体" w:cs="宋体"/>
          <w:color w:val="auto"/>
          <w:szCs w:val="21"/>
        </w:rPr>
      </w:pPr>
      <w:r>
        <w:rPr>
          <w:rFonts w:hint="eastAsia" w:ascii="宋体" w:hAnsi="宋体" w:cs="宋体"/>
          <w:color w:val="auto"/>
          <w:szCs w:val="21"/>
        </w:rPr>
        <w:t>（2）大写金额和小写金额不一致的，以大写金额为准；</w:t>
      </w:r>
    </w:p>
    <w:p w14:paraId="7815D0A7">
      <w:pPr>
        <w:spacing w:line="360" w:lineRule="auto"/>
        <w:ind w:firstLine="420" w:firstLineChars="200"/>
        <w:rPr>
          <w:rFonts w:ascii="宋体" w:hAnsi="宋体" w:cs="宋体"/>
          <w:color w:val="auto"/>
          <w:szCs w:val="21"/>
        </w:rPr>
      </w:pPr>
      <w:r>
        <w:rPr>
          <w:rFonts w:hint="eastAsia" w:ascii="宋体" w:hAnsi="宋体" w:cs="宋体"/>
          <w:color w:val="auto"/>
          <w:szCs w:val="21"/>
        </w:rPr>
        <w:t>（3）单价金额小数点或者百分比有明显错位的，以报价表的总价为准，并修改单价；</w:t>
      </w:r>
    </w:p>
    <w:p w14:paraId="2E3DF5AF">
      <w:pPr>
        <w:spacing w:line="360" w:lineRule="auto"/>
        <w:ind w:firstLine="420" w:firstLineChars="200"/>
        <w:rPr>
          <w:rFonts w:ascii="宋体" w:hAnsi="宋体" w:cs="宋体"/>
          <w:color w:val="auto"/>
          <w:szCs w:val="21"/>
        </w:rPr>
      </w:pPr>
      <w:r>
        <w:rPr>
          <w:rFonts w:hint="eastAsia" w:ascii="宋体" w:hAnsi="宋体" w:cs="宋体"/>
          <w:color w:val="auto"/>
          <w:szCs w:val="21"/>
        </w:rPr>
        <w:t>（4）总价金额与按单价汇总金额不一致的，以单价金额计算结果为准。</w:t>
      </w:r>
    </w:p>
    <w:p w14:paraId="44B84F00">
      <w:pPr>
        <w:spacing w:line="360" w:lineRule="auto"/>
        <w:ind w:firstLine="420" w:firstLineChars="200"/>
        <w:rPr>
          <w:rFonts w:ascii="宋体" w:hAnsi="宋体" w:cs="宋体"/>
          <w:color w:val="auto"/>
          <w:szCs w:val="21"/>
        </w:rPr>
      </w:pPr>
      <w:r>
        <w:rPr>
          <w:rFonts w:hint="eastAsia" w:ascii="宋体" w:hAnsi="宋体" w:cs="宋体"/>
          <w:color w:val="auto"/>
          <w:szCs w:val="21"/>
        </w:rPr>
        <w:t>同时出现两种以上不一致的，按照以上（1）-（4）规定的顺序逐条进行修正。修正后的报价经供应商确认后产生约束力，供应商不确认的，其响应文件按无效响应处理。</w:t>
      </w:r>
    </w:p>
    <w:p w14:paraId="31B5FCE4">
      <w:pPr>
        <w:spacing w:line="360" w:lineRule="auto"/>
        <w:ind w:firstLine="420" w:firstLineChars="200"/>
        <w:rPr>
          <w:rFonts w:ascii="宋体" w:hAnsi="宋体" w:cs="宋体"/>
          <w:color w:val="auto"/>
          <w:szCs w:val="21"/>
        </w:rPr>
      </w:pPr>
      <w:r>
        <w:rPr>
          <w:rFonts w:ascii="宋体" w:hAnsi="宋体" w:cs="宋体"/>
          <w:color w:val="auto"/>
          <w:szCs w:val="21"/>
        </w:rPr>
        <w:t>2</w:t>
      </w:r>
      <w:r>
        <w:rPr>
          <w:rFonts w:hint="eastAsia" w:ascii="宋体" w:hAnsi="宋体" w:cs="宋体"/>
          <w:color w:val="auto"/>
          <w:szCs w:val="21"/>
        </w:rPr>
        <w:t>.</w:t>
      </w:r>
      <w:r>
        <w:rPr>
          <w:rFonts w:ascii="宋体" w:hAnsi="宋体" w:cs="宋体"/>
          <w:color w:val="auto"/>
          <w:szCs w:val="21"/>
        </w:rPr>
        <w:t>5</w:t>
      </w:r>
      <w:r>
        <w:rPr>
          <w:rFonts w:hint="eastAsia" w:ascii="宋体" w:hAnsi="宋体" w:cs="宋体"/>
          <w:color w:val="auto"/>
          <w:szCs w:val="21"/>
        </w:rPr>
        <w:t>商务技术报价评审</w:t>
      </w:r>
    </w:p>
    <w:p w14:paraId="56111685">
      <w:pPr>
        <w:spacing w:line="360" w:lineRule="auto"/>
        <w:ind w:firstLine="420" w:firstLineChars="200"/>
        <w:rPr>
          <w:rFonts w:ascii="宋体" w:hAnsi="宋体" w:cs="宋体"/>
          <w:color w:val="auto"/>
          <w:szCs w:val="21"/>
        </w:rPr>
      </w:pPr>
      <w:r>
        <w:rPr>
          <w:rFonts w:hint="eastAsia" w:ascii="宋体" w:hAnsi="宋体" w:cs="宋体"/>
          <w:color w:val="auto"/>
          <w:szCs w:val="21"/>
        </w:rPr>
        <w:t>在评审时，如发现下列情形之一的，将被视为响应文件无效处理：</w:t>
      </w:r>
    </w:p>
    <w:p w14:paraId="398C68CC">
      <w:pPr>
        <w:spacing w:line="360" w:lineRule="auto"/>
        <w:ind w:firstLine="420" w:firstLineChars="200"/>
        <w:rPr>
          <w:rFonts w:ascii="宋体" w:hAnsi="宋体" w:cs="宋体"/>
          <w:color w:val="auto"/>
          <w:szCs w:val="21"/>
        </w:rPr>
      </w:pPr>
      <w:r>
        <w:rPr>
          <w:rFonts w:hint="eastAsia" w:ascii="宋体" w:hAnsi="宋体" w:cs="宋体"/>
          <w:color w:val="auto"/>
          <w:szCs w:val="21"/>
        </w:rPr>
        <w:t>（1）商务技术评审</w:t>
      </w:r>
    </w:p>
    <w:p w14:paraId="6BC17BE6">
      <w:pPr>
        <w:spacing w:line="360" w:lineRule="auto"/>
        <w:ind w:firstLine="420" w:firstLineChars="200"/>
        <w:rPr>
          <w:rFonts w:ascii="宋体" w:hAnsi="宋体" w:cs="宋体"/>
          <w:color w:val="auto"/>
          <w:szCs w:val="21"/>
        </w:rPr>
      </w:pPr>
      <w:r>
        <w:rPr>
          <w:rFonts w:hint="eastAsia" w:ascii="宋体" w:hAnsi="宋体" w:cs="宋体"/>
          <w:color w:val="auto"/>
          <w:szCs w:val="21"/>
        </w:rPr>
        <w:t>1）响应文件未按磋商文件要求签署、盖章；</w:t>
      </w:r>
    </w:p>
    <w:p w14:paraId="6901CE18">
      <w:pPr>
        <w:spacing w:line="360" w:lineRule="auto"/>
        <w:ind w:firstLine="420" w:firstLineChars="200"/>
        <w:rPr>
          <w:rFonts w:ascii="宋体" w:hAnsi="宋体" w:cs="宋体"/>
          <w:color w:val="auto"/>
          <w:szCs w:val="21"/>
        </w:rPr>
      </w:pPr>
      <w:r>
        <w:rPr>
          <w:rFonts w:hint="eastAsia" w:ascii="宋体" w:hAnsi="宋体" w:cs="宋体"/>
          <w:color w:val="auto"/>
          <w:szCs w:val="21"/>
        </w:rPr>
        <w:t xml:space="preserve">2）委托代理人未能出具有效身份证或者出具的身份证与授权委托书中的信息不符的； </w:t>
      </w:r>
    </w:p>
    <w:p w14:paraId="6FA72FD4">
      <w:pPr>
        <w:spacing w:line="360" w:lineRule="auto"/>
        <w:ind w:firstLine="420" w:firstLineChars="200"/>
        <w:rPr>
          <w:rFonts w:ascii="宋体" w:hAnsi="宋体" w:cs="宋体"/>
          <w:color w:val="auto"/>
          <w:szCs w:val="21"/>
        </w:rPr>
      </w:pPr>
      <w:r>
        <w:rPr>
          <w:rFonts w:hint="eastAsia" w:ascii="宋体" w:hAnsi="宋体" w:cs="宋体"/>
          <w:color w:val="auto"/>
          <w:szCs w:val="21"/>
        </w:rPr>
        <w:t>3）提交的磋商保证金无效的或者未按照磋商文件的规定提交磋商保证金；</w:t>
      </w:r>
    </w:p>
    <w:p w14:paraId="30F8735F">
      <w:pPr>
        <w:spacing w:line="360" w:lineRule="auto"/>
        <w:ind w:firstLine="420" w:firstLineChars="200"/>
        <w:rPr>
          <w:rFonts w:ascii="宋体" w:hAnsi="宋体" w:cs="宋体"/>
          <w:color w:val="auto"/>
          <w:szCs w:val="21"/>
        </w:rPr>
      </w:pPr>
      <w:r>
        <w:rPr>
          <w:rFonts w:hint="eastAsia" w:ascii="宋体" w:hAnsi="宋体" w:cs="宋体"/>
          <w:color w:val="auto"/>
          <w:szCs w:val="21"/>
        </w:rPr>
        <w:t>4）响应文件未提供任一项“供应商须知前附表”商务技术文件中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2861A852">
      <w:pPr>
        <w:spacing w:line="360" w:lineRule="auto"/>
        <w:ind w:firstLine="420" w:firstLineChars="200"/>
        <w:rPr>
          <w:rFonts w:ascii="宋体" w:hAnsi="宋体" w:cs="宋体"/>
          <w:color w:val="auto"/>
          <w:szCs w:val="21"/>
        </w:rPr>
      </w:pPr>
      <w:r>
        <w:rPr>
          <w:rFonts w:hint="eastAsia" w:ascii="宋体" w:hAnsi="宋体" w:cs="宋体"/>
          <w:color w:val="auto"/>
          <w:szCs w:val="21"/>
        </w:rPr>
        <w:t>5）商务要求允许负偏离的条款数超过“供应商须知前附表”规定项数的；</w:t>
      </w:r>
    </w:p>
    <w:p w14:paraId="3C4ED731">
      <w:pPr>
        <w:spacing w:line="360" w:lineRule="auto"/>
        <w:ind w:firstLine="420" w:firstLineChars="200"/>
        <w:rPr>
          <w:rFonts w:ascii="宋体" w:hAnsi="宋体" w:cs="宋体"/>
          <w:color w:val="auto"/>
          <w:szCs w:val="21"/>
        </w:rPr>
      </w:pPr>
      <w:r>
        <w:rPr>
          <w:rFonts w:hint="eastAsia" w:ascii="宋体" w:hAnsi="宋体" w:cs="宋体"/>
          <w:color w:val="auto"/>
          <w:szCs w:val="21"/>
        </w:rPr>
        <w:t>6）未对竞标有效期作出响应或者响应文件承诺的竞标有效期不满足磋商文件要求；</w:t>
      </w:r>
    </w:p>
    <w:p w14:paraId="202451B3">
      <w:pPr>
        <w:spacing w:line="360" w:lineRule="auto"/>
        <w:ind w:firstLine="420" w:firstLineChars="200"/>
        <w:rPr>
          <w:rFonts w:ascii="宋体" w:hAnsi="宋体" w:cs="宋体"/>
          <w:color w:val="auto"/>
          <w:szCs w:val="21"/>
        </w:rPr>
      </w:pPr>
      <w:r>
        <w:rPr>
          <w:rFonts w:hint="eastAsia" w:ascii="宋体" w:hAnsi="宋体" w:cs="宋体"/>
          <w:color w:val="auto"/>
          <w:szCs w:val="21"/>
        </w:rPr>
        <w:t>7）响应文件的实质性内容未使用中文表述、使用计量单位不符合磋商文件要求；</w:t>
      </w:r>
    </w:p>
    <w:p w14:paraId="6505314D">
      <w:pPr>
        <w:spacing w:line="360" w:lineRule="auto"/>
        <w:ind w:firstLine="420" w:firstLineChars="200"/>
        <w:rPr>
          <w:rFonts w:ascii="宋体" w:hAnsi="宋体" w:cs="宋体"/>
          <w:color w:val="auto"/>
          <w:szCs w:val="21"/>
        </w:rPr>
      </w:pPr>
      <w:r>
        <w:rPr>
          <w:rFonts w:hint="eastAsia" w:ascii="宋体" w:hAnsi="宋体" w:cs="宋体"/>
          <w:color w:val="auto"/>
          <w:szCs w:val="21"/>
        </w:rPr>
        <w:t>8）响应文件中的文件资料因填写不齐全或者内容虚假或者出现其他情形而导致被磋商小组认定无效；</w:t>
      </w:r>
    </w:p>
    <w:p w14:paraId="1B4755D7">
      <w:pPr>
        <w:spacing w:line="360" w:lineRule="auto"/>
        <w:ind w:firstLine="420" w:firstLineChars="200"/>
        <w:rPr>
          <w:rFonts w:ascii="宋体" w:hAnsi="宋体" w:cs="宋体"/>
          <w:color w:val="auto"/>
          <w:szCs w:val="21"/>
        </w:rPr>
      </w:pPr>
      <w:r>
        <w:rPr>
          <w:rFonts w:hint="eastAsia" w:ascii="宋体" w:hAnsi="宋体" w:cs="宋体"/>
          <w:color w:val="auto"/>
          <w:szCs w:val="21"/>
        </w:rPr>
        <w:t>9）响应文件含有采购人不能接受的附加条件；</w:t>
      </w:r>
    </w:p>
    <w:p w14:paraId="4196E477">
      <w:pPr>
        <w:spacing w:line="360" w:lineRule="auto"/>
        <w:ind w:firstLine="420" w:firstLineChars="200"/>
        <w:rPr>
          <w:rFonts w:ascii="宋体" w:hAnsi="宋体" w:cs="宋体"/>
          <w:color w:val="auto"/>
          <w:szCs w:val="21"/>
        </w:rPr>
      </w:pPr>
      <w:r>
        <w:rPr>
          <w:rFonts w:hint="eastAsia" w:ascii="宋体" w:hAnsi="宋体" w:cs="宋体"/>
          <w:color w:val="auto"/>
          <w:szCs w:val="21"/>
        </w:rPr>
        <w:t>10）属于“供应商须知正文”第7.</w:t>
      </w:r>
      <w:r>
        <w:rPr>
          <w:rFonts w:ascii="宋体" w:hAnsi="宋体" w:cs="宋体"/>
          <w:color w:val="auto"/>
          <w:szCs w:val="21"/>
        </w:rPr>
        <w:t>5</w:t>
      </w:r>
      <w:r>
        <w:rPr>
          <w:rFonts w:hint="eastAsia" w:ascii="宋体" w:hAnsi="宋体" w:cs="宋体"/>
          <w:color w:val="auto"/>
          <w:szCs w:val="21"/>
        </w:rPr>
        <w:t>条情形；</w:t>
      </w:r>
    </w:p>
    <w:p w14:paraId="235BFF5B">
      <w:pPr>
        <w:spacing w:line="360" w:lineRule="auto"/>
        <w:ind w:firstLine="420" w:firstLineChars="200"/>
        <w:rPr>
          <w:rFonts w:ascii="宋体" w:hAnsi="宋体" w:cs="宋体"/>
          <w:color w:val="auto"/>
          <w:szCs w:val="21"/>
        </w:rPr>
      </w:pPr>
      <w:r>
        <w:rPr>
          <w:rFonts w:ascii="宋体" w:hAnsi="宋体" w:cs="宋体"/>
          <w:color w:val="auto"/>
          <w:szCs w:val="21"/>
        </w:rPr>
        <w:t>1</w:t>
      </w:r>
      <w:r>
        <w:rPr>
          <w:rFonts w:hint="eastAsia" w:ascii="宋体" w:hAnsi="宋体" w:cs="宋体"/>
          <w:color w:val="auto"/>
          <w:szCs w:val="21"/>
        </w:rPr>
        <w:t>1）技术（服务）要求允许负偏离的条款数超过“供应商须知前附表”规定项数；</w:t>
      </w:r>
    </w:p>
    <w:p w14:paraId="06C7377F">
      <w:pPr>
        <w:spacing w:line="360" w:lineRule="auto"/>
        <w:ind w:firstLine="420" w:firstLineChars="200"/>
        <w:rPr>
          <w:rFonts w:ascii="宋体" w:hAnsi="宋体" w:cs="宋体"/>
          <w:color w:val="auto"/>
          <w:szCs w:val="21"/>
        </w:rPr>
      </w:pPr>
      <w:r>
        <w:rPr>
          <w:rFonts w:ascii="宋体" w:hAnsi="宋体" w:cs="宋体"/>
          <w:color w:val="auto"/>
          <w:szCs w:val="21"/>
        </w:rPr>
        <w:t>1</w:t>
      </w:r>
      <w:r>
        <w:rPr>
          <w:rFonts w:hint="eastAsia" w:ascii="宋体" w:hAnsi="宋体" w:cs="宋体"/>
          <w:color w:val="auto"/>
          <w:szCs w:val="21"/>
        </w:rPr>
        <w:t>2）虚假竞标，或者出现其他情形而导致被磋商小组认定无效；</w:t>
      </w:r>
    </w:p>
    <w:p w14:paraId="1E03B31B">
      <w:pPr>
        <w:spacing w:line="360" w:lineRule="auto"/>
        <w:ind w:firstLine="420" w:firstLineChars="200"/>
        <w:rPr>
          <w:rFonts w:ascii="宋体" w:hAnsi="宋体" w:cs="宋体"/>
          <w:color w:val="auto"/>
          <w:szCs w:val="21"/>
        </w:rPr>
      </w:pPr>
      <w:r>
        <w:rPr>
          <w:rFonts w:ascii="宋体" w:hAnsi="宋体" w:cs="宋体"/>
          <w:color w:val="auto"/>
          <w:szCs w:val="21"/>
        </w:rPr>
        <w:t>1</w:t>
      </w:r>
      <w:r>
        <w:rPr>
          <w:rFonts w:hint="eastAsia" w:ascii="宋体" w:hAnsi="宋体" w:cs="宋体"/>
          <w:color w:val="auto"/>
          <w:szCs w:val="21"/>
        </w:rPr>
        <w:t>3）</w:t>
      </w:r>
      <w:bookmarkStart w:id="79" w:name="_Hlk71704147"/>
      <w:r>
        <w:rPr>
          <w:rFonts w:hint="eastAsia" w:ascii="宋体" w:hAnsi="宋体" w:cs="宋体"/>
          <w:color w:val="auto"/>
          <w:szCs w:val="21"/>
        </w:rPr>
        <w:t>磋商文件未载明允许提供备选（替代）竞标方案或明确不允许提供备选（替代）竞标方案时，供应商提供了备选（替代）竞标方案的；</w:t>
      </w:r>
      <w:bookmarkEnd w:id="79"/>
    </w:p>
    <w:p w14:paraId="45A1D0A0">
      <w:pPr>
        <w:spacing w:line="360" w:lineRule="auto"/>
        <w:ind w:firstLine="420" w:firstLineChars="200"/>
        <w:rPr>
          <w:rFonts w:ascii="宋体" w:hAnsi="宋体" w:cs="宋体"/>
          <w:color w:val="auto"/>
          <w:szCs w:val="21"/>
        </w:rPr>
      </w:pPr>
      <w:r>
        <w:rPr>
          <w:rFonts w:hint="eastAsia" w:ascii="宋体" w:hAnsi="宋体" w:cs="宋体"/>
          <w:color w:val="auto"/>
          <w:szCs w:val="21"/>
        </w:rPr>
        <w:t>1</w:t>
      </w:r>
      <w:r>
        <w:rPr>
          <w:rFonts w:ascii="宋体" w:hAnsi="宋体" w:cs="宋体"/>
          <w:color w:val="auto"/>
          <w:szCs w:val="21"/>
        </w:rPr>
        <w:t>4</w:t>
      </w:r>
      <w:r>
        <w:rPr>
          <w:rFonts w:hint="eastAsia" w:ascii="宋体" w:hAnsi="宋体" w:cs="宋体"/>
          <w:color w:val="auto"/>
          <w:szCs w:val="21"/>
        </w:rPr>
        <w:t>）</w:t>
      </w:r>
      <w:r>
        <w:rPr>
          <w:rFonts w:hint="eastAsia" w:ascii="宋体" w:hAnsi="宋体"/>
          <w:color w:val="auto"/>
          <w:szCs w:val="21"/>
        </w:rPr>
        <w:t>竞争性磋商文件明确不允许分包，响应文件拟分包的；</w:t>
      </w:r>
    </w:p>
    <w:p w14:paraId="2EEDC296">
      <w:pPr>
        <w:spacing w:line="360" w:lineRule="auto"/>
        <w:ind w:firstLine="420" w:firstLineChars="200"/>
        <w:rPr>
          <w:rFonts w:ascii="宋体" w:hAnsi="宋体" w:cs="宋体"/>
          <w:color w:val="auto"/>
          <w:szCs w:val="21"/>
        </w:rPr>
      </w:pPr>
      <w:r>
        <w:rPr>
          <w:rFonts w:ascii="宋体" w:hAnsi="宋体" w:cs="宋体"/>
          <w:color w:val="auto"/>
          <w:szCs w:val="21"/>
        </w:rPr>
        <w:t>15</w:t>
      </w:r>
      <w:r>
        <w:rPr>
          <w:rFonts w:hint="eastAsia" w:ascii="宋体" w:hAnsi="宋体" w:cs="宋体"/>
          <w:color w:val="auto"/>
          <w:szCs w:val="21"/>
        </w:rPr>
        <w:t>）未响应磋商文件实质性要求；</w:t>
      </w:r>
    </w:p>
    <w:p w14:paraId="6566BD58">
      <w:pPr>
        <w:spacing w:line="360" w:lineRule="auto"/>
        <w:ind w:firstLine="420" w:firstLineChars="200"/>
        <w:rPr>
          <w:rFonts w:ascii="宋体" w:hAnsi="宋体" w:cs="宋体"/>
          <w:color w:val="auto"/>
          <w:szCs w:val="21"/>
        </w:rPr>
      </w:pPr>
      <w:r>
        <w:rPr>
          <w:rFonts w:hint="eastAsia" w:ascii="宋体" w:hAnsi="宋体" w:cs="宋体"/>
          <w:color w:val="auto"/>
          <w:szCs w:val="21"/>
        </w:rPr>
        <w:t>1</w:t>
      </w:r>
      <w:r>
        <w:rPr>
          <w:rFonts w:ascii="宋体" w:hAnsi="宋体" w:cs="宋体"/>
          <w:color w:val="auto"/>
          <w:szCs w:val="21"/>
        </w:rPr>
        <w:t>6</w:t>
      </w:r>
      <w:r>
        <w:rPr>
          <w:rFonts w:hint="eastAsia" w:ascii="宋体" w:hAnsi="宋体" w:cs="宋体"/>
          <w:color w:val="auto"/>
          <w:szCs w:val="21"/>
        </w:rPr>
        <w:t>）法律、法规和磋商文件规定的其他无效情形。</w:t>
      </w:r>
    </w:p>
    <w:p w14:paraId="29F54ED2">
      <w:pPr>
        <w:spacing w:line="360" w:lineRule="auto"/>
        <w:ind w:firstLine="420" w:firstLineChars="200"/>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2</w:t>
      </w:r>
      <w:r>
        <w:rPr>
          <w:rFonts w:hint="eastAsia" w:ascii="宋体" w:hAnsi="宋体" w:cs="宋体"/>
          <w:color w:val="auto"/>
          <w:szCs w:val="21"/>
        </w:rPr>
        <w:t>）报价评审</w:t>
      </w:r>
    </w:p>
    <w:p w14:paraId="38DBC6F7">
      <w:pPr>
        <w:spacing w:line="360" w:lineRule="auto"/>
        <w:ind w:firstLine="420" w:firstLineChars="200"/>
        <w:rPr>
          <w:rFonts w:ascii="宋体" w:hAnsi="宋体" w:cs="宋体"/>
          <w:color w:val="auto"/>
          <w:szCs w:val="21"/>
        </w:rPr>
      </w:pPr>
      <w:r>
        <w:rPr>
          <w:rFonts w:hint="eastAsia" w:ascii="宋体" w:hAnsi="宋体" w:cs="宋体"/>
          <w:color w:val="auto"/>
          <w:szCs w:val="21"/>
        </w:rPr>
        <w:t>1）</w:t>
      </w:r>
      <w:r>
        <w:rPr>
          <w:rFonts w:ascii="宋体" w:hAnsi="宋体" w:cs="宋体"/>
          <w:color w:val="auto"/>
          <w:szCs w:val="21"/>
        </w:rPr>
        <w:t xml:space="preserve"> </w:t>
      </w:r>
      <w:r>
        <w:rPr>
          <w:rFonts w:hint="eastAsia" w:ascii="宋体" w:hAnsi="宋体" w:cs="宋体"/>
          <w:color w:val="auto"/>
          <w:szCs w:val="21"/>
        </w:rPr>
        <w:t>响应文件未提供“供应商须知前附表” 报价文件中规定的“</w:t>
      </w:r>
      <w:r>
        <w:rPr>
          <w:rFonts w:hint="eastAsia" w:ascii="宋体" w:hAnsi="宋体" w:cs="宋体"/>
          <w:color w:val="auto"/>
          <w:szCs w:val="21"/>
          <w:lang w:eastAsia="zh-CN"/>
        </w:rPr>
        <w:t>磋商报价</w:t>
      </w:r>
      <w:r>
        <w:rPr>
          <w:rFonts w:hint="eastAsia" w:ascii="宋体" w:hAnsi="宋体" w:cs="宋体"/>
          <w:color w:val="auto"/>
          <w:szCs w:val="21"/>
        </w:rPr>
        <w:t>表”；</w:t>
      </w:r>
    </w:p>
    <w:p w14:paraId="78D5EEBD">
      <w:pPr>
        <w:spacing w:line="360" w:lineRule="auto"/>
        <w:ind w:firstLine="420" w:firstLineChars="200"/>
        <w:rPr>
          <w:rFonts w:ascii="宋体" w:hAnsi="宋体" w:cs="宋体"/>
          <w:color w:val="auto"/>
          <w:szCs w:val="21"/>
        </w:rPr>
      </w:pPr>
      <w:r>
        <w:rPr>
          <w:rFonts w:hint="eastAsia" w:ascii="宋体" w:hAnsi="宋体" w:cs="宋体"/>
          <w:color w:val="auto"/>
          <w:szCs w:val="21"/>
        </w:rPr>
        <w:t>2）未采用人民币报价或者未按照磋商文件标明的币种报价；</w:t>
      </w:r>
    </w:p>
    <w:p w14:paraId="3E2CB8DD">
      <w:pPr>
        <w:spacing w:line="360" w:lineRule="auto"/>
        <w:ind w:firstLine="420" w:firstLineChars="200"/>
        <w:rPr>
          <w:rFonts w:ascii="宋体" w:hAnsi="宋体" w:cs="宋体"/>
          <w:color w:val="auto"/>
          <w:szCs w:val="21"/>
        </w:rPr>
      </w:pPr>
      <w:r>
        <w:rPr>
          <w:rFonts w:hint="eastAsia" w:ascii="宋体" w:hAnsi="宋体" w:cs="宋体"/>
          <w:color w:val="auto"/>
          <w:szCs w:val="21"/>
        </w:rPr>
        <w:t>3）供应商未就所竞产品进行报价或者存在漏项报价；供应商未就所竞产品的单项内容作唯一报价；供应商未就所竞产品的全部内容作完整唯一总价报价；供应商响应文件中存在有选择、有条件报价的（磋商文件允许有备选方案或者其他约定的除外）；</w:t>
      </w:r>
    </w:p>
    <w:p w14:paraId="684A5F5C">
      <w:pPr>
        <w:spacing w:line="360" w:lineRule="auto"/>
        <w:ind w:firstLine="420" w:firstLineChars="200"/>
        <w:rPr>
          <w:rFonts w:ascii="宋体" w:hAnsi="宋体" w:cs="宋体"/>
          <w:color w:val="auto"/>
          <w:szCs w:val="21"/>
        </w:rPr>
      </w:pPr>
      <w:r>
        <w:rPr>
          <w:rFonts w:hint="eastAsia" w:ascii="宋体" w:hAnsi="宋体" w:cs="宋体"/>
          <w:color w:val="auto"/>
          <w:szCs w:val="21"/>
        </w:rPr>
        <w:t>4）</w:t>
      </w:r>
      <w:r>
        <w:rPr>
          <w:rFonts w:hint="eastAsia" w:ascii="宋体" w:hAnsi="宋体" w:cs="宋体"/>
          <w:color w:val="auto"/>
          <w:szCs w:val="21"/>
          <w:lang w:eastAsia="zh-CN"/>
        </w:rPr>
        <w:t>磋商报价</w:t>
      </w:r>
      <w:r>
        <w:rPr>
          <w:rFonts w:hint="eastAsia" w:ascii="宋体" w:hAnsi="宋体" w:cs="宋体"/>
          <w:color w:val="auto"/>
          <w:szCs w:val="21"/>
        </w:rPr>
        <w:t>（包含首次报价、最后报价）超过所竞标项目规定的采购预算金额或者最高限价的（如本项目公布了最高限价）；</w:t>
      </w:r>
      <w:bookmarkStart w:id="80" w:name="_Hlk42596405"/>
      <w:r>
        <w:rPr>
          <w:rFonts w:hint="eastAsia" w:ascii="宋体" w:hAnsi="宋体" w:cs="宋体"/>
          <w:color w:val="auto"/>
          <w:szCs w:val="21"/>
          <w:lang w:eastAsia="zh-CN"/>
        </w:rPr>
        <w:t>磋商报价</w:t>
      </w:r>
      <w:r>
        <w:rPr>
          <w:rFonts w:hint="eastAsia" w:ascii="宋体" w:hAnsi="宋体" w:cs="宋体"/>
          <w:color w:val="auto"/>
          <w:szCs w:val="21"/>
        </w:rPr>
        <w:t>（包含首次报价、最后报价）</w:t>
      </w:r>
      <w:bookmarkEnd w:id="80"/>
      <w:bookmarkStart w:id="81" w:name="_Hlk42596276"/>
      <w:r>
        <w:rPr>
          <w:rFonts w:hint="eastAsia" w:ascii="宋体" w:hAnsi="宋体" w:cs="宋体"/>
          <w:color w:val="auto"/>
          <w:szCs w:val="21"/>
        </w:rPr>
        <w:t>超过磋商文件分项采购预算金额或者最高限价的</w:t>
      </w:r>
      <w:bookmarkEnd w:id="81"/>
      <w:r>
        <w:rPr>
          <w:rFonts w:hint="eastAsia" w:ascii="宋体" w:hAnsi="宋体" w:cs="宋体"/>
          <w:color w:val="auto"/>
          <w:szCs w:val="21"/>
        </w:rPr>
        <w:t>（如本项目公布了最高限价）；</w:t>
      </w:r>
    </w:p>
    <w:p w14:paraId="7BE91519">
      <w:pPr>
        <w:spacing w:line="360" w:lineRule="auto"/>
        <w:ind w:firstLine="420" w:firstLineChars="200"/>
        <w:rPr>
          <w:rFonts w:ascii="宋体" w:hAnsi="宋体" w:cs="宋体"/>
          <w:color w:val="auto"/>
          <w:szCs w:val="21"/>
        </w:rPr>
      </w:pPr>
      <w:r>
        <w:rPr>
          <w:rFonts w:hint="eastAsia" w:ascii="宋体" w:hAnsi="宋体" w:cs="宋体"/>
          <w:color w:val="auto"/>
          <w:szCs w:val="21"/>
        </w:rPr>
        <w:t>5）修正后的报价，供应商不确认的；或者经供应商确认修正后的</w:t>
      </w:r>
      <w:r>
        <w:rPr>
          <w:rFonts w:hint="eastAsia" w:ascii="宋体" w:hAnsi="宋体" w:cs="宋体"/>
          <w:color w:val="auto"/>
          <w:szCs w:val="21"/>
          <w:lang w:eastAsia="zh-CN"/>
        </w:rPr>
        <w:t>磋商报价</w:t>
      </w:r>
      <w:r>
        <w:rPr>
          <w:rFonts w:hint="eastAsia" w:ascii="宋体" w:hAnsi="宋体" w:cs="宋体"/>
          <w:color w:val="auto"/>
          <w:szCs w:val="21"/>
        </w:rPr>
        <w:t>（包含首次报价、最后报价）超过所竞标项目规定的采购预算金额或者最高限价（如本项目公布了最高限价）；或者经供应商确认修正后</w:t>
      </w:r>
      <w:r>
        <w:rPr>
          <w:rFonts w:hint="eastAsia" w:ascii="宋体" w:hAnsi="宋体" w:cs="宋体"/>
          <w:color w:val="auto"/>
          <w:szCs w:val="21"/>
          <w:lang w:eastAsia="zh-CN"/>
        </w:rPr>
        <w:t>磋商报价</w:t>
      </w:r>
      <w:r>
        <w:rPr>
          <w:rFonts w:hint="eastAsia" w:ascii="宋体" w:hAnsi="宋体" w:cs="宋体"/>
          <w:color w:val="auto"/>
          <w:szCs w:val="21"/>
        </w:rPr>
        <w:t>（包含首次报价、最后报价）超过磋商文件分项采购预算金额或者最高限价的（如本项目公布了最高限价）。</w:t>
      </w:r>
    </w:p>
    <w:p w14:paraId="0ECA43ED">
      <w:pPr>
        <w:spacing w:line="360" w:lineRule="auto"/>
        <w:ind w:firstLine="420" w:firstLineChars="200"/>
        <w:rPr>
          <w:rFonts w:ascii="宋体" w:hAnsi="宋体" w:cs="宋体"/>
          <w:color w:val="auto"/>
          <w:szCs w:val="21"/>
        </w:rPr>
      </w:pPr>
      <w:r>
        <w:rPr>
          <w:rFonts w:hint="eastAsia" w:ascii="宋体" w:hAnsi="宋体" w:cs="宋体"/>
          <w:color w:val="auto"/>
          <w:szCs w:val="21"/>
        </w:rPr>
        <w:t>6）</w:t>
      </w:r>
      <w:r>
        <w:rPr>
          <w:rFonts w:hint="eastAsia" w:ascii="宋体" w:hAnsi="宋体"/>
          <w:color w:val="auto"/>
          <w:szCs w:val="21"/>
        </w:rPr>
        <w:t>响应文件响应的标的数量及单位与竞争性磋商采购文件要求实质性不一致的。</w:t>
      </w:r>
    </w:p>
    <w:p w14:paraId="0C8B0B7C">
      <w:pPr>
        <w:spacing w:line="360" w:lineRule="auto"/>
        <w:ind w:firstLine="420" w:firstLineChars="200"/>
        <w:rPr>
          <w:rFonts w:ascii="宋体" w:hAnsi="宋体" w:cs="宋体"/>
          <w:color w:val="auto"/>
          <w:szCs w:val="21"/>
        </w:rPr>
      </w:pPr>
      <w:r>
        <w:rPr>
          <w:rFonts w:ascii="宋体" w:hAnsi="宋体" w:cs="宋体"/>
          <w:color w:val="auto"/>
          <w:szCs w:val="21"/>
        </w:rPr>
        <w:t>2.6</w:t>
      </w:r>
      <w:r>
        <w:rPr>
          <w:rFonts w:hint="eastAsia" w:ascii="宋体" w:hAnsi="宋体" w:cs="宋体"/>
          <w:color w:val="auto"/>
          <w:szCs w:val="21"/>
        </w:rPr>
        <w:t>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69BE68AF">
      <w:pPr>
        <w:spacing w:line="360" w:lineRule="auto"/>
        <w:ind w:firstLine="420" w:firstLineChars="200"/>
        <w:rPr>
          <w:rFonts w:ascii="宋体" w:hAnsi="宋体" w:cs="宋体"/>
          <w:color w:val="auto"/>
          <w:szCs w:val="21"/>
        </w:rPr>
      </w:pPr>
      <w:r>
        <w:rPr>
          <w:rFonts w:ascii="宋体" w:hAnsi="宋体" w:cs="宋体"/>
          <w:color w:val="auto"/>
          <w:szCs w:val="21"/>
        </w:rPr>
        <w:t>2.7</w:t>
      </w:r>
      <w:r>
        <w:rPr>
          <w:rFonts w:hint="eastAsia" w:ascii="宋体" w:hAnsi="宋体"/>
          <w:color w:val="auto"/>
          <w:szCs w:val="21"/>
        </w:rPr>
        <w:t>通过符合性审查的合格供应商不足3家的，不得进入磋商环节，采购人或者采购代理机构应当重新开展采购活动。</w:t>
      </w:r>
    </w:p>
    <w:p w14:paraId="62209806">
      <w:pPr>
        <w:spacing w:line="360" w:lineRule="auto"/>
        <w:ind w:firstLine="482" w:firstLineChars="200"/>
        <w:rPr>
          <w:rFonts w:ascii="黑体" w:hAnsi="黑体" w:eastAsia="黑体" w:cs="宋体"/>
          <w:b/>
          <w:bCs/>
          <w:color w:val="auto"/>
          <w:sz w:val="24"/>
        </w:rPr>
      </w:pPr>
      <w:r>
        <w:rPr>
          <w:rFonts w:ascii="黑体" w:hAnsi="黑体" w:eastAsia="黑体" w:cs="宋体"/>
          <w:b/>
          <w:bCs/>
          <w:color w:val="auto"/>
          <w:sz w:val="24"/>
        </w:rPr>
        <w:t>3</w:t>
      </w:r>
      <w:r>
        <w:rPr>
          <w:rFonts w:hint="eastAsia" w:ascii="黑体" w:hAnsi="黑体" w:eastAsia="黑体" w:cs="宋体"/>
          <w:b/>
          <w:bCs/>
          <w:color w:val="auto"/>
          <w:sz w:val="24"/>
        </w:rPr>
        <w:t>.磋商程序</w:t>
      </w:r>
    </w:p>
    <w:p w14:paraId="1023C692">
      <w:pPr>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3</w:t>
      </w:r>
      <w:r>
        <w:rPr>
          <w:rFonts w:ascii="宋体" w:hAnsi="宋体" w:cs="宋体"/>
          <w:color w:val="auto"/>
          <w:kern w:val="0"/>
          <w:szCs w:val="21"/>
        </w:rPr>
        <w:t>.1</w:t>
      </w:r>
      <w:r>
        <w:rPr>
          <w:rFonts w:hint="eastAsia" w:ascii="宋体" w:hAnsi="宋体" w:cs="宋体"/>
          <w:color w:val="auto"/>
          <w:kern w:val="0"/>
          <w:szCs w:val="21"/>
        </w:rPr>
        <w:t>磋商小组</w:t>
      </w:r>
      <w:r>
        <w:rPr>
          <w:rFonts w:hint="eastAsia" w:ascii="宋体" w:hAnsi="宋体" w:cs="宋体"/>
          <w:color w:val="auto"/>
          <w:szCs w:val="21"/>
        </w:rPr>
        <w:t>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207763FD">
      <w:pPr>
        <w:spacing w:line="360" w:lineRule="auto"/>
        <w:ind w:firstLine="420" w:firstLineChars="200"/>
        <w:rPr>
          <w:rFonts w:ascii="宋体" w:hAnsi="宋体" w:cs="宋体"/>
          <w:color w:val="auto"/>
          <w:szCs w:val="21"/>
        </w:rPr>
      </w:pPr>
      <w:r>
        <w:rPr>
          <w:rFonts w:ascii="宋体" w:hAnsi="宋体" w:cs="宋体"/>
          <w:color w:val="auto"/>
          <w:szCs w:val="21"/>
        </w:rPr>
        <w:t>3.2</w:t>
      </w:r>
      <w:r>
        <w:rPr>
          <w:rFonts w:hint="eastAsia" w:ascii="宋体" w:hAnsi="宋体" w:cs="宋体"/>
          <w:color w:val="auto"/>
          <w:szCs w:val="21"/>
        </w:rPr>
        <w:t>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7FF4B315">
      <w:pPr>
        <w:spacing w:line="360" w:lineRule="auto"/>
        <w:ind w:firstLine="420" w:firstLineChars="200"/>
        <w:rPr>
          <w:rFonts w:ascii="宋体" w:hAnsi="宋体" w:cs="宋体"/>
          <w:color w:val="auto"/>
          <w:szCs w:val="21"/>
        </w:rPr>
      </w:pPr>
      <w:r>
        <w:rPr>
          <w:rFonts w:ascii="宋体" w:hAnsi="宋体" w:cs="宋体"/>
          <w:color w:val="auto"/>
          <w:szCs w:val="21"/>
        </w:rPr>
        <w:t>3.3</w:t>
      </w:r>
      <w:r>
        <w:rPr>
          <w:rFonts w:hint="eastAsia" w:ascii="宋体" w:hAnsi="宋体" w:cs="宋体"/>
          <w:color w:val="auto"/>
          <w:szCs w:val="21"/>
        </w:rPr>
        <w:t>对磋商文件作出的实质性变动是磋商文件的有效组成部分，由磋商小组及时以电子澄清函形式同时通知所有参加磋商的供应商。</w:t>
      </w:r>
    </w:p>
    <w:p w14:paraId="6DAB7706">
      <w:pPr>
        <w:spacing w:line="360" w:lineRule="auto"/>
        <w:ind w:firstLine="420" w:firstLineChars="200"/>
        <w:rPr>
          <w:rFonts w:ascii="宋体" w:hAnsi="宋体" w:cs="宋体"/>
          <w:color w:val="auto"/>
          <w:szCs w:val="21"/>
        </w:rPr>
      </w:pPr>
      <w:r>
        <w:rPr>
          <w:rFonts w:ascii="宋体" w:hAnsi="宋体" w:cs="宋体"/>
          <w:color w:val="auto"/>
          <w:szCs w:val="21"/>
        </w:rPr>
        <w:t>3.4</w:t>
      </w:r>
      <w:r>
        <w:rPr>
          <w:rFonts w:hint="eastAsia" w:ascii="宋体" w:hAnsi="宋体" w:cs="宋体"/>
          <w:color w:val="auto"/>
          <w:szCs w:val="21"/>
        </w:rPr>
        <w:t>供应商必须按照磋商文件的变动情况和磋商小组的要求以回函的形式重新提交响应文件，并加盖公章或电子签章。参加磋商的供应商未在规定时间内重新提交响应文件的，视同退出磋商，其响应文件按无效处理。</w:t>
      </w:r>
    </w:p>
    <w:p w14:paraId="2ED11CF5">
      <w:pPr>
        <w:spacing w:line="360" w:lineRule="auto"/>
        <w:ind w:firstLine="420" w:firstLineChars="200"/>
        <w:rPr>
          <w:rFonts w:ascii="宋体" w:hAnsi="宋体" w:cs="宋体"/>
          <w:color w:val="auto"/>
          <w:szCs w:val="21"/>
        </w:rPr>
      </w:pPr>
      <w:r>
        <w:rPr>
          <w:rFonts w:ascii="宋体" w:hAnsi="宋体" w:cs="宋体"/>
          <w:color w:val="auto"/>
          <w:szCs w:val="21"/>
        </w:rPr>
        <w:t>3.5</w:t>
      </w:r>
      <w:r>
        <w:rPr>
          <w:rFonts w:hint="eastAsia" w:ascii="宋体" w:hAnsi="宋体" w:cs="宋体"/>
          <w:color w:val="auto"/>
          <w:szCs w:val="21"/>
        </w:rPr>
        <w:t>磋商中，</w:t>
      </w:r>
      <w:r>
        <w:rPr>
          <w:rFonts w:hint="eastAsia" w:ascii="宋体" w:hAnsi="宋体" w:cs="宋体"/>
          <w:color w:val="auto"/>
          <w:spacing w:val="-6"/>
          <w:szCs w:val="21"/>
        </w:rPr>
        <w:t>磋商的任何一方不得透露与磋商有关的其他供应商的技术资料、价格和其他信息。</w:t>
      </w:r>
    </w:p>
    <w:p w14:paraId="56401E8F">
      <w:pPr>
        <w:widowControl/>
        <w:tabs>
          <w:tab w:val="left" w:pos="540"/>
        </w:tabs>
        <w:spacing w:line="360" w:lineRule="auto"/>
        <w:ind w:firstLine="420" w:firstLineChars="200"/>
        <w:jc w:val="left"/>
        <w:rPr>
          <w:rFonts w:ascii="宋体" w:hAnsi="宋体" w:cs="宋体"/>
          <w:color w:val="auto"/>
          <w:szCs w:val="21"/>
        </w:rPr>
      </w:pPr>
      <w:r>
        <w:rPr>
          <w:rFonts w:ascii="宋体" w:hAnsi="宋体" w:cs="宋体"/>
          <w:color w:val="auto"/>
          <w:szCs w:val="21"/>
        </w:rPr>
        <w:t>3.6</w:t>
      </w:r>
      <w:r>
        <w:rPr>
          <w:rFonts w:hint="eastAsia" w:ascii="宋体" w:hAnsi="宋体" w:cs="宋体"/>
          <w:color w:val="auto"/>
          <w:szCs w:val="21"/>
        </w:rPr>
        <w:t>采购代理机构对磋商过程和重要磋商内容进行记录。</w:t>
      </w:r>
    </w:p>
    <w:p w14:paraId="7AB0E43C">
      <w:pPr>
        <w:tabs>
          <w:tab w:val="left" w:pos="2835"/>
        </w:tabs>
        <w:spacing w:line="360" w:lineRule="auto"/>
        <w:ind w:firstLine="420" w:firstLineChars="200"/>
        <w:rPr>
          <w:rFonts w:ascii="宋体" w:hAnsi="宋体" w:cs="宋体"/>
          <w:color w:val="auto"/>
          <w:szCs w:val="21"/>
        </w:rPr>
      </w:pPr>
      <w:r>
        <w:rPr>
          <w:rFonts w:ascii="宋体" w:hAnsi="宋体" w:cs="宋体"/>
          <w:color w:val="auto"/>
          <w:szCs w:val="21"/>
        </w:rPr>
        <w:t>3.7</w:t>
      </w:r>
      <w:r>
        <w:rPr>
          <w:rFonts w:hint="eastAsia" w:ascii="宋体" w:hAnsi="宋体"/>
          <w:color w:val="auto"/>
          <w:szCs w:val="21"/>
        </w:rPr>
        <w:t>对磋商过程提交的响应文件进行有效性、完整性和响应程度审查，通过审查的合格供应商不足3家的，采购人或者采购代理机构应当重新开展采购活动。</w:t>
      </w:r>
    </w:p>
    <w:p w14:paraId="61F9436A">
      <w:pPr>
        <w:spacing w:line="360" w:lineRule="auto"/>
        <w:ind w:firstLine="482" w:firstLineChars="200"/>
        <w:rPr>
          <w:rFonts w:ascii="宋体" w:hAnsi="宋体" w:cs="宋体"/>
          <w:color w:val="auto"/>
          <w:szCs w:val="21"/>
        </w:rPr>
      </w:pPr>
      <w:r>
        <w:rPr>
          <w:rFonts w:ascii="黑体" w:hAnsi="黑体" w:eastAsia="黑体" w:cs="宋体"/>
          <w:b/>
          <w:bCs/>
          <w:color w:val="auto"/>
          <w:sz w:val="24"/>
        </w:rPr>
        <w:t>4.</w:t>
      </w:r>
      <w:r>
        <w:rPr>
          <w:rFonts w:hint="eastAsia" w:ascii="黑体" w:hAnsi="黑体" w:eastAsia="黑体" w:cs="宋体"/>
          <w:b/>
          <w:bCs/>
          <w:color w:val="auto"/>
          <w:sz w:val="24"/>
        </w:rPr>
        <w:t>最后报价</w:t>
      </w:r>
    </w:p>
    <w:p w14:paraId="79BEE9A8">
      <w:pPr>
        <w:spacing w:line="360" w:lineRule="auto"/>
        <w:ind w:firstLine="420" w:firstLineChars="200"/>
        <w:rPr>
          <w:rFonts w:ascii="宋体" w:hAnsi="宋体" w:cs="宋体"/>
          <w:color w:val="auto"/>
          <w:szCs w:val="21"/>
        </w:rPr>
      </w:pPr>
      <w:r>
        <w:rPr>
          <w:rFonts w:hint="eastAsia" w:ascii="宋体" w:hAnsi="宋体" w:cs="宋体"/>
          <w:color w:val="auto"/>
          <w:szCs w:val="21"/>
        </w:rPr>
        <w:t>4</w:t>
      </w:r>
      <w:r>
        <w:rPr>
          <w:rFonts w:ascii="宋体" w:hAnsi="宋体" w:cs="宋体"/>
          <w:color w:val="auto"/>
          <w:szCs w:val="21"/>
        </w:rPr>
        <w:t>.1</w:t>
      </w:r>
      <w:r>
        <w:rPr>
          <w:rFonts w:hint="eastAsia" w:ascii="宋体" w:hAnsi="宋体" w:cs="宋体"/>
          <w:color w:val="auto"/>
          <w:szCs w:val="21"/>
        </w:rPr>
        <w:t>磋商文件能够详细列明采购标的的技术、服务要求的，磋商结束后，磋商小组应当要求所有继续参加磋商的供应商在规定时间内在</w:t>
      </w:r>
      <w:r>
        <w:rPr>
          <w:rFonts w:hint="eastAsia" w:ascii="宋体" w:hAnsi="宋体"/>
          <w:color w:val="auto"/>
          <w:szCs w:val="21"/>
        </w:rPr>
        <w:t>广西政府采购云平台</w:t>
      </w:r>
      <w:r>
        <w:rPr>
          <w:rFonts w:hint="eastAsia" w:ascii="宋体" w:hAnsi="宋体" w:cs="宋体"/>
          <w:color w:val="auto"/>
          <w:szCs w:val="21"/>
        </w:rPr>
        <w:t>开标大厅提交最后报价，除本章第</w:t>
      </w:r>
      <w:r>
        <w:rPr>
          <w:rFonts w:ascii="宋体" w:hAnsi="宋体" w:cs="宋体"/>
          <w:color w:val="auto"/>
          <w:szCs w:val="21"/>
        </w:rPr>
        <w:t>4.3</w:t>
      </w:r>
      <w:r>
        <w:rPr>
          <w:rFonts w:hint="eastAsia" w:ascii="宋体" w:hAnsi="宋体" w:cs="宋体"/>
          <w:color w:val="auto"/>
          <w:szCs w:val="21"/>
        </w:rPr>
        <w:t>条外，提交最后报价的供应商不得少于3家，否则必须重新采购。</w:t>
      </w:r>
    </w:p>
    <w:p w14:paraId="46E92036">
      <w:pPr>
        <w:spacing w:line="360" w:lineRule="auto"/>
        <w:ind w:firstLine="420" w:firstLineChars="200"/>
        <w:rPr>
          <w:rFonts w:ascii="宋体" w:hAnsi="宋体" w:cs="宋体"/>
          <w:color w:val="auto"/>
          <w:szCs w:val="21"/>
        </w:rPr>
      </w:pPr>
      <w:r>
        <w:rPr>
          <w:rFonts w:hint="eastAsia" w:ascii="宋体" w:hAnsi="宋体" w:cs="宋体"/>
          <w:color w:val="auto"/>
          <w:szCs w:val="21"/>
        </w:rPr>
        <w:t>4</w:t>
      </w:r>
      <w:r>
        <w:rPr>
          <w:rFonts w:ascii="宋体" w:hAnsi="宋体" w:cs="宋体"/>
          <w:color w:val="auto"/>
          <w:szCs w:val="21"/>
        </w:rPr>
        <w:t>.2</w:t>
      </w:r>
      <w:r>
        <w:rPr>
          <w:rFonts w:hint="eastAsia" w:ascii="宋体" w:hAnsi="宋体" w:cs="宋体"/>
          <w:color w:val="auto"/>
          <w:szCs w:val="21"/>
        </w:rPr>
        <w:t>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在</w:t>
      </w:r>
      <w:r>
        <w:rPr>
          <w:rFonts w:hint="eastAsia" w:ascii="宋体" w:hAnsi="宋体"/>
          <w:color w:val="auto"/>
          <w:szCs w:val="21"/>
        </w:rPr>
        <w:t>广西政府采购云平台</w:t>
      </w:r>
      <w:r>
        <w:rPr>
          <w:rFonts w:hint="eastAsia" w:ascii="宋体" w:hAnsi="宋体" w:cs="宋体"/>
          <w:color w:val="auto"/>
          <w:szCs w:val="21"/>
        </w:rPr>
        <w:t>开标大厅提交最后报价。</w:t>
      </w:r>
    </w:p>
    <w:p w14:paraId="7371B329">
      <w:pPr>
        <w:spacing w:line="360" w:lineRule="auto"/>
        <w:ind w:firstLine="420" w:firstLineChars="200"/>
        <w:rPr>
          <w:rFonts w:ascii="宋体" w:hAnsi="宋体" w:cs="宋体"/>
          <w:color w:val="auto"/>
          <w:szCs w:val="21"/>
        </w:rPr>
      </w:pPr>
      <w:r>
        <w:rPr>
          <w:rFonts w:ascii="宋体" w:hAnsi="宋体" w:cs="宋体"/>
          <w:color w:val="auto"/>
          <w:szCs w:val="21"/>
        </w:rPr>
        <w:t>4.3</w:t>
      </w:r>
      <w:r>
        <w:rPr>
          <w:rFonts w:hint="eastAsia" w:ascii="宋体" w:hAnsi="宋体" w:cs="宋体"/>
          <w:color w:val="auto"/>
          <w:szCs w:val="21"/>
        </w:rPr>
        <w:t xml:space="preserve">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3A905FE9">
      <w:pPr>
        <w:spacing w:line="360" w:lineRule="auto"/>
        <w:ind w:firstLine="420" w:firstLineChars="200"/>
        <w:rPr>
          <w:rFonts w:ascii="宋体" w:hAnsi="宋体" w:cs="宋体"/>
          <w:color w:val="auto"/>
          <w:szCs w:val="21"/>
        </w:rPr>
      </w:pPr>
      <w:r>
        <w:rPr>
          <w:rFonts w:ascii="宋体" w:hAnsi="宋体" w:cs="宋体"/>
          <w:color w:val="auto"/>
          <w:szCs w:val="21"/>
        </w:rPr>
        <w:t>4.4</w:t>
      </w:r>
      <w:r>
        <w:rPr>
          <w:rFonts w:hint="eastAsia" w:ascii="宋体" w:hAnsi="宋体" w:cs="宋体"/>
          <w:color w:val="auto"/>
          <w:szCs w:val="21"/>
        </w:rPr>
        <w:t>已经提交响应文件的供应商，在提交最后报价之前，可以根据磋商情况退出磋商，退出磋商的供应商的响应文件按无效响应处理。采购人、采购代理机构将退还退出磋商的供应商的保证金。</w:t>
      </w:r>
    </w:p>
    <w:p w14:paraId="7A2EEC91">
      <w:pPr>
        <w:spacing w:line="360" w:lineRule="auto"/>
        <w:ind w:firstLine="420" w:firstLineChars="200"/>
        <w:rPr>
          <w:rFonts w:ascii="宋体" w:hAnsi="宋体" w:cs="宋体"/>
          <w:color w:val="auto"/>
          <w:szCs w:val="21"/>
        </w:rPr>
      </w:pPr>
      <w:r>
        <w:rPr>
          <w:rFonts w:ascii="宋体" w:hAnsi="宋体" w:cs="宋体"/>
          <w:color w:val="auto"/>
          <w:szCs w:val="21"/>
        </w:rPr>
        <w:t>4.5</w:t>
      </w:r>
      <w:r>
        <w:rPr>
          <w:rFonts w:hint="eastAsia" w:ascii="宋体" w:hAnsi="宋体" w:cs="宋体"/>
          <w:color w:val="auto"/>
          <w:szCs w:val="21"/>
        </w:rPr>
        <w:t>供应商未在规定时间内提交最后报价的，视同退出磋商，其响应文件按无效处理。</w:t>
      </w:r>
    </w:p>
    <w:p w14:paraId="6C3ABA7D">
      <w:pPr>
        <w:spacing w:line="360" w:lineRule="auto"/>
        <w:ind w:firstLine="420" w:firstLineChars="200"/>
        <w:rPr>
          <w:rFonts w:ascii="宋体" w:hAnsi="宋体" w:cs="宋体"/>
          <w:color w:val="auto"/>
          <w:szCs w:val="21"/>
        </w:rPr>
      </w:pPr>
      <w:r>
        <w:rPr>
          <w:rFonts w:ascii="宋体" w:hAnsi="宋体" w:cs="宋体"/>
          <w:color w:val="auto"/>
          <w:szCs w:val="21"/>
        </w:rPr>
        <w:t>4.6</w:t>
      </w:r>
      <w:r>
        <w:rPr>
          <w:rFonts w:hint="eastAsia" w:ascii="宋体" w:hAnsi="宋体" w:cs="宋体"/>
          <w:color w:val="auto"/>
          <w:szCs w:val="21"/>
        </w:rPr>
        <w:t>最后报价统一开启后，磋商小组对最后报价进行有效性、完整性和响应程度的审查。</w:t>
      </w:r>
    </w:p>
    <w:p w14:paraId="323207AE">
      <w:pPr>
        <w:spacing w:line="360" w:lineRule="auto"/>
        <w:ind w:firstLine="420" w:firstLineChars="200"/>
        <w:rPr>
          <w:rFonts w:ascii="宋体" w:hAnsi="宋体" w:cs="宋体"/>
          <w:color w:val="auto"/>
          <w:szCs w:val="21"/>
        </w:rPr>
      </w:pPr>
      <w:r>
        <w:rPr>
          <w:rFonts w:ascii="宋体" w:hAnsi="宋体" w:cs="宋体"/>
          <w:color w:val="auto"/>
          <w:szCs w:val="21"/>
        </w:rPr>
        <w:t>4.7</w:t>
      </w:r>
      <w:r>
        <w:rPr>
          <w:rFonts w:hint="eastAsia" w:ascii="宋体" w:hAnsi="宋体" w:cs="宋体"/>
          <w:color w:val="auto"/>
          <w:szCs w:val="21"/>
        </w:rPr>
        <w:t>最后报价出现前后不一致的，按照本章第</w:t>
      </w:r>
      <w:r>
        <w:rPr>
          <w:rFonts w:ascii="宋体" w:hAnsi="宋体" w:cs="宋体"/>
          <w:color w:val="auto"/>
          <w:szCs w:val="21"/>
        </w:rPr>
        <w:t>2.4</w:t>
      </w:r>
      <w:r>
        <w:rPr>
          <w:rFonts w:hint="eastAsia" w:ascii="宋体" w:hAnsi="宋体" w:cs="宋体"/>
          <w:color w:val="auto"/>
          <w:szCs w:val="21"/>
        </w:rPr>
        <w:t xml:space="preserve">条的规定修正。 </w:t>
      </w:r>
    </w:p>
    <w:p w14:paraId="2F094BD4">
      <w:pPr>
        <w:spacing w:line="360" w:lineRule="auto"/>
        <w:ind w:firstLine="420" w:firstLineChars="200"/>
        <w:rPr>
          <w:rFonts w:ascii="宋体" w:hAnsi="宋体" w:cs="宋体"/>
          <w:color w:val="auto"/>
          <w:szCs w:val="21"/>
        </w:rPr>
      </w:pPr>
      <w:r>
        <w:rPr>
          <w:rFonts w:ascii="宋体" w:hAnsi="宋体" w:cs="宋体"/>
          <w:color w:val="auto"/>
          <w:szCs w:val="21"/>
        </w:rPr>
        <w:t>4.8</w:t>
      </w:r>
      <w:r>
        <w:rPr>
          <w:rFonts w:hint="eastAsia" w:ascii="宋体" w:hAnsi="宋体" w:cs="宋体"/>
          <w:color w:val="auto"/>
          <w:szCs w:val="21"/>
        </w:rPr>
        <w:t>修正后的报价出现下列情形的，按无效响应处理：</w:t>
      </w:r>
    </w:p>
    <w:p w14:paraId="257A7376">
      <w:pPr>
        <w:spacing w:line="360" w:lineRule="auto"/>
        <w:ind w:firstLine="420" w:firstLineChars="200"/>
        <w:rPr>
          <w:rFonts w:ascii="宋体" w:hAnsi="宋体" w:cs="宋体"/>
          <w:color w:val="auto"/>
          <w:szCs w:val="21"/>
        </w:rPr>
      </w:pPr>
      <w:r>
        <w:rPr>
          <w:rFonts w:hint="eastAsia" w:ascii="宋体" w:hAnsi="宋体" w:cs="宋体"/>
          <w:color w:val="auto"/>
          <w:szCs w:val="21"/>
        </w:rPr>
        <w:t>（1）供应商不确认的（全流程电子化评标采取在线确认）；</w:t>
      </w:r>
    </w:p>
    <w:p w14:paraId="20D1700D">
      <w:pPr>
        <w:spacing w:line="360" w:lineRule="auto"/>
        <w:ind w:firstLine="420" w:firstLineChars="200"/>
        <w:rPr>
          <w:rFonts w:ascii="宋体" w:hAnsi="宋体" w:cs="宋体"/>
          <w:color w:val="auto"/>
          <w:szCs w:val="21"/>
        </w:rPr>
      </w:pPr>
      <w:r>
        <w:rPr>
          <w:rFonts w:hint="eastAsia" w:ascii="宋体" w:hAnsi="宋体" w:cs="宋体"/>
          <w:color w:val="auto"/>
          <w:szCs w:val="21"/>
        </w:rPr>
        <w:t>（2）经供应商确认修正后的</w:t>
      </w:r>
      <w:r>
        <w:rPr>
          <w:rFonts w:hint="eastAsia" w:ascii="宋体" w:hAnsi="宋体" w:cs="宋体"/>
          <w:color w:val="auto"/>
          <w:szCs w:val="21"/>
          <w:lang w:eastAsia="zh-CN"/>
        </w:rPr>
        <w:t>磋商报价</w:t>
      </w:r>
      <w:r>
        <w:rPr>
          <w:rFonts w:hint="eastAsia" w:ascii="宋体" w:hAnsi="宋体" w:cs="宋体"/>
          <w:color w:val="auto"/>
          <w:szCs w:val="21"/>
        </w:rPr>
        <w:t>（包含首次报价、最后报价）超过所竞标项目规定的采购预算金额或者最高限价的（如本项目公布了最高限价）；</w:t>
      </w:r>
    </w:p>
    <w:p w14:paraId="33F0C97A">
      <w:pPr>
        <w:spacing w:line="360" w:lineRule="auto"/>
        <w:ind w:firstLine="420" w:firstLineChars="200"/>
        <w:rPr>
          <w:rFonts w:ascii="宋体" w:hAnsi="宋体" w:cs="宋体"/>
          <w:color w:val="auto"/>
          <w:szCs w:val="21"/>
        </w:rPr>
      </w:pPr>
      <w:r>
        <w:rPr>
          <w:rFonts w:hint="eastAsia" w:ascii="宋体" w:hAnsi="宋体" w:cs="宋体"/>
          <w:color w:val="auto"/>
          <w:szCs w:val="21"/>
        </w:rPr>
        <w:t>（3）经供应商确认修正后的</w:t>
      </w:r>
      <w:r>
        <w:rPr>
          <w:rFonts w:hint="eastAsia" w:ascii="宋体" w:hAnsi="宋体" w:cs="宋体"/>
          <w:color w:val="auto"/>
          <w:szCs w:val="21"/>
          <w:lang w:eastAsia="zh-CN"/>
        </w:rPr>
        <w:t>磋商报价</w:t>
      </w:r>
      <w:r>
        <w:rPr>
          <w:rFonts w:hint="eastAsia" w:ascii="宋体" w:hAnsi="宋体" w:cs="宋体"/>
          <w:color w:val="auto"/>
          <w:szCs w:val="21"/>
        </w:rPr>
        <w:t>（包含首次报价、最后报价）超过分项采购预算金额或者最高限价的（如本项目公布了最高限价）。</w:t>
      </w:r>
    </w:p>
    <w:p w14:paraId="5FD5E9B5">
      <w:pPr>
        <w:spacing w:line="360" w:lineRule="auto"/>
        <w:ind w:firstLine="420" w:firstLineChars="200"/>
        <w:rPr>
          <w:rFonts w:ascii="宋体" w:hAnsi="宋体" w:cs="宋体"/>
          <w:color w:val="auto"/>
          <w:szCs w:val="21"/>
        </w:rPr>
      </w:pPr>
      <w:r>
        <w:rPr>
          <w:rFonts w:ascii="宋体" w:hAnsi="宋体" w:cs="宋体"/>
          <w:color w:val="auto"/>
          <w:szCs w:val="21"/>
        </w:rPr>
        <w:t>4.9</w:t>
      </w:r>
      <w:r>
        <w:rPr>
          <w:rFonts w:hint="eastAsia" w:ascii="宋体" w:hAnsi="宋体" w:cs="宋体"/>
          <w:color w:val="auto"/>
          <w:szCs w:val="21"/>
        </w:rPr>
        <w:t>经供应商确认修正后的最后报价作为评审及签订合同的依据。</w:t>
      </w:r>
    </w:p>
    <w:p w14:paraId="23537659">
      <w:pPr>
        <w:spacing w:line="360" w:lineRule="auto"/>
        <w:ind w:firstLine="420" w:firstLineChars="200"/>
        <w:rPr>
          <w:rFonts w:ascii="宋体" w:hAnsi="宋体" w:cs="宋体"/>
          <w:color w:val="auto"/>
          <w:szCs w:val="21"/>
        </w:rPr>
      </w:pPr>
      <w:r>
        <w:rPr>
          <w:rFonts w:hint="eastAsia" w:ascii="宋体" w:hAnsi="宋体" w:cs="宋体"/>
          <w:color w:val="auto"/>
          <w:szCs w:val="21"/>
        </w:rPr>
        <w:t>4.10供应商出现最后报价按无效响应处理或者响应文件按无效处理时</w:t>
      </w:r>
      <w:r>
        <w:rPr>
          <w:rFonts w:hint="eastAsia" w:ascii="宋体" w:hAnsi="宋体"/>
          <w:color w:val="auto"/>
          <w:sz w:val="22"/>
          <w:szCs w:val="22"/>
        </w:rPr>
        <w:t>，磋商小组应当告知有关供应商</w:t>
      </w:r>
      <w:r>
        <w:rPr>
          <w:rFonts w:hint="eastAsia" w:ascii="宋体" w:hAnsi="宋体" w:cs="宋体"/>
          <w:color w:val="auto"/>
          <w:szCs w:val="21"/>
        </w:rPr>
        <w:t>。</w:t>
      </w:r>
    </w:p>
    <w:p w14:paraId="29F04643">
      <w:pPr>
        <w:spacing w:line="360" w:lineRule="auto"/>
        <w:ind w:firstLine="420" w:firstLineChars="200"/>
        <w:rPr>
          <w:rFonts w:ascii="宋体" w:hAnsi="宋体" w:cs="宋体"/>
          <w:color w:val="auto"/>
          <w:szCs w:val="21"/>
        </w:rPr>
      </w:pPr>
      <w:r>
        <w:rPr>
          <w:rFonts w:hint="eastAsia" w:ascii="宋体" w:hAnsi="宋体" w:cs="宋体"/>
          <w:color w:val="auto"/>
          <w:szCs w:val="21"/>
        </w:rPr>
        <w:t>4</w:t>
      </w:r>
      <w:r>
        <w:rPr>
          <w:rFonts w:ascii="宋体" w:hAnsi="宋体" w:cs="宋体"/>
          <w:color w:val="auto"/>
          <w:szCs w:val="21"/>
        </w:rPr>
        <w:t>.1</w:t>
      </w:r>
      <w:r>
        <w:rPr>
          <w:rFonts w:hint="eastAsia" w:ascii="宋体" w:hAnsi="宋体" w:cs="宋体"/>
          <w:color w:val="auto"/>
          <w:szCs w:val="21"/>
        </w:rPr>
        <w:t>1最后报价结束后，磋商小组不得再与供应商进行任何形式的商谈。</w:t>
      </w:r>
    </w:p>
    <w:p w14:paraId="3D28DDD7">
      <w:pPr>
        <w:spacing w:line="360" w:lineRule="auto"/>
        <w:ind w:firstLine="482" w:firstLineChars="200"/>
        <w:rPr>
          <w:rFonts w:ascii="黑体" w:hAnsi="黑体" w:eastAsia="黑体" w:cs="宋体"/>
          <w:b/>
          <w:bCs/>
          <w:color w:val="auto"/>
          <w:sz w:val="24"/>
        </w:rPr>
      </w:pPr>
      <w:r>
        <w:rPr>
          <w:rFonts w:hint="eastAsia" w:ascii="黑体" w:hAnsi="黑体" w:eastAsia="黑体" w:cs="宋体"/>
          <w:b/>
          <w:bCs/>
          <w:color w:val="auto"/>
          <w:sz w:val="24"/>
        </w:rPr>
        <w:t>5</w:t>
      </w:r>
      <w:r>
        <w:rPr>
          <w:rFonts w:ascii="黑体" w:hAnsi="黑体" w:eastAsia="黑体" w:cs="宋体"/>
          <w:b/>
          <w:bCs/>
          <w:color w:val="auto"/>
          <w:sz w:val="24"/>
        </w:rPr>
        <w:t>.</w:t>
      </w:r>
      <w:r>
        <w:rPr>
          <w:rFonts w:hint="eastAsia" w:ascii="黑体" w:hAnsi="黑体" w:eastAsia="黑体" w:cs="宋体"/>
          <w:b/>
          <w:bCs/>
          <w:color w:val="auto"/>
          <w:sz w:val="24"/>
        </w:rPr>
        <w:t>比较与评价</w:t>
      </w:r>
    </w:p>
    <w:p w14:paraId="486CDE39">
      <w:pPr>
        <w:spacing w:line="360" w:lineRule="auto"/>
        <w:ind w:firstLine="420" w:firstLineChars="200"/>
        <w:rPr>
          <w:rFonts w:ascii="宋体" w:hAnsi="宋体" w:cs="宋体"/>
          <w:color w:val="auto"/>
          <w:szCs w:val="21"/>
        </w:rPr>
      </w:pPr>
      <w:r>
        <w:rPr>
          <w:rFonts w:ascii="宋体" w:hAnsi="宋体" w:cs="宋体"/>
          <w:color w:val="auto"/>
          <w:szCs w:val="21"/>
        </w:rPr>
        <w:t>5.1</w:t>
      </w:r>
      <w:r>
        <w:rPr>
          <w:rFonts w:hint="eastAsia" w:ascii="宋体" w:hAnsi="宋体" w:cs="宋体"/>
          <w:color w:val="auto"/>
          <w:szCs w:val="21"/>
        </w:rPr>
        <w:t>评审方法：综合评分法。</w:t>
      </w:r>
    </w:p>
    <w:p w14:paraId="579CC026">
      <w:pPr>
        <w:snapToGrid w:val="0"/>
        <w:spacing w:line="360" w:lineRule="exact"/>
        <w:ind w:firstLine="420" w:firstLineChars="200"/>
        <w:rPr>
          <w:rFonts w:ascii="宋体" w:hAnsi="宋体" w:cs="宋体"/>
          <w:color w:val="auto"/>
          <w:szCs w:val="21"/>
        </w:rPr>
      </w:pPr>
      <w:r>
        <w:rPr>
          <w:rFonts w:hint="eastAsia" w:ascii="宋体" w:hAnsi="宋体" w:cs="宋体"/>
          <w:color w:val="auto"/>
          <w:szCs w:val="21"/>
        </w:rPr>
        <w:t>（1）</w:t>
      </w:r>
      <w:r>
        <w:rPr>
          <w:rFonts w:hint="eastAsia" w:ascii="宋体" w:hAnsi="宋体" w:cs="宋体"/>
          <w:color w:val="auto"/>
          <w:szCs w:val="21"/>
          <w:lang w:eastAsia="zh-CN"/>
        </w:rPr>
        <w:t>磋商小组</w:t>
      </w:r>
      <w:r>
        <w:rPr>
          <w:rFonts w:hint="eastAsia" w:ascii="宋体" w:hAnsi="宋体" w:cs="宋体"/>
          <w:color w:val="auto"/>
          <w:szCs w:val="21"/>
        </w:rPr>
        <w:t>按照</w:t>
      </w:r>
      <w:r>
        <w:rPr>
          <w:rFonts w:hint="eastAsia" w:ascii="宋体" w:hAnsi="宋体" w:cs="宋体"/>
          <w:color w:val="auto"/>
          <w:szCs w:val="21"/>
          <w:lang w:eastAsia="zh-CN"/>
        </w:rPr>
        <w:t>磋商</w:t>
      </w:r>
      <w:r>
        <w:rPr>
          <w:rFonts w:hint="eastAsia" w:ascii="宋体" w:hAnsi="宋体" w:cs="宋体"/>
          <w:color w:val="auto"/>
          <w:szCs w:val="21"/>
        </w:rPr>
        <w:t>文件中规定的评标方法及评标标准，对符合性审查合格的</w:t>
      </w:r>
      <w:r>
        <w:rPr>
          <w:rFonts w:hint="eastAsia" w:ascii="宋体" w:hAnsi="宋体" w:cs="宋体"/>
          <w:color w:val="auto"/>
          <w:szCs w:val="21"/>
          <w:lang w:eastAsia="zh-CN"/>
        </w:rPr>
        <w:t>响应</w:t>
      </w:r>
      <w:r>
        <w:rPr>
          <w:rFonts w:hint="eastAsia" w:ascii="宋体" w:hAnsi="宋体" w:cs="宋体"/>
          <w:color w:val="auto"/>
          <w:szCs w:val="21"/>
        </w:rPr>
        <w:t>文件进行商务和技术评估，综合比较与评价。</w:t>
      </w:r>
    </w:p>
    <w:p w14:paraId="33844D98">
      <w:pPr>
        <w:snapToGrid w:val="0"/>
        <w:spacing w:line="360" w:lineRule="exact"/>
        <w:ind w:firstLine="420" w:firstLineChars="200"/>
        <w:rPr>
          <w:rFonts w:ascii="宋体" w:hAnsi="宋体" w:cs="宋体"/>
          <w:color w:val="auto"/>
          <w:szCs w:val="21"/>
        </w:rPr>
      </w:pPr>
      <w:r>
        <w:rPr>
          <w:rFonts w:hint="eastAsia" w:ascii="宋体" w:hAnsi="宋体" w:cs="宋体"/>
          <w:color w:val="auto"/>
          <w:szCs w:val="21"/>
        </w:rPr>
        <w:t>（2）</w:t>
      </w:r>
      <w:r>
        <w:rPr>
          <w:rFonts w:hint="eastAsia" w:ascii="宋体" w:hAnsi="宋体" w:cs="宋体"/>
          <w:color w:val="auto"/>
          <w:szCs w:val="21"/>
          <w:lang w:eastAsia="zh-CN"/>
        </w:rPr>
        <w:t>磋商小组</w:t>
      </w:r>
      <w:r>
        <w:rPr>
          <w:rFonts w:hint="eastAsia" w:ascii="宋体" w:hAnsi="宋体" w:cs="宋体"/>
          <w:color w:val="auto"/>
          <w:szCs w:val="21"/>
        </w:rPr>
        <w:t>会独立对每个</w:t>
      </w:r>
      <w:r>
        <w:rPr>
          <w:rFonts w:hint="eastAsia" w:ascii="宋体" w:hAnsi="宋体" w:cs="宋体"/>
          <w:color w:val="auto"/>
          <w:szCs w:val="21"/>
          <w:lang w:eastAsia="zh-CN"/>
        </w:rPr>
        <w:t>供应商</w:t>
      </w:r>
      <w:r>
        <w:rPr>
          <w:rFonts w:hint="eastAsia" w:ascii="宋体" w:hAnsi="宋体" w:cs="宋体"/>
          <w:color w:val="auto"/>
          <w:szCs w:val="21"/>
        </w:rPr>
        <w:t>的</w:t>
      </w:r>
      <w:r>
        <w:rPr>
          <w:rFonts w:hint="eastAsia" w:ascii="宋体" w:hAnsi="宋体" w:cs="宋体"/>
          <w:color w:val="auto"/>
          <w:szCs w:val="21"/>
          <w:lang w:eastAsia="zh-CN"/>
        </w:rPr>
        <w:t>响应</w:t>
      </w:r>
      <w:r>
        <w:rPr>
          <w:rFonts w:hint="eastAsia" w:ascii="宋体" w:hAnsi="宋体" w:cs="宋体"/>
          <w:color w:val="auto"/>
          <w:szCs w:val="21"/>
        </w:rPr>
        <w:t>文件进行评价，并汇总每个</w:t>
      </w:r>
      <w:r>
        <w:rPr>
          <w:rFonts w:hint="eastAsia" w:ascii="宋体" w:hAnsi="宋体" w:cs="宋体"/>
          <w:color w:val="auto"/>
          <w:szCs w:val="21"/>
          <w:lang w:eastAsia="zh-CN"/>
        </w:rPr>
        <w:t>供应商</w:t>
      </w:r>
      <w:r>
        <w:rPr>
          <w:rFonts w:hint="eastAsia" w:ascii="宋体" w:hAnsi="宋体" w:cs="宋体"/>
          <w:color w:val="auto"/>
          <w:szCs w:val="21"/>
        </w:rPr>
        <w:t>的得分。</w:t>
      </w:r>
    </w:p>
    <w:p w14:paraId="75A1873F">
      <w:pPr>
        <w:snapToGrid w:val="0"/>
        <w:spacing w:line="360" w:lineRule="auto"/>
        <w:ind w:firstLine="420" w:firstLineChars="200"/>
        <w:rPr>
          <w:rFonts w:ascii="宋体" w:hAnsi="宋体"/>
          <w:color w:val="auto"/>
          <w:szCs w:val="21"/>
        </w:rPr>
      </w:pPr>
      <w:r>
        <w:rPr>
          <w:rFonts w:hint="eastAsia" w:ascii="宋体" w:hAnsi="宋体"/>
          <w:color w:val="auto"/>
          <w:szCs w:val="21"/>
          <w:lang w:val="en-US" w:eastAsia="zh-CN"/>
        </w:rPr>
        <w:t>A、</w:t>
      </w:r>
      <w:r>
        <w:rPr>
          <w:rFonts w:hint="eastAsia" w:ascii="宋体" w:hAnsi="宋体" w:cs="宋体"/>
          <w:color w:val="auto"/>
          <w:szCs w:val="21"/>
          <w:lang w:eastAsia="zh-CN"/>
        </w:rPr>
        <w:t>磋商小组</w:t>
      </w:r>
      <w:r>
        <w:rPr>
          <w:rFonts w:hint="eastAsia" w:ascii="宋体" w:hAnsi="宋体"/>
          <w:color w:val="auto"/>
          <w:szCs w:val="21"/>
        </w:rPr>
        <w:t>在评审中发现下列情形之一的，应当启动异常低价投标审查程序：</w:t>
      </w:r>
    </w:p>
    <w:p w14:paraId="50CE8395">
      <w:pPr>
        <w:snapToGrid w:val="0"/>
        <w:spacing w:line="360" w:lineRule="auto"/>
        <w:ind w:firstLine="420" w:firstLineChars="200"/>
        <w:rPr>
          <w:rFonts w:ascii="宋体" w:hAnsi="宋体"/>
          <w:color w:val="auto"/>
          <w:szCs w:val="21"/>
        </w:rPr>
      </w:pPr>
      <w:r>
        <w:rPr>
          <w:rFonts w:hint="eastAsia" w:ascii="宋体" w:hAnsi="宋体"/>
          <w:color w:val="auto"/>
          <w:szCs w:val="21"/>
        </w:rPr>
        <w:t>①</w:t>
      </w:r>
      <w:r>
        <w:rPr>
          <w:rFonts w:hint="eastAsia" w:ascii="宋体" w:hAnsi="宋体"/>
          <w:color w:val="auto"/>
          <w:szCs w:val="21"/>
          <w:lang w:eastAsia="zh-CN"/>
        </w:rPr>
        <w:t>最终</w:t>
      </w:r>
      <w:r>
        <w:rPr>
          <w:rFonts w:hint="eastAsia" w:ascii="宋体" w:hAnsi="宋体"/>
          <w:color w:val="auto"/>
          <w:szCs w:val="21"/>
        </w:rPr>
        <w:t>报价低于全部通过符合性审查供应商</w:t>
      </w:r>
      <w:r>
        <w:rPr>
          <w:rFonts w:hint="eastAsia" w:ascii="宋体" w:hAnsi="宋体"/>
          <w:color w:val="auto"/>
          <w:szCs w:val="21"/>
          <w:lang w:eastAsia="zh-CN"/>
        </w:rPr>
        <w:t>最终</w:t>
      </w:r>
      <w:r>
        <w:rPr>
          <w:rFonts w:hint="eastAsia" w:ascii="宋体" w:hAnsi="宋体"/>
          <w:color w:val="auto"/>
          <w:szCs w:val="21"/>
        </w:rPr>
        <w:t>报价平均值</w:t>
      </w:r>
      <w:r>
        <w:rPr>
          <w:rFonts w:ascii="宋体" w:hAnsi="宋体"/>
          <w:color w:val="auto"/>
          <w:szCs w:val="21"/>
          <w:u w:val="single"/>
        </w:rPr>
        <w:t xml:space="preserve"> </w:t>
      </w:r>
      <w:r>
        <w:rPr>
          <w:rFonts w:hint="eastAsia" w:ascii="宋体" w:hAnsi="宋体"/>
          <w:color w:val="auto"/>
          <w:szCs w:val="21"/>
          <w:u w:val="single"/>
        </w:rPr>
        <w:t>65%</w:t>
      </w:r>
      <w:r>
        <w:rPr>
          <w:rFonts w:ascii="宋体" w:hAnsi="宋体"/>
          <w:color w:val="auto"/>
          <w:szCs w:val="21"/>
          <w:u w:val="single"/>
        </w:rPr>
        <w:t xml:space="preserve"> </w:t>
      </w:r>
      <w:r>
        <w:rPr>
          <w:rFonts w:hint="eastAsia" w:ascii="宋体" w:hAnsi="宋体"/>
          <w:color w:val="auto"/>
          <w:szCs w:val="21"/>
        </w:rPr>
        <w:t>的，即</w:t>
      </w:r>
      <w:r>
        <w:rPr>
          <w:rFonts w:hint="eastAsia" w:ascii="宋体" w:hAnsi="宋体"/>
          <w:color w:val="auto"/>
          <w:szCs w:val="21"/>
          <w:lang w:eastAsia="zh-CN"/>
        </w:rPr>
        <w:t>最终</w:t>
      </w:r>
      <w:r>
        <w:rPr>
          <w:rFonts w:hint="eastAsia" w:ascii="宋体" w:hAnsi="宋体"/>
          <w:color w:val="auto"/>
          <w:szCs w:val="21"/>
        </w:rPr>
        <w:t>报价＜全部通过符合性审查供应商</w:t>
      </w:r>
      <w:r>
        <w:rPr>
          <w:rFonts w:hint="eastAsia" w:ascii="宋体" w:hAnsi="宋体"/>
          <w:color w:val="auto"/>
          <w:szCs w:val="21"/>
          <w:lang w:eastAsia="zh-CN"/>
        </w:rPr>
        <w:t>最终</w:t>
      </w:r>
      <w:r>
        <w:rPr>
          <w:rFonts w:hint="eastAsia" w:ascii="宋体" w:hAnsi="宋体"/>
          <w:color w:val="auto"/>
          <w:szCs w:val="21"/>
        </w:rPr>
        <w:t>报价平均值×</w:t>
      </w:r>
      <w:r>
        <w:rPr>
          <w:rFonts w:ascii="宋体" w:hAnsi="宋体"/>
          <w:color w:val="auto"/>
          <w:szCs w:val="21"/>
          <w:u w:val="single"/>
        </w:rPr>
        <w:t xml:space="preserve"> </w:t>
      </w:r>
      <w:r>
        <w:rPr>
          <w:rFonts w:hint="eastAsia" w:ascii="宋体" w:hAnsi="宋体"/>
          <w:color w:val="auto"/>
          <w:szCs w:val="21"/>
          <w:u w:val="single"/>
        </w:rPr>
        <w:t>65%</w:t>
      </w:r>
      <w:r>
        <w:rPr>
          <w:rFonts w:ascii="宋体" w:hAnsi="宋体"/>
          <w:color w:val="auto"/>
          <w:szCs w:val="21"/>
          <w:u w:val="single"/>
        </w:rPr>
        <w:t xml:space="preserve">  </w:t>
      </w:r>
      <w:r>
        <w:rPr>
          <w:rFonts w:hint="eastAsia" w:ascii="宋体" w:hAnsi="宋体"/>
          <w:color w:val="auto"/>
          <w:szCs w:val="21"/>
        </w:rPr>
        <w:t>；</w:t>
      </w:r>
    </w:p>
    <w:p w14:paraId="1D9AC32C">
      <w:pPr>
        <w:snapToGrid w:val="0"/>
        <w:spacing w:line="360" w:lineRule="auto"/>
        <w:ind w:firstLine="420" w:firstLineChars="200"/>
        <w:rPr>
          <w:rFonts w:ascii="宋体" w:hAnsi="宋体"/>
          <w:color w:val="auto"/>
          <w:szCs w:val="21"/>
        </w:rPr>
      </w:pPr>
      <w:r>
        <w:rPr>
          <w:rFonts w:hint="eastAsia" w:ascii="宋体" w:hAnsi="宋体"/>
          <w:color w:val="auto"/>
          <w:szCs w:val="21"/>
        </w:rPr>
        <w:t>②</w:t>
      </w:r>
      <w:r>
        <w:rPr>
          <w:rFonts w:hint="eastAsia" w:ascii="宋体" w:hAnsi="宋体"/>
          <w:color w:val="auto"/>
          <w:szCs w:val="21"/>
          <w:lang w:eastAsia="zh-CN"/>
        </w:rPr>
        <w:t>最终</w:t>
      </w:r>
      <w:r>
        <w:rPr>
          <w:rFonts w:hint="eastAsia" w:ascii="宋体" w:hAnsi="宋体"/>
          <w:color w:val="auto"/>
          <w:szCs w:val="21"/>
        </w:rPr>
        <w:t>报价低于通过符合性审查的次低报价供应商</w:t>
      </w:r>
      <w:r>
        <w:rPr>
          <w:rFonts w:hint="eastAsia" w:ascii="宋体" w:hAnsi="宋体"/>
          <w:color w:val="auto"/>
          <w:szCs w:val="21"/>
          <w:lang w:eastAsia="zh-CN"/>
        </w:rPr>
        <w:t>最终</w:t>
      </w:r>
      <w:r>
        <w:rPr>
          <w:rFonts w:hint="eastAsia" w:ascii="宋体" w:hAnsi="宋体"/>
          <w:color w:val="auto"/>
          <w:szCs w:val="21"/>
        </w:rPr>
        <w:t>报价</w:t>
      </w:r>
      <w:r>
        <w:rPr>
          <w:rFonts w:ascii="宋体" w:hAnsi="宋体"/>
          <w:color w:val="auto"/>
          <w:szCs w:val="21"/>
          <w:u w:val="single"/>
        </w:rPr>
        <w:t xml:space="preserve"> </w:t>
      </w:r>
      <w:r>
        <w:rPr>
          <w:rFonts w:hint="eastAsia" w:ascii="宋体" w:hAnsi="宋体"/>
          <w:color w:val="auto"/>
          <w:szCs w:val="21"/>
          <w:u w:val="single"/>
        </w:rPr>
        <w:t>65%</w:t>
      </w:r>
      <w:r>
        <w:rPr>
          <w:rFonts w:ascii="宋体" w:hAnsi="宋体"/>
          <w:color w:val="auto"/>
          <w:szCs w:val="21"/>
          <w:u w:val="single"/>
        </w:rPr>
        <w:t xml:space="preserve">  </w:t>
      </w:r>
      <w:r>
        <w:rPr>
          <w:rFonts w:hint="eastAsia" w:ascii="宋体" w:hAnsi="宋体"/>
          <w:color w:val="auto"/>
          <w:szCs w:val="21"/>
        </w:rPr>
        <w:t>的，即</w:t>
      </w:r>
      <w:r>
        <w:rPr>
          <w:rFonts w:hint="eastAsia" w:ascii="宋体" w:hAnsi="宋体"/>
          <w:color w:val="auto"/>
          <w:szCs w:val="21"/>
          <w:lang w:eastAsia="zh-CN"/>
        </w:rPr>
        <w:t>最终</w:t>
      </w:r>
      <w:r>
        <w:rPr>
          <w:rFonts w:hint="eastAsia" w:ascii="宋体" w:hAnsi="宋体"/>
          <w:color w:val="auto"/>
          <w:szCs w:val="21"/>
        </w:rPr>
        <w:t>报价＜通过符合性审查的次</w:t>
      </w:r>
      <w:r>
        <w:rPr>
          <w:rFonts w:hint="eastAsia" w:ascii="宋体" w:hAnsi="宋体"/>
          <w:color w:val="auto"/>
          <w:szCs w:val="21"/>
          <w:lang w:eastAsia="zh-CN"/>
        </w:rPr>
        <w:t>低</w:t>
      </w:r>
      <w:r>
        <w:rPr>
          <w:rFonts w:hint="eastAsia" w:ascii="宋体" w:hAnsi="宋体"/>
          <w:color w:val="auto"/>
          <w:szCs w:val="21"/>
        </w:rPr>
        <w:t>报价供应商</w:t>
      </w:r>
      <w:r>
        <w:rPr>
          <w:rFonts w:hint="eastAsia" w:ascii="宋体" w:hAnsi="宋体"/>
          <w:color w:val="auto"/>
          <w:szCs w:val="21"/>
          <w:lang w:eastAsia="zh-CN"/>
        </w:rPr>
        <w:t>最终</w:t>
      </w:r>
      <w:r>
        <w:rPr>
          <w:rFonts w:hint="eastAsia" w:ascii="宋体" w:hAnsi="宋体"/>
          <w:color w:val="auto"/>
          <w:szCs w:val="21"/>
        </w:rPr>
        <w:t>报价×</w:t>
      </w:r>
      <w:r>
        <w:rPr>
          <w:rFonts w:ascii="宋体" w:hAnsi="宋体"/>
          <w:color w:val="auto"/>
          <w:szCs w:val="21"/>
          <w:u w:val="single"/>
        </w:rPr>
        <w:t xml:space="preserve"> </w:t>
      </w:r>
      <w:r>
        <w:rPr>
          <w:rFonts w:hint="eastAsia" w:ascii="宋体" w:hAnsi="宋体"/>
          <w:color w:val="auto"/>
          <w:szCs w:val="21"/>
          <w:u w:val="single"/>
        </w:rPr>
        <w:t>65%</w:t>
      </w:r>
      <w:r>
        <w:rPr>
          <w:rFonts w:ascii="宋体" w:hAnsi="宋体"/>
          <w:color w:val="auto"/>
          <w:szCs w:val="21"/>
          <w:u w:val="single"/>
        </w:rPr>
        <w:t xml:space="preserve">  </w:t>
      </w:r>
      <w:r>
        <w:rPr>
          <w:rFonts w:hint="eastAsia" w:ascii="宋体" w:hAnsi="宋体"/>
          <w:color w:val="auto"/>
          <w:szCs w:val="21"/>
        </w:rPr>
        <w:t>；</w:t>
      </w:r>
    </w:p>
    <w:p w14:paraId="553E32DE">
      <w:pPr>
        <w:snapToGrid w:val="0"/>
        <w:spacing w:line="360" w:lineRule="auto"/>
        <w:ind w:firstLine="420" w:firstLineChars="200"/>
        <w:rPr>
          <w:rFonts w:ascii="宋体" w:hAnsi="宋体"/>
          <w:color w:val="auto"/>
          <w:szCs w:val="21"/>
        </w:rPr>
      </w:pPr>
      <w:r>
        <w:rPr>
          <w:rFonts w:hint="eastAsia" w:ascii="宋体" w:hAnsi="宋体"/>
          <w:color w:val="auto"/>
          <w:szCs w:val="21"/>
        </w:rPr>
        <w:t>③</w:t>
      </w:r>
      <w:r>
        <w:rPr>
          <w:rFonts w:hint="eastAsia" w:ascii="宋体" w:hAnsi="宋体"/>
          <w:color w:val="auto"/>
          <w:szCs w:val="21"/>
          <w:lang w:eastAsia="zh-CN"/>
        </w:rPr>
        <w:t>最终</w:t>
      </w:r>
      <w:r>
        <w:rPr>
          <w:rFonts w:hint="eastAsia" w:ascii="宋体" w:hAnsi="宋体"/>
          <w:color w:val="auto"/>
          <w:szCs w:val="21"/>
        </w:rPr>
        <w:t>报价低于采购项目最高限价</w:t>
      </w:r>
      <w:r>
        <w:rPr>
          <w:rFonts w:ascii="宋体" w:hAnsi="宋体"/>
          <w:color w:val="auto"/>
          <w:szCs w:val="21"/>
          <w:u w:val="single"/>
        </w:rPr>
        <w:t xml:space="preserve"> </w:t>
      </w:r>
      <w:r>
        <w:rPr>
          <w:rFonts w:hint="eastAsia" w:ascii="宋体" w:hAnsi="宋体"/>
          <w:color w:val="auto"/>
          <w:szCs w:val="21"/>
          <w:u w:val="single"/>
        </w:rPr>
        <w:t>65%</w:t>
      </w:r>
      <w:r>
        <w:rPr>
          <w:rFonts w:ascii="宋体" w:hAnsi="宋体"/>
          <w:color w:val="auto"/>
          <w:szCs w:val="21"/>
          <w:u w:val="single"/>
        </w:rPr>
        <w:t xml:space="preserve">  </w:t>
      </w:r>
      <w:r>
        <w:rPr>
          <w:rFonts w:hint="eastAsia" w:ascii="宋体" w:hAnsi="宋体"/>
          <w:color w:val="auto"/>
          <w:szCs w:val="21"/>
        </w:rPr>
        <w:t>的，即</w:t>
      </w:r>
      <w:r>
        <w:rPr>
          <w:rFonts w:hint="eastAsia" w:ascii="宋体" w:hAnsi="宋体"/>
          <w:color w:val="auto"/>
          <w:szCs w:val="21"/>
          <w:lang w:eastAsia="zh-CN"/>
        </w:rPr>
        <w:t>最终</w:t>
      </w:r>
      <w:r>
        <w:rPr>
          <w:rFonts w:hint="eastAsia" w:ascii="宋体" w:hAnsi="宋体"/>
          <w:color w:val="auto"/>
          <w:szCs w:val="21"/>
        </w:rPr>
        <w:t>报价＜采购项目最高限价×</w:t>
      </w:r>
      <w:r>
        <w:rPr>
          <w:rFonts w:ascii="宋体" w:hAnsi="宋体"/>
          <w:color w:val="auto"/>
          <w:szCs w:val="21"/>
          <w:u w:val="single"/>
        </w:rPr>
        <w:t xml:space="preserve"> </w:t>
      </w:r>
      <w:r>
        <w:rPr>
          <w:rFonts w:hint="eastAsia" w:ascii="宋体" w:hAnsi="宋体"/>
          <w:color w:val="auto"/>
          <w:szCs w:val="21"/>
          <w:u w:val="single"/>
        </w:rPr>
        <w:t>65%</w:t>
      </w:r>
      <w:r>
        <w:rPr>
          <w:rFonts w:ascii="宋体" w:hAnsi="宋体"/>
          <w:color w:val="auto"/>
          <w:szCs w:val="21"/>
          <w:u w:val="single"/>
        </w:rPr>
        <w:t xml:space="preserve">  </w:t>
      </w:r>
      <w:r>
        <w:rPr>
          <w:rFonts w:hint="eastAsia" w:ascii="宋体" w:hAnsi="宋体"/>
          <w:color w:val="auto"/>
          <w:szCs w:val="21"/>
        </w:rPr>
        <w:t>；</w:t>
      </w:r>
    </w:p>
    <w:p w14:paraId="4E325E37">
      <w:pPr>
        <w:snapToGrid w:val="0"/>
        <w:spacing w:line="360" w:lineRule="auto"/>
        <w:ind w:firstLine="420" w:firstLineChars="200"/>
        <w:rPr>
          <w:rFonts w:ascii="宋体" w:hAnsi="宋体"/>
          <w:color w:val="auto"/>
          <w:szCs w:val="21"/>
        </w:rPr>
      </w:pPr>
      <w:r>
        <w:rPr>
          <w:rFonts w:hint="eastAsia" w:ascii="宋体" w:hAnsi="宋体"/>
          <w:color w:val="auto"/>
          <w:szCs w:val="21"/>
        </w:rPr>
        <w:t>④</w:t>
      </w:r>
      <w:r>
        <w:rPr>
          <w:rFonts w:hint="eastAsia" w:ascii="宋体" w:hAnsi="宋体"/>
          <w:color w:val="auto"/>
          <w:szCs w:val="21"/>
          <w:lang w:eastAsia="zh-CN"/>
        </w:rPr>
        <w:t>磋商小组</w:t>
      </w:r>
      <w:r>
        <w:rPr>
          <w:rFonts w:hint="eastAsia" w:ascii="宋体" w:hAnsi="宋体"/>
          <w:color w:val="auto"/>
          <w:szCs w:val="21"/>
        </w:rPr>
        <w:t>基于专业判断，认为供应商报价过低，有可能影响</w:t>
      </w:r>
      <w:r>
        <w:rPr>
          <w:rFonts w:hint="eastAsia" w:ascii="宋体" w:hAnsi="宋体"/>
          <w:color w:val="auto"/>
          <w:szCs w:val="21"/>
          <w:lang w:eastAsia="zh-CN"/>
        </w:rPr>
        <w:t>服务（</w:t>
      </w:r>
      <w:r>
        <w:rPr>
          <w:rFonts w:hint="eastAsia" w:ascii="宋体" w:hAnsi="宋体"/>
          <w:color w:val="auto"/>
          <w:szCs w:val="21"/>
        </w:rPr>
        <w:t>产品</w:t>
      </w:r>
      <w:r>
        <w:rPr>
          <w:rFonts w:hint="eastAsia" w:ascii="宋体" w:hAnsi="宋体"/>
          <w:color w:val="auto"/>
          <w:szCs w:val="21"/>
          <w:lang w:eastAsia="zh-CN"/>
        </w:rPr>
        <w:t>）</w:t>
      </w:r>
      <w:r>
        <w:rPr>
          <w:rFonts w:hint="eastAsia" w:ascii="宋体" w:hAnsi="宋体"/>
          <w:color w:val="auto"/>
          <w:szCs w:val="21"/>
        </w:rPr>
        <w:t>质量或者不能诚信履约的其他情形。</w:t>
      </w:r>
    </w:p>
    <w:p w14:paraId="7D554F93">
      <w:pPr>
        <w:snapToGrid w:val="0"/>
        <w:spacing w:line="360" w:lineRule="auto"/>
        <w:ind w:firstLine="420" w:firstLineChars="200"/>
        <w:rPr>
          <w:rFonts w:ascii="宋体" w:hAnsi="宋体"/>
          <w:color w:val="auto"/>
          <w:szCs w:val="21"/>
        </w:rPr>
      </w:pPr>
      <w:r>
        <w:rPr>
          <w:rFonts w:hint="eastAsia" w:ascii="宋体" w:hAnsi="宋体"/>
          <w:color w:val="auto"/>
          <w:szCs w:val="21"/>
          <w:lang w:val="en-US" w:eastAsia="zh-CN"/>
        </w:rPr>
        <w:t>B、</w:t>
      </w:r>
      <w:r>
        <w:rPr>
          <w:rFonts w:hint="eastAsia" w:ascii="宋体" w:hAnsi="宋体" w:cs="宋体"/>
          <w:color w:val="auto"/>
          <w:szCs w:val="21"/>
          <w:lang w:eastAsia="zh-CN"/>
        </w:rPr>
        <w:t>磋商小组</w:t>
      </w:r>
      <w:r>
        <w:rPr>
          <w:rFonts w:hint="eastAsia" w:ascii="宋体" w:hAnsi="宋体"/>
          <w:color w:val="auto"/>
          <w:szCs w:val="21"/>
        </w:rPr>
        <w:t>会启动异常低价</w:t>
      </w:r>
      <w:r>
        <w:rPr>
          <w:rFonts w:hint="eastAsia" w:ascii="宋体" w:hAnsi="宋体"/>
          <w:color w:val="auto"/>
          <w:szCs w:val="21"/>
          <w:lang w:eastAsia="zh-CN"/>
        </w:rPr>
        <w:t>磋商</w:t>
      </w:r>
      <w:r>
        <w:rPr>
          <w:rFonts w:hint="eastAsia" w:ascii="宋体" w:hAnsi="宋体"/>
          <w:color w:val="auto"/>
          <w:szCs w:val="21"/>
        </w:rPr>
        <w:t>审查后，属于前述第①项至第④项情形的，应当要求相关供应商在评审现场合理的时间内对</w:t>
      </w:r>
      <w:r>
        <w:rPr>
          <w:rFonts w:hint="eastAsia" w:ascii="宋体" w:hAnsi="宋体"/>
          <w:color w:val="auto"/>
          <w:szCs w:val="21"/>
          <w:lang w:eastAsia="zh-CN"/>
        </w:rPr>
        <w:t>磋商</w:t>
      </w:r>
      <w:r>
        <w:rPr>
          <w:rFonts w:hint="eastAsia" w:ascii="宋体" w:hAnsi="宋体"/>
          <w:color w:val="auto"/>
          <w:szCs w:val="21"/>
        </w:rPr>
        <w:t>价格作出解释，提供项目具体成本测算等与报价合理性相关的书面说明及必要的证明材料，包括但不限于</w:t>
      </w:r>
      <w:r>
        <w:rPr>
          <w:rFonts w:hint="eastAsia" w:ascii="宋体" w:hAnsi="宋体"/>
          <w:color w:val="auto"/>
          <w:szCs w:val="21"/>
          <w:lang w:eastAsia="zh-CN"/>
        </w:rPr>
        <w:t>成本测算、人工、费用构成等证明材料</w:t>
      </w:r>
      <w:r>
        <w:rPr>
          <w:rFonts w:hint="eastAsia" w:ascii="宋体" w:hAnsi="宋体"/>
          <w:color w:val="auto"/>
          <w:szCs w:val="21"/>
        </w:rPr>
        <w:t>，给予相关供应商的合理时间一般不少于30分钟。其中，属于第③项情形，供应商已随</w:t>
      </w:r>
      <w:r>
        <w:rPr>
          <w:rFonts w:hint="eastAsia" w:ascii="宋体" w:hAnsi="宋体"/>
          <w:color w:val="auto"/>
          <w:szCs w:val="21"/>
          <w:lang w:eastAsia="zh-CN"/>
        </w:rPr>
        <w:t>响应</w:t>
      </w:r>
      <w:r>
        <w:rPr>
          <w:rFonts w:hint="eastAsia" w:ascii="宋体" w:hAnsi="宋体"/>
          <w:color w:val="auto"/>
          <w:szCs w:val="21"/>
        </w:rPr>
        <w:t>文件一并提交相关书面说明及必要的证明材料的，可不再重复提交。</w:t>
      </w:r>
    </w:p>
    <w:p w14:paraId="4CDAB44F">
      <w:pPr>
        <w:snapToGrid w:val="0"/>
        <w:spacing w:line="360" w:lineRule="auto"/>
        <w:ind w:firstLine="420" w:firstLineChars="200"/>
        <w:rPr>
          <w:rFonts w:ascii="宋体" w:hAnsi="宋体"/>
          <w:color w:val="auto"/>
          <w:szCs w:val="21"/>
        </w:rPr>
      </w:pPr>
      <w:r>
        <w:rPr>
          <w:rFonts w:hint="eastAsia" w:ascii="宋体" w:hAnsi="宋体"/>
          <w:color w:val="auto"/>
          <w:szCs w:val="21"/>
          <w:lang w:eastAsia="zh-CN"/>
        </w:rPr>
        <w:t>磋商小组</w:t>
      </w:r>
      <w:r>
        <w:rPr>
          <w:rFonts w:hint="eastAsia" w:ascii="宋体" w:hAnsi="宋体"/>
          <w:color w:val="auto"/>
          <w:szCs w:val="21"/>
        </w:rPr>
        <w:t>依据专业经验，参考同类项目中标（成交）价格、类似</w:t>
      </w:r>
      <w:r>
        <w:rPr>
          <w:rFonts w:hint="eastAsia" w:ascii="宋体" w:hAnsi="宋体"/>
          <w:color w:val="auto"/>
          <w:szCs w:val="21"/>
          <w:lang w:eastAsia="zh-CN"/>
        </w:rPr>
        <w:t>服务</w:t>
      </w:r>
      <w:r>
        <w:rPr>
          <w:rFonts w:hint="eastAsia" w:ascii="宋体" w:hAnsi="宋体"/>
          <w:color w:val="auto"/>
          <w:szCs w:val="21"/>
        </w:rPr>
        <w:t>市场价格水平、行业人工费用标准、国家有关部门指导行业协会发布的行业平均成本等情况，对报价合理性进行判断。</w:t>
      </w:r>
      <w:r>
        <w:rPr>
          <w:rFonts w:hint="eastAsia" w:ascii="宋体" w:hAnsi="宋体"/>
          <w:b/>
          <w:color w:val="auto"/>
          <w:szCs w:val="21"/>
        </w:rPr>
        <w:t>供应商不能提供书面说明、证明材料，或者提供的书面说明、证明材料不能证明其报价合理性的，</w:t>
      </w:r>
      <w:r>
        <w:rPr>
          <w:rFonts w:hint="eastAsia" w:ascii="宋体" w:hAnsi="宋体"/>
          <w:b/>
          <w:color w:val="auto"/>
          <w:szCs w:val="21"/>
          <w:lang w:eastAsia="zh-CN"/>
        </w:rPr>
        <w:t>磋商小组</w:t>
      </w:r>
      <w:r>
        <w:rPr>
          <w:rFonts w:hint="eastAsia" w:ascii="宋体" w:hAnsi="宋体"/>
          <w:b/>
          <w:color w:val="auto"/>
          <w:szCs w:val="21"/>
        </w:rPr>
        <w:t>应当将其作为无效投标处理。</w:t>
      </w:r>
    </w:p>
    <w:p w14:paraId="7D4428EA">
      <w:pPr>
        <w:snapToGrid w:val="0"/>
        <w:spacing w:line="360" w:lineRule="auto"/>
        <w:ind w:firstLine="420" w:firstLineChars="200"/>
        <w:rPr>
          <w:rFonts w:ascii="宋体" w:hAnsi="宋体"/>
          <w:color w:val="auto"/>
          <w:szCs w:val="21"/>
        </w:rPr>
      </w:pPr>
      <w:r>
        <w:rPr>
          <w:rFonts w:hint="eastAsia" w:ascii="宋体" w:hAnsi="宋体"/>
          <w:color w:val="auto"/>
          <w:szCs w:val="21"/>
        </w:rPr>
        <w:t>采购人、采购代理机构应当为</w:t>
      </w:r>
      <w:r>
        <w:rPr>
          <w:rFonts w:hint="eastAsia" w:ascii="宋体" w:hAnsi="宋体"/>
          <w:color w:val="auto"/>
          <w:szCs w:val="21"/>
          <w:lang w:eastAsia="zh-CN"/>
        </w:rPr>
        <w:t>磋商小组</w:t>
      </w:r>
      <w:r>
        <w:rPr>
          <w:rFonts w:hint="eastAsia" w:ascii="宋体" w:hAnsi="宋体"/>
          <w:color w:val="auto"/>
          <w:szCs w:val="21"/>
        </w:rPr>
        <w:t>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14:paraId="3AE2A0A1">
      <w:pPr>
        <w:snapToGrid w:val="0"/>
        <w:spacing w:line="360" w:lineRule="auto"/>
        <w:ind w:firstLine="420" w:firstLineChars="200"/>
        <w:rPr>
          <w:rFonts w:ascii="宋体" w:hAnsi="宋体"/>
          <w:color w:val="auto"/>
          <w:szCs w:val="21"/>
        </w:rPr>
      </w:pPr>
      <w:r>
        <w:rPr>
          <w:rFonts w:hint="eastAsia" w:ascii="宋体" w:hAnsi="宋体"/>
          <w:color w:val="auto"/>
          <w:szCs w:val="21"/>
        </w:rPr>
        <w:t>异常低价投标审查的启动原因、审查意见和审查结果应当在评审报告中记录，并随供应商提供的相关书面说明及证明材料，以及</w:t>
      </w:r>
      <w:r>
        <w:rPr>
          <w:rFonts w:hint="eastAsia" w:ascii="宋体" w:hAnsi="宋体"/>
          <w:color w:val="auto"/>
          <w:szCs w:val="21"/>
          <w:lang w:eastAsia="zh-CN"/>
        </w:rPr>
        <w:t>磋商小组</w:t>
      </w:r>
      <w:r>
        <w:rPr>
          <w:rFonts w:hint="eastAsia" w:ascii="宋体" w:hAnsi="宋体"/>
          <w:color w:val="auto"/>
          <w:szCs w:val="21"/>
        </w:rPr>
        <w:t>有关互联网浏览、查询历史一并归档。</w:t>
      </w:r>
    </w:p>
    <w:p w14:paraId="5F6DBBDB">
      <w:pPr>
        <w:spacing w:line="360" w:lineRule="auto"/>
        <w:ind w:firstLine="420" w:firstLineChars="200"/>
        <w:rPr>
          <w:rFonts w:ascii="宋体" w:hAnsi="宋体" w:cs="宋体"/>
          <w:color w:val="auto"/>
          <w:szCs w:val="21"/>
        </w:rPr>
      </w:pPr>
      <w:r>
        <w:rPr>
          <w:rFonts w:ascii="宋体" w:hAnsi="宋体" w:cs="宋体"/>
          <w:color w:val="auto"/>
          <w:szCs w:val="21"/>
        </w:rPr>
        <w:t>5.2</w:t>
      </w:r>
      <w:r>
        <w:rPr>
          <w:rFonts w:hint="eastAsia" w:ascii="宋体" w:hAnsi="宋体" w:cs="宋体"/>
          <w:color w:val="auto"/>
          <w:szCs w:val="21"/>
        </w:rPr>
        <w:t>经磋商确定最终采购需求和提交最后报价的供应商后，由磋商小组采用综合评分法对提交最后报价的供应商的响应文件和最后报价进行综合评分。</w:t>
      </w:r>
    </w:p>
    <w:p w14:paraId="12348F95">
      <w:pPr>
        <w:spacing w:line="360" w:lineRule="auto"/>
        <w:ind w:firstLine="420" w:firstLineChars="200"/>
        <w:rPr>
          <w:rFonts w:ascii="宋体" w:hAnsi="宋体" w:cs="宋体"/>
          <w:color w:val="auto"/>
          <w:szCs w:val="21"/>
        </w:rPr>
      </w:pPr>
      <w:r>
        <w:rPr>
          <w:rFonts w:ascii="宋体" w:hAnsi="宋体" w:cs="宋体"/>
          <w:color w:val="auto"/>
          <w:szCs w:val="21"/>
        </w:rPr>
        <w:t>5.3</w:t>
      </w:r>
      <w:r>
        <w:rPr>
          <w:rFonts w:hint="eastAsia" w:ascii="宋体" w:hAnsi="宋体" w:cs="宋体"/>
          <w:color w:val="auto"/>
          <w:szCs w:val="21"/>
        </w:rPr>
        <w:t>评审时，磋商小组各成员应当独立对每个有效响应的文件进行评价、打分，然后汇总每个供应商每项评分因素的得分。</w:t>
      </w:r>
    </w:p>
    <w:p w14:paraId="0B1473D6">
      <w:pPr>
        <w:spacing w:line="360" w:lineRule="auto"/>
        <w:ind w:firstLine="420" w:firstLineChars="200"/>
        <w:rPr>
          <w:rFonts w:ascii="宋体" w:hAnsi="宋体" w:cs="宋体"/>
          <w:color w:val="auto"/>
          <w:szCs w:val="21"/>
        </w:rPr>
      </w:pPr>
      <w:r>
        <w:rPr>
          <w:rFonts w:hint="eastAsia" w:ascii="宋体" w:hAnsi="宋体" w:cs="宋体"/>
          <w:color w:val="auto"/>
          <w:szCs w:val="21"/>
        </w:rPr>
        <w:t>（1）磋商小组按照磋商文件中规定的评审标准计算各供应商的报价得分。项目评审过程中，不得去掉最后报价中的最高报价和最低报价。</w:t>
      </w:r>
    </w:p>
    <w:p w14:paraId="399FEBEA">
      <w:pPr>
        <w:spacing w:line="360" w:lineRule="auto"/>
        <w:ind w:firstLine="420" w:firstLineChars="200"/>
        <w:rPr>
          <w:rFonts w:ascii="宋体" w:hAnsi="宋体" w:cs="宋体"/>
          <w:color w:val="auto"/>
          <w:szCs w:val="21"/>
        </w:rPr>
      </w:pPr>
      <w:r>
        <w:rPr>
          <w:rFonts w:hint="eastAsia" w:ascii="宋体" w:hAnsi="宋体" w:cs="宋体"/>
          <w:color w:val="auto"/>
          <w:szCs w:val="21"/>
        </w:rPr>
        <w:t>（2）各供应商的得分为磋商小组所有成员的有效评分的算术平均数。</w:t>
      </w:r>
    </w:p>
    <w:p w14:paraId="250BD777">
      <w:pPr>
        <w:spacing w:line="360" w:lineRule="auto"/>
        <w:ind w:firstLine="420" w:firstLineChars="200"/>
        <w:rPr>
          <w:rFonts w:ascii="宋体" w:hAnsi="宋体" w:cs="宋体"/>
          <w:color w:val="auto"/>
          <w:szCs w:val="21"/>
        </w:rPr>
      </w:pPr>
      <w:r>
        <w:rPr>
          <w:rFonts w:ascii="宋体" w:hAnsi="宋体" w:cs="宋体"/>
          <w:color w:val="auto"/>
          <w:szCs w:val="21"/>
        </w:rPr>
        <w:t>5.4</w:t>
      </w:r>
      <w:r>
        <w:rPr>
          <w:rFonts w:hint="eastAsia" w:ascii="宋体" w:hAnsi="宋体" w:cs="宋体"/>
          <w:color w:val="auto"/>
          <w:szCs w:val="21"/>
        </w:rPr>
        <w:t>评审价为供应商的最后报价进行政策性扣除后的价格，评审价只是作为评审时使用。最终成交供应商的成交金额等于最后报价（如有修正，以确认修正后的最后报价为准）。</w:t>
      </w:r>
    </w:p>
    <w:p w14:paraId="23F9B205">
      <w:pPr>
        <w:spacing w:line="360" w:lineRule="auto"/>
        <w:ind w:firstLine="420" w:firstLineChars="200"/>
        <w:rPr>
          <w:rFonts w:ascii="宋体" w:hAnsi="宋体"/>
          <w:color w:val="auto"/>
          <w:kern w:val="0"/>
          <w:szCs w:val="21"/>
        </w:rPr>
      </w:pPr>
      <w:r>
        <w:rPr>
          <w:rFonts w:ascii="宋体" w:hAnsi="宋体" w:cs="宋体"/>
          <w:color w:val="auto"/>
          <w:szCs w:val="21"/>
        </w:rPr>
        <w:t>5.5</w:t>
      </w:r>
      <w:r>
        <w:rPr>
          <w:rFonts w:hint="eastAsia" w:ascii="宋体" w:hAnsi="宋体" w:cs="宋体"/>
          <w:color w:val="auto"/>
          <w:szCs w:val="21"/>
        </w:rPr>
        <w:t>由磋商小组根据综合评分情况，按照评审得分由高到低顺序推荐3名以上成交候选供应商，并编写评</w:t>
      </w:r>
      <w:r>
        <w:rPr>
          <w:rFonts w:hint="eastAsia" w:ascii="宋体" w:hAnsi="宋体"/>
          <w:color w:val="auto"/>
          <w:kern w:val="0"/>
          <w:szCs w:val="21"/>
        </w:rPr>
        <w:t>审报告。符合本章第</w:t>
      </w:r>
      <w:r>
        <w:rPr>
          <w:rFonts w:ascii="宋体" w:hAnsi="宋体"/>
          <w:color w:val="auto"/>
          <w:kern w:val="0"/>
          <w:szCs w:val="21"/>
        </w:rPr>
        <w:t>4.3</w:t>
      </w:r>
      <w:r>
        <w:rPr>
          <w:rFonts w:hint="eastAsia" w:ascii="宋体" w:hAnsi="宋体"/>
          <w:color w:val="auto"/>
          <w:kern w:val="0"/>
          <w:szCs w:val="21"/>
        </w:rPr>
        <w:t>条情形的，可以推荐2家成交候选供应商。评审得分相同的，按照最后报价由低到高的顺序推荐。评审得分且最后报价相同的，按照技术指标优劣顺序推荐。</w:t>
      </w:r>
    </w:p>
    <w:p w14:paraId="37BA1CF5">
      <w:pPr>
        <w:spacing w:line="360" w:lineRule="auto"/>
        <w:ind w:firstLine="420" w:firstLineChars="200"/>
        <w:rPr>
          <w:rFonts w:ascii="宋体" w:hAnsi="宋体" w:cs="宋体"/>
          <w:color w:val="auto"/>
          <w:szCs w:val="21"/>
        </w:rPr>
      </w:pPr>
      <w:r>
        <w:rPr>
          <w:rFonts w:ascii="宋体" w:hAnsi="宋体"/>
          <w:color w:val="auto"/>
          <w:kern w:val="0"/>
          <w:szCs w:val="21"/>
        </w:rPr>
        <w:t>5.6</w:t>
      </w:r>
      <w:r>
        <w:rPr>
          <w:rFonts w:hint="eastAsia" w:ascii="宋体" w:hAnsi="宋体"/>
          <w:color w:val="auto"/>
          <w:kern w:val="0"/>
          <w:szCs w:val="21"/>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5A066CA7">
      <w:pPr>
        <w:spacing w:line="360" w:lineRule="auto"/>
        <w:jc w:val="center"/>
        <w:rPr>
          <w:rFonts w:ascii="宋体" w:hAnsi="宋体"/>
          <w:b/>
          <w:color w:val="auto"/>
          <w:sz w:val="32"/>
          <w:szCs w:val="32"/>
        </w:rPr>
      </w:pPr>
      <w:r>
        <w:rPr>
          <w:rFonts w:hint="eastAsia" w:ascii="宋体" w:hAnsi="宋体"/>
          <w:b/>
          <w:color w:val="auto"/>
          <w:sz w:val="32"/>
          <w:szCs w:val="32"/>
        </w:rPr>
        <w:t>二、评审标准</w:t>
      </w:r>
    </w:p>
    <w:p w14:paraId="366763A3">
      <w:pPr>
        <w:spacing w:line="380" w:lineRule="exact"/>
        <w:ind w:firstLine="420" w:firstLineChars="200"/>
        <w:rPr>
          <w:rFonts w:ascii="宋体" w:hAnsi="宋体"/>
          <w:bCs/>
          <w:color w:val="auto"/>
          <w:szCs w:val="21"/>
        </w:rPr>
      </w:pPr>
      <w:r>
        <w:rPr>
          <w:rFonts w:hint="eastAsia" w:ascii="宋体" w:hAnsi="宋体"/>
          <w:bCs/>
          <w:color w:val="auto"/>
          <w:szCs w:val="21"/>
        </w:rPr>
        <w:t>6</w:t>
      </w:r>
      <w:r>
        <w:rPr>
          <w:rFonts w:ascii="宋体" w:hAnsi="宋体"/>
          <w:bCs/>
          <w:color w:val="auto"/>
          <w:szCs w:val="21"/>
        </w:rPr>
        <w:t>.</w:t>
      </w:r>
      <w:r>
        <w:rPr>
          <w:rFonts w:hint="eastAsia" w:ascii="宋体" w:hAnsi="宋体"/>
          <w:bCs/>
          <w:color w:val="auto"/>
          <w:szCs w:val="21"/>
        </w:rPr>
        <w:t>评审依据：磋商小组将以磋商响应文件为评审依据，对供应商的报价、技术、商务等方面内容按百分制打分。（计分方法按四舍五入取至百分位）</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1250"/>
        <w:gridCol w:w="6934"/>
      </w:tblGrid>
      <w:tr w14:paraId="10130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11" w:type="dxa"/>
            <w:vAlign w:val="center"/>
          </w:tcPr>
          <w:p w14:paraId="0F74AB68">
            <w:pPr>
              <w:widowControl/>
              <w:spacing w:line="380" w:lineRule="exact"/>
              <w:jc w:val="center"/>
              <w:rPr>
                <w:rFonts w:ascii="宋体" w:hAnsi="宋体" w:cs="Tahoma"/>
                <w:b/>
                <w:bCs/>
                <w:color w:val="auto"/>
                <w:kern w:val="0"/>
                <w:szCs w:val="21"/>
              </w:rPr>
            </w:pPr>
            <w:r>
              <w:rPr>
                <w:rFonts w:hint="eastAsia" w:ascii="宋体" w:hAnsi="宋体" w:cs="Tahoma"/>
                <w:b/>
                <w:bCs/>
                <w:color w:val="auto"/>
                <w:kern w:val="0"/>
                <w:szCs w:val="21"/>
              </w:rPr>
              <w:t>序号</w:t>
            </w:r>
          </w:p>
        </w:tc>
        <w:tc>
          <w:tcPr>
            <w:tcW w:w="1250" w:type="dxa"/>
            <w:vAlign w:val="center"/>
          </w:tcPr>
          <w:p w14:paraId="0AD92657">
            <w:pPr>
              <w:widowControl/>
              <w:spacing w:line="380" w:lineRule="exact"/>
              <w:jc w:val="center"/>
              <w:rPr>
                <w:rFonts w:ascii="宋体" w:hAnsi="宋体" w:cs="Tahoma"/>
                <w:b/>
                <w:bCs/>
                <w:color w:val="auto"/>
                <w:kern w:val="0"/>
                <w:szCs w:val="21"/>
              </w:rPr>
            </w:pPr>
            <w:r>
              <w:rPr>
                <w:rFonts w:hint="eastAsia" w:ascii="宋体" w:hAnsi="宋体" w:cs="Tahoma"/>
                <w:b/>
                <w:bCs/>
                <w:color w:val="auto"/>
                <w:kern w:val="0"/>
                <w:szCs w:val="21"/>
              </w:rPr>
              <w:t>评审因素</w:t>
            </w:r>
          </w:p>
        </w:tc>
        <w:tc>
          <w:tcPr>
            <w:tcW w:w="6934" w:type="dxa"/>
            <w:vAlign w:val="center"/>
          </w:tcPr>
          <w:p w14:paraId="76E48856">
            <w:pPr>
              <w:widowControl/>
              <w:spacing w:line="380" w:lineRule="exact"/>
              <w:jc w:val="center"/>
              <w:rPr>
                <w:rFonts w:ascii="宋体" w:hAnsi="宋体" w:cs="Tahoma"/>
                <w:b/>
                <w:bCs/>
                <w:color w:val="auto"/>
                <w:kern w:val="0"/>
                <w:szCs w:val="21"/>
              </w:rPr>
            </w:pPr>
            <w:r>
              <w:rPr>
                <w:rFonts w:hint="eastAsia" w:ascii="宋体" w:hAnsi="宋体" w:cs="Tahoma"/>
                <w:b/>
                <w:bCs/>
                <w:color w:val="auto"/>
                <w:kern w:val="0"/>
                <w:szCs w:val="21"/>
              </w:rPr>
              <w:t>评审因素具体内容</w:t>
            </w:r>
          </w:p>
        </w:tc>
      </w:tr>
      <w:tr w14:paraId="3C5D3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11" w:type="dxa"/>
            <w:vAlign w:val="center"/>
          </w:tcPr>
          <w:p w14:paraId="792685FB">
            <w:pPr>
              <w:widowControl/>
              <w:spacing w:line="380" w:lineRule="exact"/>
              <w:jc w:val="center"/>
              <w:rPr>
                <w:rFonts w:ascii="宋体" w:hAnsi="宋体" w:cs="Tahoma"/>
                <w:color w:val="auto"/>
                <w:kern w:val="0"/>
                <w:szCs w:val="21"/>
              </w:rPr>
            </w:pPr>
            <w:r>
              <w:rPr>
                <w:rFonts w:hint="eastAsia" w:ascii="宋体" w:hAnsi="宋体" w:cs="Tahoma"/>
                <w:color w:val="auto"/>
                <w:kern w:val="0"/>
                <w:szCs w:val="21"/>
              </w:rPr>
              <w:t>（1）</w:t>
            </w:r>
          </w:p>
        </w:tc>
        <w:tc>
          <w:tcPr>
            <w:tcW w:w="1250" w:type="dxa"/>
            <w:vAlign w:val="center"/>
          </w:tcPr>
          <w:p w14:paraId="47180619">
            <w:pPr>
              <w:widowControl/>
              <w:spacing w:line="380" w:lineRule="exact"/>
              <w:jc w:val="center"/>
              <w:rPr>
                <w:rFonts w:ascii="宋体" w:hAnsi="宋体" w:cs="Tahoma"/>
                <w:color w:val="auto"/>
                <w:kern w:val="0"/>
                <w:szCs w:val="21"/>
              </w:rPr>
            </w:pPr>
            <w:r>
              <w:rPr>
                <w:rFonts w:hint="eastAsia" w:ascii="宋体" w:hAnsi="宋体" w:cs="Tahoma"/>
                <w:color w:val="auto"/>
                <w:kern w:val="0"/>
                <w:szCs w:val="21"/>
              </w:rPr>
              <w:t>价格分</w:t>
            </w:r>
            <w:r>
              <w:rPr>
                <w:rFonts w:hint="eastAsia" w:ascii="宋体" w:hAnsi="宋体"/>
                <w:color w:val="auto"/>
                <w:szCs w:val="21"/>
              </w:rPr>
              <w:t>（满分</w:t>
            </w:r>
            <w:r>
              <w:rPr>
                <w:rFonts w:hint="eastAsia" w:ascii="宋体" w:hAnsi="宋体"/>
                <w:color w:val="auto"/>
                <w:szCs w:val="21"/>
                <w:lang w:val="en-US" w:eastAsia="zh-CN"/>
              </w:rPr>
              <w:t>20</w:t>
            </w:r>
            <w:r>
              <w:rPr>
                <w:rFonts w:hint="eastAsia" w:ascii="宋体" w:hAnsi="宋体"/>
                <w:color w:val="auto"/>
                <w:szCs w:val="21"/>
              </w:rPr>
              <w:t>分）</w:t>
            </w:r>
          </w:p>
        </w:tc>
        <w:tc>
          <w:tcPr>
            <w:tcW w:w="6934" w:type="dxa"/>
          </w:tcPr>
          <w:p w14:paraId="66100035">
            <w:pPr>
              <w:spacing w:line="360" w:lineRule="auto"/>
              <w:rPr>
                <w:rFonts w:hint="eastAsia" w:ascii="宋体" w:hAnsi="宋体"/>
                <w:color w:val="auto"/>
                <w:szCs w:val="21"/>
                <w:highlight w:val="none"/>
              </w:rPr>
            </w:pPr>
            <w:r>
              <w:rPr>
                <w:rFonts w:hint="eastAsia" w:ascii="宋体" w:hAnsi="宋体"/>
                <w:color w:val="auto"/>
                <w:szCs w:val="21"/>
                <w:highlight w:val="none"/>
              </w:rPr>
              <w:t>（1）评审价为供应商的最后报价进行政策性扣除后的价格，评审价只是作为评审时使用。最终成交供应商的成交金额等于最后报价（如有修正，以确认修正后的最后报价为准）。</w:t>
            </w:r>
          </w:p>
          <w:p w14:paraId="39FB9174">
            <w:pPr>
              <w:spacing w:line="360" w:lineRule="auto"/>
              <w:rPr>
                <w:rFonts w:hint="eastAsia" w:ascii="宋体" w:hAnsi="宋体"/>
                <w:color w:val="auto"/>
                <w:szCs w:val="21"/>
                <w:highlight w:val="none"/>
              </w:rPr>
            </w:pPr>
            <w:r>
              <w:rPr>
                <w:rFonts w:hint="eastAsia" w:ascii="宋体" w:hAnsi="宋体"/>
                <w:color w:val="auto"/>
                <w:szCs w:val="21"/>
                <w:highlight w:val="none"/>
              </w:rPr>
              <w:t>（2）政府采购政策性扣除计算方法</w:t>
            </w:r>
          </w:p>
          <w:p w14:paraId="2E1A2EAD">
            <w:pPr>
              <w:spacing w:line="360" w:lineRule="auto"/>
              <w:rPr>
                <w:rFonts w:hint="eastAsia" w:ascii="宋体" w:hAnsi="宋体"/>
                <w:color w:val="auto"/>
                <w:szCs w:val="21"/>
                <w:highlight w:val="none"/>
              </w:rPr>
            </w:pPr>
            <w:r>
              <w:rPr>
                <w:rFonts w:hint="eastAsia" w:ascii="宋体" w:hAnsi="宋体"/>
                <w:color w:val="auto"/>
                <w:szCs w:val="21"/>
                <w:highlight w:val="none"/>
              </w:rPr>
              <w:t>根据《政府采购促进中小企业发展管理办法》（财库〔2020〕46号）及《广西壮族自治区财政厅关于持续优化政府采购营商环境推动高质量发展的通知》（桂财采〔2024〕55号）的规定，供应商在其响应文件中提供《中小企业声明函》，且服务全部由小微企业承接，对供应商的竞标报价给予</w:t>
            </w:r>
            <w:r>
              <w:rPr>
                <w:rFonts w:hint="eastAsia" w:ascii="宋体" w:hAnsi="宋体"/>
                <w:color w:val="auto"/>
                <w:szCs w:val="21"/>
                <w:highlight w:val="none"/>
                <w:lang w:val="en-US" w:eastAsia="zh-CN"/>
              </w:rPr>
              <w:t>10</w:t>
            </w:r>
            <w:r>
              <w:rPr>
                <w:rFonts w:hint="eastAsia" w:ascii="宋体" w:hAnsi="宋体"/>
                <w:color w:val="auto"/>
                <w:szCs w:val="21"/>
                <w:highlight w:val="none"/>
              </w:rPr>
              <w:t>%的扣除，扣除后的价格为评审价，即评审价=竞标报价×（1-</w:t>
            </w:r>
            <w:r>
              <w:rPr>
                <w:rFonts w:hint="eastAsia" w:ascii="宋体" w:hAnsi="宋体"/>
                <w:color w:val="auto"/>
                <w:szCs w:val="21"/>
                <w:highlight w:val="none"/>
                <w:lang w:val="en-US" w:eastAsia="zh-CN"/>
              </w:rPr>
              <w:t>10</w:t>
            </w:r>
            <w:r>
              <w:rPr>
                <w:rFonts w:hint="eastAsia" w:ascii="宋体" w:hAnsi="宋体"/>
                <w:color w:val="auto"/>
                <w:szCs w:val="21"/>
                <w:highlight w:val="none"/>
              </w:rPr>
              <w:t>%）。除上述情况外，评审价=竞标报价。</w:t>
            </w:r>
          </w:p>
          <w:p w14:paraId="247D4695">
            <w:pPr>
              <w:spacing w:line="360" w:lineRule="auto"/>
              <w:rPr>
                <w:rFonts w:hint="eastAsia" w:ascii="宋体" w:hAnsi="宋体"/>
                <w:color w:val="auto"/>
                <w:szCs w:val="21"/>
                <w:highlight w:val="none"/>
              </w:rPr>
            </w:pPr>
            <w:r>
              <w:rPr>
                <w:rFonts w:hint="eastAsia" w:ascii="宋体" w:hAnsi="宋体"/>
                <w:color w:val="auto"/>
                <w:szCs w:val="21"/>
                <w:highlight w:val="none"/>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3C8421C3">
            <w:pPr>
              <w:spacing w:line="360" w:lineRule="auto"/>
              <w:rPr>
                <w:rFonts w:hint="eastAsia" w:ascii="宋体" w:hAnsi="宋体"/>
                <w:color w:val="auto"/>
                <w:szCs w:val="21"/>
                <w:highlight w:val="none"/>
              </w:rPr>
            </w:pPr>
            <w:r>
              <w:rPr>
                <w:rFonts w:hint="eastAsia" w:ascii="宋体" w:hAnsi="宋体"/>
                <w:color w:val="auto"/>
                <w:szCs w:val="21"/>
                <w:highlight w:val="none"/>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5C356A29">
            <w:pPr>
              <w:spacing w:line="360" w:lineRule="auto"/>
              <w:rPr>
                <w:rFonts w:hint="eastAsia" w:ascii="宋体" w:hAnsi="宋体"/>
                <w:color w:val="auto"/>
                <w:szCs w:val="21"/>
                <w:highlight w:val="none"/>
              </w:rPr>
            </w:pPr>
            <w:r>
              <w:rPr>
                <w:rFonts w:hint="eastAsia" w:ascii="宋体" w:hAnsi="宋体"/>
                <w:color w:val="auto"/>
                <w:szCs w:val="21"/>
                <w:highlight w:val="none"/>
              </w:rPr>
              <w:t>（5）以进入比较与评价环节的最低的评审价为基准价，基准价得分为</w:t>
            </w:r>
            <w:r>
              <w:rPr>
                <w:rFonts w:hint="eastAsia" w:ascii="宋体" w:hAnsi="宋体"/>
                <w:color w:val="auto"/>
                <w:szCs w:val="21"/>
                <w:highlight w:val="none"/>
                <w:lang w:val="en-US" w:eastAsia="zh-CN"/>
              </w:rPr>
              <w:t>20</w:t>
            </w:r>
            <w:r>
              <w:rPr>
                <w:rFonts w:hint="eastAsia" w:ascii="宋体" w:hAnsi="宋体"/>
                <w:color w:val="auto"/>
                <w:szCs w:val="21"/>
                <w:highlight w:val="none"/>
              </w:rPr>
              <w:t>分。</w:t>
            </w:r>
          </w:p>
          <w:p w14:paraId="0BE5932C">
            <w:pPr>
              <w:spacing w:line="360" w:lineRule="auto"/>
              <w:rPr>
                <w:rFonts w:hint="eastAsia" w:ascii="宋体" w:hAnsi="宋体"/>
                <w:color w:val="auto"/>
                <w:szCs w:val="21"/>
                <w:highlight w:val="none"/>
              </w:rPr>
            </w:pPr>
            <w:r>
              <w:rPr>
                <w:rFonts w:hint="eastAsia" w:ascii="宋体" w:hAnsi="宋体"/>
                <w:color w:val="auto"/>
                <w:szCs w:val="21"/>
                <w:highlight w:val="none"/>
              </w:rPr>
              <w:t>（6）价格分计算公式：</w:t>
            </w:r>
          </w:p>
          <w:p w14:paraId="44BF0239">
            <w:pPr>
              <w:widowControl/>
              <w:wordWrap w:val="0"/>
              <w:spacing w:line="380" w:lineRule="exact"/>
              <w:ind w:firstLine="420" w:firstLineChars="200"/>
              <w:jc w:val="left"/>
              <w:rPr>
                <w:color w:val="auto"/>
                <w:szCs w:val="21"/>
              </w:rPr>
            </w:pPr>
            <w:r>
              <w:rPr>
                <w:rFonts w:hint="eastAsia" w:ascii="宋体" w:hAnsi="宋体"/>
                <w:color w:val="auto"/>
                <w:szCs w:val="21"/>
                <w:highlight w:val="none"/>
              </w:rPr>
              <w:t>报价得分=（基准价/最后报价）×</w:t>
            </w:r>
            <w:r>
              <w:rPr>
                <w:rFonts w:hint="eastAsia" w:ascii="宋体" w:hAnsi="宋体"/>
                <w:color w:val="auto"/>
                <w:szCs w:val="21"/>
                <w:highlight w:val="none"/>
                <w:lang w:val="en-US" w:eastAsia="zh-CN"/>
              </w:rPr>
              <w:t>20</w:t>
            </w:r>
            <w:r>
              <w:rPr>
                <w:rFonts w:hint="eastAsia" w:ascii="宋体" w:hAnsi="宋体"/>
                <w:color w:val="auto"/>
                <w:szCs w:val="21"/>
                <w:highlight w:val="none"/>
              </w:rPr>
              <w:t>分</w:t>
            </w:r>
          </w:p>
        </w:tc>
      </w:tr>
      <w:tr w14:paraId="0CCC1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11" w:type="dxa"/>
            <w:vAlign w:val="center"/>
          </w:tcPr>
          <w:p w14:paraId="1EBB36CA">
            <w:pPr>
              <w:adjustRightInd w:val="0"/>
              <w:spacing w:line="380" w:lineRule="exact"/>
              <w:ind w:left="-105" w:leftChars="-50" w:right="-105" w:rightChars="-50"/>
              <w:jc w:val="center"/>
              <w:textAlignment w:val="baseline"/>
              <w:rPr>
                <w:rFonts w:ascii="宋体" w:hAnsi="宋体"/>
                <w:bCs/>
                <w:color w:val="auto"/>
                <w:kern w:val="0"/>
                <w:szCs w:val="21"/>
              </w:rPr>
            </w:pPr>
            <w:r>
              <w:rPr>
                <w:rFonts w:hint="eastAsia" w:ascii="宋体" w:hAnsi="宋体" w:cs="Tahoma"/>
                <w:color w:val="auto"/>
                <w:kern w:val="0"/>
                <w:szCs w:val="21"/>
              </w:rPr>
              <w:t>（2）</w:t>
            </w:r>
          </w:p>
        </w:tc>
        <w:tc>
          <w:tcPr>
            <w:tcW w:w="1250" w:type="dxa"/>
            <w:vAlign w:val="center"/>
          </w:tcPr>
          <w:p w14:paraId="6D8286B9">
            <w:pPr>
              <w:adjustRightInd w:val="0"/>
              <w:spacing w:line="380" w:lineRule="exact"/>
              <w:jc w:val="center"/>
              <w:textAlignment w:val="baseline"/>
              <w:rPr>
                <w:rFonts w:ascii="宋体" w:hAnsi="宋体"/>
                <w:bCs/>
                <w:color w:val="auto"/>
                <w:kern w:val="0"/>
                <w:szCs w:val="21"/>
              </w:rPr>
            </w:pPr>
            <w:r>
              <w:rPr>
                <w:rFonts w:hint="eastAsia" w:ascii="宋体" w:hAnsi="宋体"/>
                <w:bCs/>
                <w:color w:val="auto"/>
                <w:kern w:val="0"/>
                <w:szCs w:val="21"/>
              </w:rPr>
              <w:t>技术分</w:t>
            </w:r>
            <w:r>
              <w:rPr>
                <w:rFonts w:hint="eastAsia" w:ascii="宋体" w:hAnsi="宋体"/>
                <w:color w:val="auto"/>
                <w:szCs w:val="21"/>
              </w:rPr>
              <w:t>（满分30分）</w:t>
            </w:r>
          </w:p>
        </w:tc>
        <w:tc>
          <w:tcPr>
            <w:tcW w:w="6934" w:type="dxa"/>
            <w:vAlign w:val="center"/>
          </w:tcPr>
          <w:p w14:paraId="460257CE">
            <w:pPr>
              <w:widowControl/>
              <w:wordWrap w:val="0"/>
              <w:spacing w:line="380" w:lineRule="exact"/>
              <w:jc w:val="left"/>
              <w:rPr>
                <w:rFonts w:ascii="宋体" w:hAnsi="宋体" w:cs="Tahoma"/>
                <w:color w:val="auto"/>
                <w:kern w:val="0"/>
                <w:szCs w:val="21"/>
              </w:rPr>
            </w:pPr>
            <w:r>
              <w:rPr>
                <w:rFonts w:hint="eastAsia" w:ascii="宋体" w:hAnsi="宋体"/>
                <w:bCs/>
                <w:color w:val="auto"/>
                <w:kern w:val="0"/>
                <w:szCs w:val="21"/>
              </w:rPr>
              <w:t>评委</w:t>
            </w:r>
            <w:r>
              <w:rPr>
                <w:rFonts w:hint="eastAsia" w:ascii="宋体" w:hAnsi="宋体" w:cs="Tahoma"/>
                <w:color w:val="auto"/>
                <w:kern w:val="0"/>
                <w:szCs w:val="21"/>
              </w:rPr>
              <w:t>根据竞争性磋商文件要求，对满足竞争性磋商文件全部实质性要求进入详评的各供应商响应文件对“技术（服务）要求”的响应情况进行独立评审，并按如下计分方式确定得分：</w:t>
            </w:r>
          </w:p>
          <w:p w14:paraId="4D2B5EBB">
            <w:pPr>
              <w:widowControl/>
              <w:wordWrap w:val="0"/>
              <w:spacing w:line="380" w:lineRule="exact"/>
              <w:ind w:firstLine="420" w:firstLineChars="200"/>
              <w:jc w:val="left"/>
              <w:rPr>
                <w:rFonts w:hAnsi="宋体" w:cs="宋体"/>
                <w:color w:val="auto"/>
                <w:szCs w:val="21"/>
              </w:rPr>
            </w:pPr>
            <w:r>
              <w:rPr>
                <w:rFonts w:hint="eastAsia" w:ascii="宋体" w:hAnsi="宋体" w:cs="Tahoma"/>
                <w:color w:val="auto"/>
                <w:kern w:val="0"/>
                <w:szCs w:val="21"/>
              </w:rPr>
              <w:t>经评委独立评审，供应商响应文件满足竞争性磋商文件全部实质性要求的，得基本分30分；供应商对本项目“技术（服务）要求”中</w:t>
            </w:r>
            <w:r>
              <w:rPr>
                <w:rFonts w:hint="eastAsia" w:ascii="宋体" w:hAnsi="宋体" w:cs="Tahoma"/>
                <w:color w:val="auto"/>
                <w:kern w:val="0"/>
                <w:szCs w:val="21"/>
                <w:lang w:val="en-US" w:eastAsia="zh-CN"/>
              </w:rPr>
              <w:t>未</w:t>
            </w:r>
            <w:r>
              <w:rPr>
                <w:rFonts w:hint="eastAsia" w:ascii="宋体" w:hAnsi="宋体" w:cs="Tahoma"/>
                <w:color w:val="auto"/>
                <w:kern w:val="0"/>
                <w:szCs w:val="21"/>
              </w:rPr>
              <w:t>标注“</w:t>
            </w:r>
            <w:r>
              <w:rPr>
                <w:rFonts w:hint="eastAsia" w:hAnsi="宋体"/>
                <w:color w:val="auto"/>
              </w:rPr>
              <w:t>▲</w:t>
            </w:r>
            <w:r>
              <w:rPr>
                <w:rFonts w:hint="eastAsia" w:ascii="宋体" w:hAnsi="宋体" w:cs="Tahoma"/>
                <w:color w:val="auto"/>
                <w:kern w:val="0"/>
                <w:szCs w:val="21"/>
              </w:rPr>
              <w:t>”符号项的</w:t>
            </w:r>
            <w:r>
              <w:rPr>
                <w:rFonts w:hint="eastAsia" w:ascii="宋体" w:hAnsi="宋体" w:cs="宋体"/>
                <w:color w:val="auto"/>
                <w:szCs w:val="21"/>
              </w:rPr>
              <w:t>技术（服务）要求</w:t>
            </w:r>
            <w:r>
              <w:rPr>
                <w:rFonts w:hint="eastAsia" w:ascii="宋体" w:hAnsi="宋体" w:cs="Tahoma"/>
                <w:color w:val="auto"/>
                <w:kern w:val="0"/>
                <w:szCs w:val="21"/>
              </w:rPr>
              <w:t>响应存在负偏离的，每有一项扣基本分5分；最多扣30分。</w:t>
            </w:r>
          </w:p>
        </w:tc>
      </w:tr>
      <w:tr w14:paraId="08146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11" w:type="dxa"/>
            <w:vAlign w:val="center"/>
          </w:tcPr>
          <w:p w14:paraId="32DBA73B">
            <w:pPr>
              <w:adjustRightInd w:val="0"/>
              <w:spacing w:line="380" w:lineRule="exact"/>
              <w:ind w:left="-105" w:leftChars="-50" w:right="-105" w:rightChars="-50"/>
              <w:jc w:val="center"/>
              <w:textAlignment w:val="baseline"/>
              <w:rPr>
                <w:rFonts w:ascii="宋体" w:hAnsi="宋体"/>
                <w:bCs/>
                <w:color w:val="auto"/>
                <w:kern w:val="0"/>
                <w:szCs w:val="21"/>
              </w:rPr>
            </w:pPr>
            <w:r>
              <w:rPr>
                <w:rFonts w:hint="eastAsia" w:ascii="宋体" w:hAnsi="宋体"/>
                <w:bCs/>
                <w:color w:val="auto"/>
                <w:kern w:val="0"/>
                <w:szCs w:val="21"/>
              </w:rPr>
              <w:t>（3）</w:t>
            </w:r>
          </w:p>
        </w:tc>
        <w:tc>
          <w:tcPr>
            <w:tcW w:w="1250" w:type="dxa"/>
            <w:vAlign w:val="center"/>
          </w:tcPr>
          <w:p w14:paraId="27F03547">
            <w:pPr>
              <w:adjustRightInd w:val="0"/>
              <w:spacing w:line="380" w:lineRule="exact"/>
              <w:jc w:val="center"/>
              <w:textAlignment w:val="baseline"/>
              <w:rPr>
                <w:rFonts w:ascii="宋体" w:hAnsi="宋体"/>
                <w:bCs/>
                <w:color w:val="auto"/>
                <w:kern w:val="0"/>
                <w:szCs w:val="21"/>
              </w:rPr>
            </w:pPr>
            <w:r>
              <w:rPr>
                <w:rFonts w:hint="eastAsia" w:ascii="宋体" w:hAnsi="宋体"/>
                <w:bCs/>
                <w:color w:val="auto"/>
                <w:kern w:val="0"/>
                <w:szCs w:val="21"/>
              </w:rPr>
              <w:t>项目实施方案分（满15分）</w:t>
            </w:r>
          </w:p>
        </w:tc>
        <w:tc>
          <w:tcPr>
            <w:tcW w:w="6934" w:type="dxa"/>
            <w:vAlign w:val="center"/>
          </w:tcPr>
          <w:p w14:paraId="78EA8475">
            <w:pPr>
              <w:wordWrap w:val="0"/>
              <w:adjustRightInd w:val="0"/>
              <w:spacing w:line="380" w:lineRule="exact"/>
              <w:jc w:val="left"/>
              <w:textAlignment w:val="baseline"/>
              <w:rPr>
                <w:rFonts w:ascii="宋体" w:hAnsi="宋体"/>
                <w:bCs/>
                <w:color w:val="auto"/>
                <w:kern w:val="0"/>
                <w:szCs w:val="21"/>
              </w:rPr>
            </w:pPr>
            <w:r>
              <w:rPr>
                <w:rFonts w:hint="eastAsia" w:ascii="宋体" w:hAnsi="宋体"/>
                <w:bCs/>
                <w:color w:val="auto"/>
                <w:kern w:val="0"/>
                <w:szCs w:val="21"/>
              </w:rPr>
              <w:t>评委对供应商提供的项目实施方案（包含但不限于：①</w:t>
            </w:r>
            <w:r>
              <w:rPr>
                <w:rFonts w:hint="eastAsia" w:hAnsi="宋体" w:cs="宋体"/>
                <w:color w:val="auto"/>
              </w:rPr>
              <w:t>维保实施方案</w:t>
            </w:r>
            <w:r>
              <w:rPr>
                <w:rFonts w:hint="eastAsia" w:ascii="宋体" w:hAnsi="宋体"/>
                <w:bCs/>
                <w:color w:val="auto"/>
                <w:kern w:val="0"/>
                <w:szCs w:val="21"/>
              </w:rPr>
              <w:t>；②</w:t>
            </w:r>
            <w:r>
              <w:rPr>
                <w:rFonts w:hint="eastAsia" w:hAnsi="宋体" w:cs="宋体"/>
                <w:color w:val="auto"/>
              </w:rPr>
              <w:t>服务计划</w:t>
            </w:r>
            <w:r>
              <w:rPr>
                <w:rFonts w:hint="eastAsia" w:ascii="宋体" w:hAnsi="宋体"/>
                <w:bCs/>
                <w:color w:val="auto"/>
                <w:kern w:val="0"/>
                <w:szCs w:val="21"/>
              </w:rPr>
              <w:t>；③</w:t>
            </w:r>
            <w:r>
              <w:rPr>
                <w:rFonts w:hint="eastAsia" w:hAnsi="宋体" w:cs="宋体"/>
                <w:color w:val="auto"/>
              </w:rPr>
              <w:t>各项服务流程</w:t>
            </w:r>
            <w:r>
              <w:rPr>
                <w:rFonts w:hint="eastAsia" w:ascii="宋体" w:hAnsi="宋体"/>
                <w:bCs/>
                <w:color w:val="auto"/>
                <w:kern w:val="0"/>
                <w:szCs w:val="21"/>
              </w:rPr>
              <w:t>；④应急处理措施等）内容</w:t>
            </w:r>
            <w:r>
              <w:rPr>
                <w:rFonts w:hint="eastAsia" w:ascii="宋体" w:hAnsi="宋体"/>
                <w:bCs/>
                <w:color w:val="auto"/>
                <w:kern w:val="0"/>
                <w:szCs w:val="21"/>
                <w:lang w:val="zh-CN"/>
              </w:rPr>
              <w:t>进行独立评审打分</w:t>
            </w:r>
            <w:r>
              <w:rPr>
                <w:rFonts w:hint="eastAsia" w:ascii="宋体" w:hAnsi="宋体"/>
                <w:bCs/>
                <w:color w:val="auto"/>
                <w:kern w:val="0"/>
                <w:szCs w:val="21"/>
              </w:rPr>
              <w:t>：</w:t>
            </w:r>
          </w:p>
          <w:p w14:paraId="6C28847E">
            <w:pPr>
              <w:wordWrap w:val="0"/>
              <w:adjustRightInd w:val="0"/>
              <w:spacing w:line="380" w:lineRule="exact"/>
              <w:ind w:firstLine="420" w:firstLineChars="200"/>
              <w:jc w:val="left"/>
              <w:textAlignment w:val="baseline"/>
              <w:rPr>
                <w:rFonts w:ascii="宋体" w:hAnsi="宋体"/>
                <w:bCs/>
                <w:color w:val="auto"/>
                <w:kern w:val="0"/>
                <w:szCs w:val="21"/>
              </w:rPr>
            </w:pPr>
            <w:r>
              <w:rPr>
                <w:rFonts w:hint="eastAsia" w:ascii="宋体" w:hAnsi="宋体"/>
                <w:bCs/>
                <w:color w:val="auto"/>
                <w:kern w:val="0"/>
                <w:szCs w:val="21"/>
              </w:rPr>
              <w:t>一档（5分）：</w:t>
            </w:r>
            <w:r>
              <w:rPr>
                <w:rFonts w:hint="eastAsia" w:hAnsi="宋体" w:cs="宋体"/>
                <w:color w:val="auto"/>
              </w:rPr>
              <w:t>维保实施方案</w:t>
            </w:r>
            <w:r>
              <w:rPr>
                <w:rFonts w:hint="eastAsia" w:ascii="宋体" w:hAnsi="宋体"/>
                <w:bCs/>
                <w:color w:val="auto"/>
                <w:kern w:val="0"/>
                <w:szCs w:val="21"/>
              </w:rPr>
              <w:t>不完整并缺乏可行性，</w:t>
            </w:r>
            <w:r>
              <w:rPr>
                <w:rFonts w:hint="eastAsia" w:hAnsi="宋体" w:cs="宋体"/>
                <w:color w:val="auto"/>
              </w:rPr>
              <w:t>服务计划</w:t>
            </w:r>
            <w:r>
              <w:rPr>
                <w:rFonts w:hint="eastAsia" w:ascii="宋体" w:hAnsi="宋体"/>
                <w:bCs/>
                <w:color w:val="auto"/>
                <w:kern w:val="0"/>
                <w:szCs w:val="21"/>
              </w:rPr>
              <w:t>和</w:t>
            </w:r>
            <w:r>
              <w:rPr>
                <w:rFonts w:hint="eastAsia" w:hAnsi="宋体" w:cs="宋体"/>
                <w:color w:val="auto"/>
              </w:rPr>
              <w:t>各项服务流程缺</w:t>
            </w:r>
            <w:r>
              <w:rPr>
                <w:rFonts w:hint="eastAsia" w:ascii="宋体" w:hAnsi="宋体"/>
                <w:bCs/>
                <w:color w:val="auto"/>
                <w:kern w:val="0"/>
                <w:szCs w:val="21"/>
              </w:rPr>
              <w:t>乏针对性、可操作性；应急处理措施不全面、缺乏可行性。</w:t>
            </w:r>
          </w:p>
          <w:p w14:paraId="5477B40A">
            <w:pPr>
              <w:wordWrap w:val="0"/>
              <w:adjustRightInd w:val="0"/>
              <w:spacing w:line="380" w:lineRule="exact"/>
              <w:ind w:firstLine="420" w:firstLineChars="200"/>
              <w:jc w:val="left"/>
              <w:textAlignment w:val="baseline"/>
              <w:rPr>
                <w:rFonts w:ascii="宋体" w:hAnsi="宋体"/>
                <w:bCs/>
                <w:color w:val="auto"/>
                <w:kern w:val="0"/>
                <w:szCs w:val="21"/>
              </w:rPr>
            </w:pPr>
            <w:r>
              <w:rPr>
                <w:rFonts w:hint="eastAsia" w:ascii="宋体" w:hAnsi="宋体"/>
                <w:bCs/>
                <w:color w:val="auto"/>
                <w:kern w:val="0"/>
                <w:szCs w:val="21"/>
              </w:rPr>
              <w:t>二档（10分）：</w:t>
            </w:r>
            <w:r>
              <w:rPr>
                <w:rFonts w:hint="eastAsia" w:ascii="宋体" w:hAnsi="宋体" w:cs="宋体"/>
                <w:color w:val="auto"/>
                <w:kern w:val="0"/>
                <w:szCs w:val="21"/>
              </w:rPr>
              <w:t>在优于一档的基础上，</w:t>
            </w:r>
            <w:r>
              <w:rPr>
                <w:rFonts w:hint="eastAsia" w:hAnsi="宋体" w:cs="宋体"/>
                <w:color w:val="auto"/>
              </w:rPr>
              <w:t>维保实施方案</w:t>
            </w:r>
            <w:r>
              <w:rPr>
                <w:rFonts w:hint="eastAsia" w:ascii="宋体" w:hAnsi="宋体"/>
                <w:bCs/>
                <w:color w:val="auto"/>
                <w:kern w:val="0"/>
                <w:szCs w:val="21"/>
              </w:rPr>
              <w:t>完整、有一定的可行性，</w:t>
            </w:r>
            <w:r>
              <w:rPr>
                <w:rFonts w:hint="eastAsia" w:hAnsi="宋体" w:cs="宋体"/>
                <w:color w:val="auto"/>
              </w:rPr>
              <w:t>服务计划</w:t>
            </w:r>
            <w:r>
              <w:rPr>
                <w:rFonts w:hint="eastAsia" w:ascii="宋体" w:hAnsi="宋体"/>
                <w:bCs/>
                <w:color w:val="auto"/>
                <w:kern w:val="0"/>
                <w:szCs w:val="21"/>
              </w:rPr>
              <w:t>和</w:t>
            </w:r>
            <w:r>
              <w:rPr>
                <w:rFonts w:hint="eastAsia" w:hAnsi="宋体" w:cs="宋体"/>
                <w:color w:val="auto"/>
              </w:rPr>
              <w:t>各项服务流程</w:t>
            </w:r>
            <w:r>
              <w:rPr>
                <w:rFonts w:hint="eastAsia" w:ascii="宋体" w:hAnsi="宋体"/>
                <w:bCs/>
                <w:color w:val="auto"/>
                <w:kern w:val="0"/>
                <w:szCs w:val="21"/>
              </w:rPr>
              <w:t>有一定的针对性、可操作性；应急处理措施基本全面、有一定的可行性。</w:t>
            </w:r>
          </w:p>
          <w:p w14:paraId="6E7F8664">
            <w:pPr>
              <w:wordWrap w:val="0"/>
              <w:adjustRightInd w:val="0"/>
              <w:spacing w:line="380" w:lineRule="exact"/>
              <w:ind w:firstLine="420" w:firstLineChars="200"/>
              <w:jc w:val="left"/>
              <w:textAlignment w:val="baseline"/>
              <w:rPr>
                <w:rFonts w:ascii="宋体" w:hAnsi="宋体"/>
                <w:bCs/>
                <w:color w:val="auto"/>
                <w:kern w:val="0"/>
                <w:szCs w:val="21"/>
              </w:rPr>
            </w:pPr>
            <w:r>
              <w:rPr>
                <w:rFonts w:hint="eastAsia" w:ascii="宋体" w:hAnsi="宋体"/>
                <w:bCs/>
                <w:color w:val="auto"/>
                <w:kern w:val="0"/>
                <w:szCs w:val="21"/>
              </w:rPr>
              <w:t>三档（15分）：</w:t>
            </w:r>
            <w:r>
              <w:rPr>
                <w:rFonts w:hint="eastAsia" w:ascii="宋体" w:hAnsi="宋体" w:cs="宋体"/>
                <w:color w:val="auto"/>
                <w:kern w:val="0"/>
                <w:szCs w:val="21"/>
              </w:rPr>
              <w:t>在优于二档的基础上，</w:t>
            </w:r>
            <w:r>
              <w:rPr>
                <w:rFonts w:hint="eastAsia" w:hAnsi="宋体" w:cs="宋体"/>
                <w:color w:val="auto"/>
              </w:rPr>
              <w:t>维保实施方案</w:t>
            </w:r>
            <w:r>
              <w:rPr>
                <w:rFonts w:hint="eastAsia" w:ascii="宋体" w:hAnsi="宋体"/>
                <w:bCs/>
                <w:color w:val="auto"/>
                <w:kern w:val="0"/>
                <w:szCs w:val="21"/>
              </w:rPr>
              <w:t>周密、完善、可行，</w:t>
            </w:r>
            <w:r>
              <w:rPr>
                <w:rFonts w:hint="eastAsia" w:hAnsi="宋体" w:cs="宋体"/>
                <w:color w:val="auto"/>
              </w:rPr>
              <w:t>服务计划</w:t>
            </w:r>
            <w:r>
              <w:rPr>
                <w:rFonts w:hint="eastAsia" w:ascii="宋体" w:hAnsi="宋体"/>
                <w:bCs/>
                <w:color w:val="auto"/>
                <w:kern w:val="0"/>
                <w:szCs w:val="21"/>
              </w:rPr>
              <w:t>和</w:t>
            </w:r>
            <w:r>
              <w:rPr>
                <w:rFonts w:hint="eastAsia" w:hAnsi="宋体" w:cs="宋体"/>
                <w:color w:val="auto"/>
              </w:rPr>
              <w:t>各项服务流程</w:t>
            </w:r>
            <w:r>
              <w:rPr>
                <w:rFonts w:hint="eastAsia" w:ascii="宋体" w:hAnsi="宋体"/>
                <w:bCs/>
                <w:color w:val="auto"/>
                <w:kern w:val="0"/>
                <w:szCs w:val="21"/>
              </w:rPr>
              <w:t>针对性及可操作性强；应急处理措施周全、切实可行。</w:t>
            </w:r>
          </w:p>
          <w:p w14:paraId="24073C54">
            <w:pPr>
              <w:wordWrap w:val="0"/>
              <w:adjustRightInd w:val="0"/>
              <w:spacing w:line="380" w:lineRule="exact"/>
              <w:jc w:val="left"/>
              <w:textAlignment w:val="baseline"/>
              <w:rPr>
                <w:rFonts w:ascii="宋体" w:hAnsi="宋体"/>
                <w:bCs/>
                <w:color w:val="auto"/>
                <w:kern w:val="0"/>
                <w:szCs w:val="21"/>
              </w:rPr>
            </w:pPr>
            <w:r>
              <w:rPr>
                <w:rFonts w:hint="eastAsia" w:ascii="宋体" w:hAnsi="宋体" w:cs="Courier New"/>
                <w:b/>
                <w:bCs/>
                <w:color w:val="auto"/>
                <w:kern w:val="0"/>
                <w:szCs w:val="21"/>
              </w:rPr>
              <w:t>注：经评审</w:t>
            </w:r>
            <w:r>
              <w:rPr>
                <w:rFonts w:hint="eastAsia" w:ascii="宋体" w:hAnsi="宋体" w:cs="宋体"/>
                <w:b/>
                <w:color w:val="auto"/>
              </w:rPr>
              <w:t>未达相应评审档次全部标准的,相应降低一个档次；未达到一档档次要求的相应不得分</w:t>
            </w:r>
            <w:r>
              <w:rPr>
                <w:rFonts w:hint="eastAsia" w:ascii="宋体" w:hAnsi="宋体" w:cs="Courier New"/>
                <w:b/>
                <w:bCs/>
                <w:color w:val="auto"/>
                <w:kern w:val="0"/>
                <w:szCs w:val="21"/>
              </w:rPr>
              <w:t>。</w:t>
            </w:r>
          </w:p>
        </w:tc>
      </w:tr>
      <w:tr w14:paraId="6687C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711" w:type="dxa"/>
            <w:vAlign w:val="center"/>
          </w:tcPr>
          <w:p w14:paraId="1BF19382">
            <w:pPr>
              <w:widowControl/>
              <w:spacing w:line="380" w:lineRule="exact"/>
              <w:jc w:val="center"/>
              <w:rPr>
                <w:rFonts w:ascii="宋体" w:hAnsi="宋体" w:cs="Tahoma"/>
                <w:color w:val="auto"/>
                <w:kern w:val="0"/>
                <w:szCs w:val="21"/>
              </w:rPr>
            </w:pPr>
            <w:r>
              <w:rPr>
                <w:rFonts w:hint="eastAsia" w:ascii="宋体" w:hAnsi="宋体" w:cs="Tahoma"/>
                <w:color w:val="auto"/>
                <w:kern w:val="0"/>
                <w:szCs w:val="21"/>
              </w:rPr>
              <w:t>（4）</w:t>
            </w:r>
          </w:p>
        </w:tc>
        <w:tc>
          <w:tcPr>
            <w:tcW w:w="1250" w:type="dxa"/>
            <w:vAlign w:val="center"/>
          </w:tcPr>
          <w:p w14:paraId="0FAB0C8C">
            <w:pPr>
              <w:adjustRightInd w:val="0"/>
              <w:spacing w:line="380" w:lineRule="exact"/>
              <w:jc w:val="center"/>
              <w:textAlignment w:val="baseline"/>
              <w:rPr>
                <w:rFonts w:ascii="宋体" w:hAnsi="宋体"/>
                <w:bCs/>
                <w:color w:val="auto"/>
                <w:kern w:val="0"/>
                <w:szCs w:val="21"/>
              </w:rPr>
            </w:pPr>
            <w:r>
              <w:rPr>
                <w:rFonts w:hint="eastAsia" w:ascii="宋体" w:hAnsi="宋体" w:cs="宋体"/>
                <w:color w:val="auto"/>
                <w:szCs w:val="21"/>
              </w:rPr>
              <w:t>拟投入维护保养实施人员方案</w:t>
            </w:r>
            <w:r>
              <w:rPr>
                <w:rFonts w:hint="eastAsia" w:ascii="宋体" w:hAnsi="宋体" w:cs="宋体"/>
                <w:color w:val="auto"/>
                <w:szCs w:val="21"/>
                <w:lang w:val="en-US" w:eastAsia="zh-CN"/>
              </w:rPr>
              <w:t>分</w:t>
            </w:r>
            <w:r>
              <w:rPr>
                <w:rFonts w:hint="eastAsia" w:ascii="宋体" w:hAnsi="宋体" w:cs="宋体"/>
                <w:color w:val="auto"/>
                <w:szCs w:val="21"/>
              </w:rPr>
              <w:t>（满分15分）</w:t>
            </w:r>
          </w:p>
        </w:tc>
        <w:tc>
          <w:tcPr>
            <w:tcW w:w="6934" w:type="dxa"/>
          </w:tcPr>
          <w:p w14:paraId="03E90D70">
            <w:pPr>
              <w:wordWrap w:val="0"/>
              <w:spacing w:line="380" w:lineRule="exact"/>
              <w:ind w:firstLine="420" w:firstLineChars="200"/>
              <w:rPr>
                <w:rFonts w:ascii="宋体" w:hAnsi="宋体"/>
                <w:color w:val="auto"/>
                <w:szCs w:val="21"/>
              </w:rPr>
            </w:pPr>
            <w:r>
              <w:rPr>
                <w:rFonts w:hint="eastAsia" w:ascii="宋体" w:hAnsi="宋体"/>
                <w:color w:val="auto"/>
                <w:szCs w:val="21"/>
              </w:rPr>
              <w:t>评委对供应商提供的拟投入维护保养实施人员方案（包含但不限于：①实施人员管理组织架构；②人员分工；③应急维护人员调配方案等）内容的进行独立评审打分：</w:t>
            </w:r>
          </w:p>
          <w:p w14:paraId="186ADD88">
            <w:pPr>
              <w:wordWrap w:val="0"/>
              <w:spacing w:line="380" w:lineRule="exact"/>
              <w:ind w:firstLine="420" w:firstLineChars="200"/>
              <w:rPr>
                <w:rFonts w:ascii="宋体" w:hAnsi="宋体"/>
                <w:color w:val="auto"/>
                <w:szCs w:val="21"/>
              </w:rPr>
            </w:pPr>
            <w:r>
              <w:rPr>
                <w:rFonts w:hint="eastAsia" w:ascii="宋体" w:hAnsi="宋体"/>
                <w:color w:val="auto"/>
                <w:szCs w:val="21"/>
              </w:rPr>
              <w:t>一档（5分）：拟投入维护保养实施人员方案不完整，缺乏针对性及可行性，基本满足采购人要求。</w:t>
            </w:r>
          </w:p>
          <w:p w14:paraId="5D80DC97">
            <w:pPr>
              <w:wordWrap w:val="0"/>
              <w:spacing w:line="380" w:lineRule="exact"/>
              <w:ind w:firstLine="420" w:firstLineChars="200"/>
              <w:rPr>
                <w:rFonts w:ascii="宋体" w:hAnsi="宋体"/>
                <w:color w:val="auto"/>
                <w:szCs w:val="21"/>
              </w:rPr>
            </w:pPr>
            <w:r>
              <w:rPr>
                <w:rFonts w:hint="eastAsia" w:ascii="宋体" w:hAnsi="宋体"/>
                <w:color w:val="auto"/>
                <w:szCs w:val="21"/>
              </w:rPr>
              <w:t>二档（10分）：在优于一档的基础上，拟投入维护保养实施人员方案完整，有一定的针对性及可行性，满足采购人要求。</w:t>
            </w:r>
          </w:p>
          <w:p w14:paraId="7C5851FF">
            <w:pPr>
              <w:wordWrap w:val="0"/>
              <w:spacing w:line="380" w:lineRule="exact"/>
              <w:ind w:firstLine="420" w:firstLineChars="200"/>
              <w:rPr>
                <w:rFonts w:ascii="宋体" w:hAnsi="宋体"/>
                <w:color w:val="auto"/>
                <w:szCs w:val="21"/>
              </w:rPr>
            </w:pPr>
            <w:r>
              <w:rPr>
                <w:rFonts w:hint="eastAsia" w:ascii="宋体" w:hAnsi="宋体"/>
                <w:color w:val="auto"/>
                <w:szCs w:val="21"/>
              </w:rPr>
              <w:t>三档（15分）：在优于二档的基础上，拟投入维护保养实施人员方案周密、完善、针对性强、切实可行，充分满足采购人需求。</w:t>
            </w:r>
          </w:p>
          <w:p w14:paraId="54AEBAA0">
            <w:pPr>
              <w:wordWrap w:val="0"/>
              <w:spacing w:line="380" w:lineRule="exact"/>
              <w:rPr>
                <w:color w:val="auto"/>
                <w:szCs w:val="21"/>
              </w:rPr>
            </w:pPr>
            <w:r>
              <w:rPr>
                <w:rFonts w:hint="eastAsia" w:ascii="宋体" w:hAnsi="宋体" w:cs="Courier New"/>
                <w:b/>
                <w:bCs/>
                <w:color w:val="auto"/>
                <w:kern w:val="0"/>
                <w:szCs w:val="21"/>
              </w:rPr>
              <w:t>注：经评审</w:t>
            </w:r>
            <w:r>
              <w:rPr>
                <w:rFonts w:hint="eastAsia" w:ascii="宋体" w:hAnsi="宋体" w:cs="宋体"/>
                <w:b/>
                <w:color w:val="auto"/>
              </w:rPr>
              <w:t>未达相应评审档次全部标准的,相应降低一个档次；未达到一档档次要求的相应不得分</w:t>
            </w:r>
            <w:r>
              <w:rPr>
                <w:rFonts w:hint="eastAsia" w:ascii="宋体" w:hAnsi="宋体" w:cs="Courier New"/>
                <w:b/>
                <w:bCs/>
                <w:color w:val="auto"/>
                <w:kern w:val="0"/>
                <w:szCs w:val="21"/>
              </w:rPr>
              <w:t>。</w:t>
            </w:r>
          </w:p>
        </w:tc>
      </w:tr>
      <w:tr w14:paraId="231E2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711" w:type="dxa"/>
            <w:vAlign w:val="center"/>
          </w:tcPr>
          <w:p w14:paraId="3E297852">
            <w:pPr>
              <w:widowControl/>
              <w:spacing w:line="380" w:lineRule="exact"/>
              <w:jc w:val="center"/>
              <w:rPr>
                <w:rFonts w:ascii="宋体" w:hAnsi="宋体" w:cs="Tahoma"/>
                <w:color w:val="auto"/>
                <w:kern w:val="0"/>
                <w:szCs w:val="21"/>
              </w:rPr>
            </w:pPr>
            <w:r>
              <w:rPr>
                <w:rFonts w:hint="eastAsia" w:ascii="宋体" w:hAnsi="宋体" w:cs="Tahoma"/>
                <w:color w:val="auto"/>
                <w:kern w:val="0"/>
                <w:szCs w:val="21"/>
              </w:rPr>
              <w:t>（5）</w:t>
            </w:r>
          </w:p>
        </w:tc>
        <w:tc>
          <w:tcPr>
            <w:tcW w:w="1250" w:type="dxa"/>
            <w:vAlign w:val="center"/>
          </w:tcPr>
          <w:p w14:paraId="68DA651C">
            <w:pPr>
              <w:adjustRightInd w:val="0"/>
              <w:spacing w:line="380" w:lineRule="exact"/>
              <w:jc w:val="center"/>
              <w:textAlignment w:val="baseline"/>
              <w:rPr>
                <w:rFonts w:ascii="宋体" w:hAnsi="宋体" w:cs="宋体"/>
                <w:b/>
                <w:bCs/>
                <w:color w:val="auto"/>
                <w:szCs w:val="21"/>
              </w:rPr>
            </w:pPr>
            <w:r>
              <w:rPr>
                <w:rFonts w:hint="eastAsia" w:ascii="宋体" w:hAnsi="宋体" w:cs="宋体"/>
                <w:color w:val="auto"/>
                <w:szCs w:val="21"/>
              </w:rPr>
              <w:t>培训方案</w:t>
            </w:r>
            <w:r>
              <w:rPr>
                <w:rFonts w:hint="eastAsia" w:ascii="宋体" w:hAnsi="宋体" w:cs="宋体"/>
                <w:color w:val="auto"/>
                <w:szCs w:val="21"/>
                <w:lang w:val="en-US" w:eastAsia="zh-CN"/>
              </w:rPr>
              <w:t>分</w:t>
            </w:r>
            <w:r>
              <w:rPr>
                <w:rFonts w:hint="eastAsia" w:ascii="宋体" w:hAnsi="宋体" w:cs="宋体"/>
                <w:color w:val="auto"/>
                <w:szCs w:val="21"/>
              </w:rPr>
              <w:t>（满分15分）</w:t>
            </w:r>
          </w:p>
        </w:tc>
        <w:tc>
          <w:tcPr>
            <w:tcW w:w="6934" w:type="dxa"/>
          </w:tcPr>
          <w:p w14:paraId="773227EC">
            <w:pPr>
              <w:wordWrap w:val="0"/>
              <w:spacing w:line="380" w:lineRule="exact"/>
              <w:ind w:firstLine="420" w:firstLineChars="200"/>
              <w:rPr>
                <w:rFonts w:ascii="宋体" w:hAnsi="宋体"/>
                <w:color w:val="auto"/>
                <w:szCs w:val="21"/>
              </w:rPr>
            </w:pPr>
            <w:r>
              <w:rPr>
                <w:rFonts w:hint="eastAsia" w:ascii="宋体" w:hAnsi="宋体"/>
                <w:color w:val="auto"/>
                <w:szCs w:val="21"/>
              </w:rPr>
              <w:t>评委对供应商提供的</w:t>
            </w:r>
            <w:r>
              <w:rPr>
                <w:rFonts w:hint="eastAsia" w:ascii="宋体" w:hAnsi="宋体" w:cs="宋体"/>
                <w:color w:val="auto"/>
                <w:szCs w:val="21"/>
              </w:rPr>
              <w:t>培训方案</w:t>
            </w:r>
            <w:r>
              <w:rPr>
                <w:rFonts w:hint="eastAsia" w:ascii="宋体" w:hAnsi="宋体"/>
                <w:color w:val="auto"/>
                <w:szCs w:val="21"/>
              </w:rPr>
              <w:t>【包含但不限于：①</w:t>
            </w:r>
            <w:r>
              <w:rPr>
                <w:rFonts w:hint="eastAsia" w:hAnsi="宋体" w:cs="宋体"/>
                <w:bCs/>
                <w:color w:val="auto"/>
              </w:rPr>
              <w:t>师资人员安排</w:t>
            </w:r>
            <w:r>
              <w:rPr>
                <w:rFonts w:hint="eastAsia" w:ascii="宋体" w:hAnsi="宋体"/>
                <w:color w:val="auto"/>
                <w:szCs w:val="21"/>
              </w:rPr>
              <w:t>；②</w:t>
            </w:r>
            <w:r>
              <w:rPr>
                <w:rFonts w:hint="eastAsia" w:hAnsi="宋体" w:cs="宋体"/>
                <w:bCs/>
                <w:color w:val="auto"/>
              </w:rPr>
              <w:t>培训内容安排（包括设备功能理论及设备应用培训计划、设备常见问题的基本维修及保养、操作培训计划）</w:t>
            </w:r>
            <w:r>
              <w:rPr>
                <w:rFonts w:hint="eastAsia" w:ascii="宋体" w:hAnsi="宋体"/>
                <w:color w:val="auto"/>
                <w:szCs w:val="21"/>
              </w:rPr>
              <w:t>】内容的进行独立评审打分：</w:t>
            </w:r>
          </w:p>
          <w:p w14:paraId="58E0B9DC">
            <w:pPr>
              <w:wordWrap w:val="0"/>
              <w:spacing w:line="380" w:lineRule="exact"/>
              <w:ind w:firstLine="420" w:firstLineChars="200"/>
              <w:rPr>
                <w:rFonts w:ascii="宋体" w:hAnsi="宋体"/>
                <w:color w:val="auto"/>
                <w:szCs w:val="21"/>
              </w:rPr>
            </w:pPr>
            <w:r>
              <w:rPr>
                <w:rFonts w:hint="eastAsia" w:ascii="宋体" w:hAnsi="宋体"/>
                <w:color w:val="auto"/>
                <w:szCs w:val="21"/>
              </w:rPr>
              <w:t>一档（5分）：</w:t>
            </w:r>
            <w:r>
              <w:rPr>
                <w:rFonts w:hint="eastAsia" w:ascii="宋体" w:hAnsi="宋体" w:cs="宋体"/>
                <w:color w:val="auto"/>
                <w:szCs w:val="21"/>
              </w:rPr>
              <w:t>培训方案</w:t>
            </w:r>
            <w:r>
              <w:rPr>
                <w:rFonts w:hint="eastAsia" w:ascii="宋体" w:hAnsi="宋体"/>
                <w:color w:val="auto"/>
                <w:szCs w:val="21"/>
              </w:rPr>
              <w:t>不完整，缺乏针对性及可行性，基本满足采购人要求。</w:t>
            </w:r>
          </w:p>
          <w:p w14:paraId="5B6FBB91">
            <w:pPr>
              <w:wordWrap w:val="0"/>
              <w:spacing w:line="380" w:lineRule="exact"/>
              <w:ind w:firstLine="420" w:firstLineChars="200"/>
              <w:rPr>
                <w:rFonts w:ascii="宋体" w:hAnsi="宋体"/>
                <w:color w:val="auto"/>
                <w:szCs w:val="21"/>
              </w:rPr>
            </w:pPr>
            <w:r>
              <w:rPr>
                <w:rFonts w:hint="eastAsia" w:ascii="宋体" w:hAnsi="宋体"/>
                <w:color w:val="auto"/>
                <w:szCs w:val="21"/>
              </w:rPr>
              <w:t>二档（10分）：在优于一档的基础上，</w:t>
            </w:r>
            <w:r>
              <w:rPr>
                <w:rFonts w:hint="eastAsia" w:ascii="宋体" w:hAnsi="宋体" w:cs="宋体"/>
                <w:color w:val="auto"/>
                <w:szCs w:val="21"/>
              </w:rPr>
              <w:t>培训方案</w:t>
            </w:r>
            <w:r>
              <w:rPr>
                <w:rFonts w:hint="eastAsia" w:ascii="宋体" w:hAnsi="宋体"/>
                <w:color w:val="auto"/>
                <w:szCs w:val="21"/>
              </w:rPr>
              <w:t>完整，有一定的针对性及可行性，满足采购人要求。</w:t>
            </w:r>
          </w:p>
          <w:p w14:paraId="6E4CC053">
            <w:pPr>
              <w:wordWrap w:val="0"/>
              <w:spacing w:line="380" w:lineRule="exact"/>
              <w:ind w:firstLine="420" w:firstLineChars="200"/>
              <w:rPr>
                <w:rFonts w:ascii="宋体" w:hAnsi="宋体"/>
                <w:color w:val="auto"/>
                <w:szCs w:val="21"/>
              </w:rPr>
            </w:pPr>
            <w:r>
              <w:rPr>
                <w:rFonts w:hint="eastAsia" w:ascii="宋体" w:hAnsi="宋体"/>
                <w:color w:val="auto"/>
                <w:szCs w:val="21"/>
              </w:rPr>
              <w:t>三档（15分）：在优于二档的基础上，</w:t>
            </w:r>
            <w:r>
              <w:rPr>
                <w:rFonts w:hint="eastAsia" w:ascii="宋体" w:hAnsi="宋体" w:cs="宋体"/>
                <w:color w:val="auto"/>
                <w:szCs w:val="21"/>
              </w:rPr>
              <w:t>培训方案</w:t>
            </w:r>
            <w:r>
              <w:rPr>
                <w:rFonts w:hint="eastAsia" w:ascii="宋体" w:hAnsi="宋体"/>
                <w:color w:val="auto"/>
                <w:szCs w:val="21"/>
              </w:rPr>
              <w:t>周密、完善、针对性强、切实可行，充分满足采购人需求。</w:t>
            </w:r>
          </w:p>
          <w:p w14:paraId="08A16650">
            <w:pPr>
              <w:wordWrap w:val="0"/>
              <w:spacing w:line="380" w:lineRule="exact"/>
              <w:rPr>
                <w:rFonts w:ascii="宋体" w:hAnsi="宋体" w:cs="Courier New"/>
                <w:b/>
                <w:bCs/>
                <w:color w:val="auto"/>
                <w:kern w:val="0"/>
                <w:szCs w:val="21"/>
              </w:rPr>
            </w:pPr>
            <w:r>
              <w:rPr>
                <w:rFonts w:hint="eastAsia" w:ascii="宋体" w:hAnsi="宋体" w:cs="Courier New"/>
                <w:b/>
                <w:bCs/>
                <w:color w:val="auto"/>
                <w:kern w:val="0"/>
                <w:szCs w:val="21"/>
              </w:rPr>
              <w:t>注：经评审</w:t>
            </w:r>
            <w:r>
              <w:rPr>
                <w:rFonts w:hint="eastAsia" w:ascii="宋体" w:hAnsi="宋体" w:cs="宋体"/>
                <w:b/>
                <w:color w:val="auto"/>
              </w:rPr>
              <w:t>未达相应评审档次全部标准的,相应降低一个档次；未达到一档档次要求的相应不得分</w:t>
            </w:r>
            <w:r>
              <w:rPr>
                <w:rFonts w:hint="eastAsia" w:ascii="宋体" w:hAnsi="宋体" w:cs="Courier New"/>
                <w:b/>
                <w:bCs/>
                <w:color w:val="auto"/>
                <w:kern w:val="0"/>
                <w:szCs w:val="21"/>
              </w:rPr>
              <w:t>。</w:t>
            </w:r>
          </w:p>
        </w:tc>
      </w:tr>
      <w:tr w14:paraId="6A433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711" w:type="dxa"/>
            <w:vAlign w:val="center"/>
          </w:tcPr>
          <w:p w14:paraId="073BF787">
            <w:pPr>
              <w:spacing w:line="380" w:lineRule="exact"/>
              <w:jc w:val="center"/>
              <w:rPr>
                <w:rFonts w:ascii="宋体" w:hAnsi="宋体"/>
                <w:bCs/>
                <w:color w:val="auto"/>
                <w:kern w:val="0"/>
                <w:szCs w:val="21"/>
              </w:rPr>
            </w:pPr>
            <w:r>
              <w:rPr>
                <w:rFonts w:hint="eastAsia" w:ascii="宋体" w:hAnsi="宋体"/>
                <w:bCs/>
                <w:color w:val="auto"/>
                <w:kern w:val="0"/>
                <w:szCs w:val="21"/>
              </w:rPr>
              <w:t>（6）</w:t>
            </w:r>
          </w:p>
        </w:tc>
        <w:tc>
          <w:tcPr>
            <w:tcW w:w="1250" w:type="dxa"/>
            <w:vAlign w:val="center"/>
          </w:tcPr>
          <w:p w14:paraId="56ECCFF8">
            <w:pPr>
              <w:adjustRightInd w:val="0"/>
              <w:spacing w:line="380" w:lineRule="exact"/>
              <w:jc w:val="center"/>
              <w:textAlignment w:val="baseline"/>
              <w:rPr>
                <w:rFonts w:ascii="宋体" w:hAnsi="宋体"/>
                <w:bCs/>
                <w:color w:val="auto"/>
                <w:kern w:val="0"/>
                <w:szCs w:val="21"/>
              </w:rPr>
            </w:pPr>
            <w:r>
              <w:rPr>
                <w:rFonts w:hint="eastAsia" w:ascii="宋体" w:hAnsi="宋体"/>
                <w:bCs/>
                <w:color w:val="auto"/>
                <w:kern w:val="0"/>
                <w:szCs w:val="21"/>
              </w:rPr>
              <w:t>履约能力分（5分）</w:t>
            </w:r>
          </w:p>
        </w:tc>
        <w:tc>
          <w:tcPr>
            <w:tcW w:w="6934" w:type="dxa"/>
          </w:tcPr>
          <w:p w14:paraId="1D4BA7D9">
            <w:pPr>
              <w:wordWrap w:val="0"/>
              <w:spacing w:line="380" w:lineRule="exact"/>
              <w:rPr>
                <w:rFonts w:hint="eastAsia" w:ascii="宋体" w:hAnsi="宋体"/>
                <w:color w:val="auto"/>
                <w:szCs w:val="21"/>
                <w:highlight w:val="none"/>
              </w:rPr>
            </w:pPr>
            <w:r>
              <w:rPr>
                <w:rFonts w:hint="eastAsia" w:ascii="宋体" w:hAnsi="宋体"/>
                <w:color w:val="auto"/>
                <w:szCs w:val="21"/>
                <w:lang w:eastAsia="zh-CN"/>
              </w:rPr>
              <w:t>（</w:t>
            </w:r>
            <w:r>
              <w:rPr>
                <w:rFonts w:hint="eastAsia" w:ascii="宋体" w:hAnsi="宋体"/>
                <w:color w:val="auto"/>
                <w:szCs w:val="21"/>
                <w:lang w:val="en-US" w:eastAsia="zh-CN"/>
              </w:rPr>
              <w:t>1</w:t>
            </w:r>
            <w:r>
              <w:rPr>
                <w:rFonts w:hint="eastAsia" w:ascii="宋体" w:hAnsi="宋体"/>
                <w:color w:val="auto"/>
                <w:szCs w:val="21"/>
                <w:lang w:eastAsia="zh-CN"/>
              </w:rPr>
              <w:t>）</w:t>
            </w:r>
            <w:r>
              <w:rPr>
                <w:rFonts w:hint="eastAsia" w:ascii="宋体" w:hAnsi="宋体"/>
                <w:color w:val="auto"/>
                <w:szCs w:val="21"/>
              </w:rPr>
              <w:t>业绩分：供应商</w:t>
            </w:r>
            <w:r>
              <w:rPr>
                <w:rFonts w:hint="eastAsia" w:ascii="宋体" w:hAnsi="宋体"/>
                <w:color w:val="auto"/>
                <w:szCs w:val="21"/>
                <w:highlight w:val="none"/>
              </w:rPr>
              <w:t>自</w:t>
            </w:r>
            <w:r>
              <w:rPr>
                <w:rFonts w:cs="Arial"/>
                <w:color w:val="auto"/>
                <w:szCs w:val="21"/>
                <w:highlight w:val="none"/>
              </w:rPr>
              <w:t>20</w:t>
            </w:r>
            <w:r>
              <w:rPr>
                <w:rFonts w:hint="eastAsia" w:cs="Arial"/>
                <w:color w:val="auto"/>
                <w:szCs w:val="21"/>
                <w:highlight w:val="none"/>
              </w:rPr>
              <w:t>2</w:t>
            </w:r>
            <w:r>
              <w:rPr>
                <w:rFonts w:hint="eastAsia" w:cs="Arial"/>
                <w:color w:val="auto"/>
                <w:szCs w:val="21"/>
                <w:highlight w:val="none"/>
                <w:lang w:val="en-US" w:eastAsia="zh-CN"/>
              </w:rPr>
              <w:t>3</w:t>
            </w:r>
            <w:r>
              <w:rPr>
                <w:rFonts w:cs="Arial"/>
                <w:color w:val="auto"/>
                <w:szCs w:val="21"/>
                <w:highlight w:val="none"/>
              </w:rPr>
              <w:t>年1月1日</w:t>
            </w:r>
            <w:r>
              <w:rPr>
                <w:rFonts w:hint="eastAsia" w:ascii="宋体" w:hAnsi="宋体"/>
                <w:color w:val="auto"/>
                <w:szCs w:val="21"/>
                <w:highlight w:val="none"/>
              </w:rPr>
              <w:t>以来具有完成同类项目</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同类项目系指直线加速器维保项目</w:t>
            </w:r>
            <w:r>
              <w:rPr>
                <w:rFonts w:hint="eastAsia" w:ascii="宋体" w:hAnsi="宋体"/>
                <w:color w:val="auto"/>
                <w:szCs w:val="21"/>
                <w:highlight w:val="none"/>
                <w:lang w:eastAsia="zh-CN"/>
              </w:rPr>
              <w:t>）</w:t>
            </w:r>
            <w:r>
              <w:rPr>
                <w:rFonts w:hint="eastAsia" w:ascii="宋体" w:hAnsi="宋体"/>
                <w:color w:val="auto"/>
                <w:szCs w:val="21"/>
                <w:highlight w:val="none"/>
              </w:rPr>
              <w:t>的业绩【</w:t>
            </w:r>
            <w:r>
              <w:rPr>
                <w:rFonts w:hint="eastAsia" w:ascii="宋体" w:hAnsi="宋体"/>
                <w:color w:val="auto"/>
                <w:highlight w:val="none"/>
              </w:rPr>
              <w:t>以中标（成交）通知书复印件（或合同复印件）及验收证明为准（能清晰反映相应的项目内容或合同标的，否则将不予评审。同一个编号的项目有两个或两个以上的分标中标/成交的只算一次</w:t>
            </w:r>
            <w:r>
              <w:rPr>
                <w:rFonts w:hint="eastAsia" w:ascii="宋体" w:hAnsi="宋体"/>
                <w:color w:val="auto"/>
                <w:szCs w:val="21"/>
                <w:highlight w:val="none"/>
              </w:rPr>
              <w:t>）】的，每提供一项业绩的得1分，最多得</w:t>
            </w:r>
            <w:r>
              <w:rPr>
                <w:rFonts w:hint="eastAsia" w:ascii="宋体" w:hAnsi="宋体"/>
                <w:color w:val="auto"/>
                <w:szCs w:val="21"/>
                <w:highlight w:val="none"/>
                <w:lang w:val="en-US" w:eastAsia="zh-CN"/>
              </w:rPr>
              <w:t>3</w:t>
            </w:r>
            <w:r>
              <w:rPr>
                <w:rFonts w:hint="eastAsia" w:ascii="宋体" w:hAnsi="宋体"/>
                <w:color w:val="auto"/>
                <w:szCs w:val="21"/>
                <w:highlight w:val="none"/>
              </w:rPr>
              <w:t>分。</w:t>
            </w:r>
          </w:p>
          <w:p w14:paraId="46F06C7C">
            <w:pPr>
              <w:pStyle w:val="2"/>
              <w:rPr>
                <w:rFonts w:hint="eastAsia" w:eastAsia="宋体"/>
                <w:color w:val="auto"/>
                <w:lang w:eastAsia="zh-CN"/>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color w:val="auto"/>
                <w:highlight w:val="none"/>
                <w:lang w:val="en-US" w:eastAsia="zh-CN"/>
              </w:rPr>
              <w:t>供应商于响应文件中提供</w:t>
            </w:r>
            <w:r>
              <w:rPr>
                <w:rFonts w:hint="eastAsia"/>
                <w:color w:val="auto"/>
                <w:highlight w:val="none"/>
              </w:rPr>
              <w:t>书面承诺函</w:t>
            </w:r>
            <w:r>
              <w:rPr>
                <w:rFonts w:hint="eastAsia"/>
                <w:color w:val="auto"/>
                <w:highlight w:val="none"/>
                <w:lang w:eastAsia="zh-CN"/>
              </w:rPr>
              <w:t>：</w:t>
            </w:r>
            <w:r>
              <w:rPr>
                <w:rFonts w:hint="eastAsia"/>
                <w:color w:val="auto"/>
                <w:highlight w:val="none"/>
                <w:lang w:val="en-US" w:eastAsia="zh-CN"/>
              </w:rPr>
              <w:t>承诺</w:t>
            </w:r>
            <w:r>
              <w:rPr>
                <w:rFonts w:hint="eastAsia"/>
                <w:color w:val="auto"/>
                <w:highlight w:val="none"/>
              </w:rPr>
              <w:t>其在投标前三年内维修的同类设备未发生安全事故(包括但不限于电气火灾、高压电击、微波泄漏、气体中毒、设备焚毁、人员伤亡等)</w:t>
            </w:r>
            <w:r>
              <w:rPr>
                <w:rFonts w:hint="eastAsia"/>
                <w:color w:val="auto"/>
                <w:highlight w:val="none"/>
                <w:lang w:val="en-US" w:eastAsia="zh-CN"/>
              </w:rPr>
              <w:t>的得2分。</w:t>
            </w:r>
          </w:p>
        </w:tc>
      </w:tr>
      <w:tr w14:paraId="4FC2A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8895" w:type="dxa"/>
            <w:gridSpan w:val="3"/>
            <w:vAlign w:val="center"/>
          </w:tcPr>
          <w:p w14:paraId="08F171BA">
            <w:pPr>
              <w:spacing w:line="380" w:lineRule="exact"/>
              <w:rPr>
                <w:color w:val="auto"/>
              </w:rPr>
            </w:pPr>
            <w:r>
              <w:rPr>
                <w:rFonts w:hint="eastAsia" w:ascii="宋体" w:hAnsi="宋体"/>
                <w:b/>
                <w:color w:val="auto"/>
                <w:szCs w:val="21"/>
              </w:rPr>
              <w:t>（7）综合得分为以上各项评审因素得分合计。</w:t>
            </w:r>
          </w:p>
        </w:tc>
      </w:tr>
    </w:tbl>
    <w:p w14:paraId="2B4E16BF">
      <w:pPr>
        <w:spacing w:line="380" w:lineRule="exact"/>
        <w:ind w:firstLine="420" w:firstLineChars="200"/>
        <w:rPr>
          <w:rFonts w:ascii="宋体" w:hAnsi="宋体"/>
          <w:color w:val="auto"/>
          <w:szCs w:val="21"/>
        </w:rPr>
      </w:pPr>
      <w:r>
        <w:rPr>
          <w:rFonts w:ascii="宋体" w:hAnsi="宋体"/>
          <w:bCs/>
          <w:color w:val="auto"/>
          <w:szCs w:val="21"/>
        </w:rPr>
        <w:t>7.</w:t>
      </w:r>
      <w:r>
        <w:rPr>
          <w:rFonts w:hint="eastAsia" w:ascii="宋体" w:hAnsi="宋体"/>
          <w:bCs/>
          <w:color w:val="auto"/>
          <w:szCs w:val="21"/>
        </w:rPr>
        <w:t>由磋商小组根据综合评分情况，按照评审得分由高到低顺序推荐3名以上成交候选供应商，并编写评</w:t>
      </w:r>
      <w:r>
        <w:rPr>
          <w:rFonts w:hint="eastAsia" w:ascii="宋体" w:hAnsi="宋体"/>
          <w:bCs/>
          <w:color w:val="auto"/>
          <w:kern w:val="0"/>
          <w:szCs w:val="21"/>
        </w:rPr>
        <w:t>审报告，评审报告通过电子交易平台向采购人、采购代理机构提交。符合本章第</w:t>
      </w:r>
      <w:r>
        <w:rPr>
          <w:rFonts w:ascii="宋体" w:hAnsi="宋体"/>
          <w:bCs/>
          <w:color w:val="auto"/>
          <w:kern w:val="0"/>
          <w:szCs w:val="21"/>
        </w:rPr>
        <w:t>4.3</w:t>
      </w:r>
      <w:r>
        <w:rPr>
          <w:rFonts w:hint="eastAsia" w:ascii="宋体" w:hAnsi="宋体"/>
          <w:bCs/>
          <w:color w:val="auto"/>
          <w:kern w:val="0"/>
          <w:szCs w:val="21"/>
        </w:rPr>
        <w:t>条情形的，可以推荐2家成交候选供应商。评审得分相同的，按照最后报价（不计算价格折扣）由低到高的顺序推荐；评审得分且最后报价（不计算价格折扣）相同的，依次按照技术分、项目实施方案分、</w:t>
      </w:r>
      <w:r>
        <w:rPr>
          <w:rFonts w:hint="eastAsia" w:ascii="宋体" w:hAnsi="宋体" w:cs="宋体"/>
          <w:color w:val="auto"/>
          <w:szCs w:val="21"/>
        </w:rPr>
        <w:t>拟投入维护保养实施人员方案分、培训方案分、</w:t>
      </w:r>
      <w:r>
        <w:rPr>
          <w:rFonts w:hint="eastAsia" w:ascii="宋体" w:hAnsi="宋体"/>
          <w:bCs/>
          <w:color w:val="auto"/>
          <w:kern w:val="0"/>
          <w:szCs w:val="21"/>
        </w:rPr>
        <w:t>履约能力分顺序推荐，上述得分均相同的由磋商小组随机抽取推荐。</w:t>
      </w:r>
    </w:p>
    <w:p w14:paraId="09AE1C9C">
      <w:pPr>
        <w:pStyle w:val="3"/>
        <w:jc w:val="center"/>
        <w:rPr>
          <w:color w:val="auto"/>
        </w:rPr>
      </w:pPr>
      <w:bookmarkStart w:id="82" w:name="_Toc74322609"/>
    </w:p>
    <w:p w14:paraId="5E9F4B2C">
      <w:pPr>
        <w:rPr>
          <w:color w:val="auto"/>
        </w:rPr>
      </w:pPr>
    </w:p>
    <w:p w14:paraId="013DE944">
      <w:pPr>
        <w:rPr>
          <w:color w:val="auto"/>
        </w:rPr>
      </w:pPr>
    </w:p>
    <w:p w14:paraId="31848CBC">
      <w:pPr>
        <w:pStyle w:val="3"/>
        <w:jc w:val="center"/>
        <w:rPr>
          <w:color w:val="auto"/>
        </w:rPr>
      </w:pPr>
    </w:p>
    <w:p w14:paraId="309E8308">
      <w:pPr>
        <w:rPr>
          <w:color w:val="auto"/>
        </w:rPr>
      </w:pPr>
    </w:p>
    <w:p w14:paraId="557ACDA5">
      <w:pPr>
        <w:rPr>
          <w:color w:val="auto"/>
        </w:rPr>
      </w:pPr>
    </w:p>
    <w:p w14:paraId="4037096D">
      <w:pPr>
        <w:pStyle w:val="3"/>
        <w:jc w:val="center"/>
        <w:rPr>
          <w:color w:val="auto"/>
        </w:rPr>
      </w:pPr>
    </w:p>
    <w:p w14:paraId="128C8576">
      <w:pPr>
        <w:rPr>
          <w:color w:val="auto"/>
        </w:rPr>
      </w:pPr>
    </w:p>
    <w:p w14:paraId="1112F418">
      <w:pPr>
        <w:rPr>
          <w:color w:val="auto"/>
        </w:rPr>
      </w:pPr>
    </w:p>
    <w:p w14:paraId="02DF1918">
      <w:pPr>
        <w:rPr>
          <w:color w:val="auto"/>
        </w:rPr>
      </w:pPr>
    </w:p>
    <w:p w14:paraId="4F10865E">
      <w:pPr>
        <w:rPr>
          <w:color w:val="auto"/>
        </w:rPr>
      </w:pPr>
    </w:p>
    <w:p w14:paraId="1B7CC7F1">
      <w:pPr>
        <w:rPr>
          <w:color w:val="auto"/>
        </w:rPr>
      </w:pPr>
    </w:p>
    <w:p w14:paraId="627913D5">
      <w:pPr>
        <w:rPr>
          <w:color w:val="auto"/>
        </w:rPr>
      </w:pPr>
    </w:p>
    <w:p w14:paraId="682ABBFD">
      <w:pPr>
        <w:rPr>
          <w:color w:val="auto"/>
        </w:rPr>
      </w:pPr>
    </w:p>
    <w:p w14:paraId="73665BCF">
      <w:pPr>
        <w:rPr>
          <w:color w:val="auto"/>
        </w:rPr>
      </w:pPr>
    </w:p>
    <w:p w14:paraId="7DB2239D">
      <w:pPr>
        <w:rPr>
          <w:color w:val="auto"/>
        </w:rPr>
      </w:pPr>
    </w:p>
    <w:p w14:paraId="3DACC4BF">
      <w:pPr>
        <w:rPr>
          <w:color w:val="auto"/>
        </w:rPr>
      </w:pPr>
    </w:p>
    <w:p w14:paraId="7E0B21A4">
      <w:pPr>
        <w:rPr>
          <w:color w:val="auto"/>
        </w:rPr>
      </w:pPr>
    </w:p>
    <w:p w14:paraId="5420E6B0">
      <w:pPr>
        <w:rPr>
          <w:color w:val="auto"/>
        </w:rPr>
      </w:pPr>
    </w:p>
    <w:p w14:paraId="7A5E9054">
      <w:pPr>
        <w:rPr>
          <w:color w:val="auto"/>
        </w:rPr>
      </w:pPr>
    </w:p>
    <w:p w14:paraId="5FD3C1EF">
      <w:pPr>
        <w:rPr>
          <w:color w:val="auto"/>
        </w:rPr>
      </w:pPr>
    </w:p>
    <w:p w14:paraId="767B3E85">
      <w:pPr>
        <w:rPr>
          <w:color w:val="auto"/>
        </w:rPr>
      </w:pPr>
    </w:p>
    <w:p w14:paraId="12E0091D">
      <w:pPr>
        <w:rPr>
          <w:color w:val="auto"/>
        </w:rPr>
      </w:pPr>
    </w:p>
    <w:p w14:paraId="53AD9850">
      <w:pPr>
        <w:rPr>
          <w:color w:val="auto"/>
        </w:rPr>
      </w:pPr>
    </w:p>
    <w:p w14:paraId="5915C8EC">
      <w:pPr>
        <w:rPr>
          <w:color w:val="auto"/>
        </w:rPr>
      </w:pPr>
    </w:p>
    <w:p w14:paraId="78AA89DF">
      <w:pPr>
        <w:rPr>
          <w:color w:val="auto"/>
        </w:rPr>
      </w:pPr>
    </w:p>
    <w:p w14:paraId="582629D3">
      <w:pPr>
        <w:rPr>
          <w:color w:val="auto"/>
        </w:rPr>
      </w:pPr>
    </w:p>
    <w:p w14:paraId="58C7F78C">
      <w:pPr>
        <w:rPr>
          <w:color w:val="auto"/>
        </w:rPr>
      </w:pPr>
    </w:p>
    <w:p w14:paraId="4E4D6518">
      <w:pPr>
        <w:pStyle w:val="3"/>
        <w:jc w:val="center"/>
        <w:rPr>
          <w:color w:val="auto"/>
        </w:rPr>
      </w:pPr>
      <w:r>
        <w:rPr>
          <w:rFonts w:hint="eastAsia"/>
          <w:color w:val="auto"/>
        </w:rPr>
        <w:t>第五章 响应文件格式</w:t>
      </w:r>
      <w:bookmarkEnd w:id="82"/>
    </w:p>
    <w:p w14:paraId="11EB61D6">
      <w:pPr>
        <w:spacing w:line="240" w:lineRule="atLeast"/>
        <w:rPr>
          <w:rFonts w:ascii="宋体" w:hAnsi="宋体"/>
          <w:b/>
          <w:color w:val="auto"/>
          <w:sz w:val="32"/>
          <w:szCs w:val="32"/>
        </w:rPr>
      </w:pPr>
    </w:p>
    <w:p w14:paraId="426F8315">
      <w:pPr>
        <w:spacing w:line="240" w:lineRule="atLeast"/>
        <w:rPr>
          <w:rFonts w:ascii="宋体" w:hAnsi="宋体"/>
          <w:b/>
          <w:color w:val="auto"/>
          <w:sz w:val="32"/>
          <w:szCs w:val="32"/>
        </w:rPr>
      </w:pPr>
    </w:p>
    <w:p w14:paraId="621345D7">
      <w:pPr>
        <w:spacing w:line="240" w:lineRule="atLeast"/>
        <w:rPr>
          <w:rFonts w:ascii="宋体" w:hAnsi="宋体"/>
          <w:b/>
          <w:color w:val="auto"/>
          <w:sz w:val="32"/>
          <w:szCs w:val="32"/>
        </w:rPr>
      </w:pPr>
    </w:p>
    <w:p w14:paraId="7D615A99">
      <w:pPr>
        <w:spacing w:line="240" w:lineRule="atLeast"/>
        <w:rPr>
          <w:rFonts w:ascii="宋体" w:hAnsi="宋体"/>
          <w:b/>
          <w:color w:val="auto"/>
          <w:sz w:val="32"/>
          <w:szCs w:val="32"/>
        </w:rPr>
      </w:pPr>
    </w:p>
    <w:p w14:paraId="2D4D0ACA">
      <w:pPr>
        <w:spacing w:line="240" w:lineRule="atLeast"/>
        <w:rPr>
          <w:rFonts w:ascii="宋体" w:hAnsi="宋体"/>
          <w:b/>
          <w:color w:val="auto"/>
          <w:sz w:val="32"/>
          <w:szCs w:val="32"/>
        </w:rPr>
      </w:pPr>
    </w:p>
    <w:p w14:paraId="6500D997">
      <w:pPr>
        <w:spacing w:line="240" w:lineRule="atLeast"/>
        <w:rPr>
          <w:rFonts w:ascii="宋体" w:hAnsi="宋体"/>
          <w:b/>
          <w:color w:val="auto"/>
          <w:sz w:val="32"/>
          <w:szCs w:val="32"/>
        </w:rPr>
      </w:pPr>
    </w:p>
    <w:p w14:paraId="0D7B0E83">
      <w:pPr>
        <w:spacing w:line="240" w:lineRule="atLeast"/>
        <w:rPr>
          <w:rFonts w:ascii="宋体" w:hAnsi="宋体"/>
          <w:b/>
          <w:color w:val="auto"/>
          <w:sz w:val="32"/>
          <w:szCs w:val="32"/>
        </w:rPr>
      </w:pPr>
    </w:p>
    <w:p w14:paraId="7DC67057">
      <w:pPr>
        <w:spacing w:line="240" w:lineRule="atLeast"/>
        <w:rPr>
          <w:rFonts w:ascii="宋体" w:hAnsi="宋体"/>
          <w:b/>
          <w:color w:val="auto"/>
          <w:sz w:val="32"/>
          <w:szCs w:val="32"/>
        </w:rPr>
      </w:pPr>
    </w:p>
    <w:p w14:paraId="5FBECF45">
      <w:pPr>
        <w:spacing w:line="240" w:lineRule="atLeast"/>
        <w:rPr>
          <w:rFonts w:ascii="宋体" w:hAnsi="宋体"/>
          <w:b/>
          <w:color w:val="auto"/>
          <w:sz w:val="32"/>
          <w:szCs w:val="32"/>
        </w:rPr>
      </w:pPr>
    </w:p>
    <w:p w14:paraId="533A2CE6">
      <w:pPr>
        <w:spacing w:line="240" w:lineRule="atLeast"/>
        <w:rPr>
          <w:rFonts w:ascii="宋体" w:hAnsi="宋体"/>
          <w:b/>
          <w:color w:val="auto"/>
          <w:sz w:val="32"/>
          <w:szCs w:val="32"/>
        </w:rPr>
      </w:pPr>
    </w:p>
    <w:p w14:paraId="3AFBF643">
      <w:pPr>
        <w:rPr>
          <w:b/>
          <w:color w:val="auto"/>
          <w:sz w:val="32"/>
          <w:szCs w:val="32"/>
        </w:rPr>
      </w:pPr>
      <w:bookmarkStart w:id="83" w:name="_Toc35611438"/>
      <w:bookmarkStart w:id="84" w:name="_Toc31728084"/>
      <w:bookmarkStart w:id="85" w:name="_Toc71366186"/>
      <w:bookmarkStart w:id="86" w:name="_Toc31723070"/>
      <w:bookmarkStart w:id="87" w:name="_Toc44229899"/>
      <w:bookmarkStart w:id="88" w:name="_Toc35611516"/>
      <w:r>
        <w:rPr>
          <w:b/>
          <w:color w:val="auto"/>
          <w:sz w:val="32"/>
          <w:szCs w:val="32"/>
        </w:rPr>
        <w:br w:type="page"/>
      </w:r>
      <w:r>
        <w:rPr>
          <w:rFonts w:hint="eastAsia"/>
          <w:b/>
          <w:color w:val="auto"/>
          <w:sz w:val="32"/>
          <w:szCs w:val="32"/>
        </w:rPr>
        <w:t>一、资格证明文件格式</w:t>
      </w:r>
      <w:bookmarkEnd w:id="83"/>
      <w:bookmarkEnd w:id="84"/>
      <w:bookmarkEnd w:id="85"/>
      <w:bookmarkEnd w:id="86"/>
      <w:bookmarkEnd w:id="87"/>
      <w:bookmarkEnd w:id="88"/>
    </w:p>
    <w:p w14:paraId="0812664B">
      <w:pPr>
        <w:snapToGrid w:val="0"/>
        <w:spacing w:before="120" w:beforeLines="50" w:after="50" w:line="360" w:lineRule="auto"/>
        <w:jc w:val="left"/>
        <w:rPr>
          <w:rFonts w:ascii="宋体" w:hAnsi="宋体"/>
          <w:b/>
          <w:color w:val="auto"/>
          <w:sz w:val="24"/>
        </w:rPr>
      </w:pPr>
      <w:r>
        <w:rPr>
          <w:rFonts w:hint="eastAsia" w:ascii="宋体" w:hAnsi="宋体"/>
          <w:b/>
          <w:color w:val="auto"/>
          <w:sz w:val="32"/>
          <w:szCs w:val="32"/>
        </w:rPr>
        <w:t>1.资格证明文件封面格式：</w:t>
      </w:r>
      <w:r>
        <w:rPr>
          <w:rFonts w:hint="eastAsia" w:ascii="宋体" w:hAnsi="宋体"/>
          <w:b/>
          <w:color w:val="auto"/>
          <w:sz w:val="24"/>
        </w:rPr>
        <w:t xml:space="preserve"> </w:t>
      </w:r>
    </w:p>
    <w:p w14:paraId="441D51D5">
      <w:pPr>
        <w:snapToGrid w:val="0"/>
        <w:spacing w:before="120" w:beforeLines="50" w:after="50"/>
        <w:jc w:val="center"/>
        <w:rPr>
          <w:rFonts w:ascii="宋体" w:hAnsi="宋体"/>
          <w:color w:val="auto"/>
          <w:sz w:val="44"/>
          <w:szCs w:val="44"/>
        </w:rPr>
      </w:pPr>
    </w:p>
    <w:p w14:paraId="7AB149D9">
      <w:pPr>
        <w:snapToGrid w:val="0"/>
        <w:spacing w:before="120" w:beforeLines="50" w:after="50"/>
        <w:jc w:val="center"/>
        <w:rPr>
          <w:rFonts w:ascii="宋体" w:hAnsi="宋体"/>
          <w:color w:val="auto"/>
          <w:sz w:val="44"/>
          <w:szCs w:val="44"/>
        </w:rPr>
      </w:pPr>
      <w:r>
        <w:rPr>
          <w:rFonts w:hint="eastAsia" w:ascii="宋体" w:hAnsi="宋体"/>
          <w:color w:val="auto"/>
          <w:sz w:val="44"/>
          <w:szCs w:val="44"/>
        </w:rPr>
        <w:t>电 子 响 应 文 件</w:t>
      </w:r>
    </w:p>
    <w:p w14:paraId="1B834D4D">
      <w:pPr>
        <w:snapToGrid w:val="0"/>
        <w:spacing w:before="120" w:beforeLines="50" w:after="50"/>
        <w:rPr>
          <w:rFonts w:ascii="宋体" w:hAnsi="宋体"/>
          <w:color w:val="auto"/>
          <w:sz w:val="24"/>
          <w:szCs w:val="20"/>
        </w:rPr>
      </w:pPr>
    </w:p>
    <w:p w14:paraId="1C57CE63">
      <w:pPr>
        <w:snapToGrid w:val="0"/>
        <w:spacing w:before="120" w:beforeLines="50" w:after="50"/>
        <w:jc w:val="center"/>
        <w:rPr>
          <w:rFonts w:ascii="方正小标宋简体" w:hAnsi="方正小标宋简体" w:eastAsia="方正小标宋简体" w:cs="方正小标宋简体"/>
          <w:bCs/>
          <w:color w:val="auto"/>
          <w:sz w:val="44"/>
          <w:szCs w:val="44"/>
        </w:rPr>
      </w:pPr>
      <w:r>
        <w:rPr>
          <w:rFonts w:hint="eastAsia" w:ascii="方正小标宋简体" w:hAnsi="方正小标宋简体" w:eastAsia="方正小标宋简体" w:cs="方正小标宋简体"/>
          <w:bCs/>
          <w:color w:val="auto"/>
          <w:sz w:val="44"/>
          <w:szCs w:val="44"/>
        </w:rPr>
        <w:t>资  格  证  明  文  件</w:t>
      </w:r>
    </w:p>
    <w:p w14:paraId="258C7F3B">
      <w:pPr>
        <w:snapToGrid w:val="0"/>
        <w:spacing w:before="120" w:beforeLines="50" w:after="50"/>
        <w:rPr>
          <w:rFonts w:ascii="宋体" w:hAnsi="宋体"/>
          <w:bCs/>
          <w:color w:val="auto"/>
          <w:sz w:val="24"/>
          <w:szCs w:val="20"/>
        </w:rPr>
      </w:pPr>
    </w:p>
    <w:p w14:paraId="18B66727">
      <w:pPr>
        <w:snapToGrid w:val="0"/>
        <w:spacing w:before="120" w:beforeLines="50" w:after="50"/>
        <w:rPr>
          <w:rFonts w:ascii="宋体" w:hAnsi="宋体"/>
          <w:bCs/>
          <w:color w:val="auto"/>
          <w:sz w:val="24"/>
          <w:szCs w:val="20"/>
        </w:rPr>
      </w:pPr>
    </w:p>
    <w:p w14:paraId="1608EB27">
      <w:pPr>
        <w:snapToGrid w:val="0"/>
        <w:spacing w:before="120" w:beforeLines="50" w:after="50"/>
        <w:rPr>
          <w:rFonts w:ascii="宋体" w:hAnsi="宋体"/>
          <w:bCs/>
          <w:color w:val="auto"/>
          <w:sz w:val="24"/>
          <w:szCs w:val="20"/>
        </w:rPr>
      </w:pPr>
    </w:p>
    <w:p w14:paraId="4837D27C">
      <w:pPr>
        <w:snapToGrid w:val="0"/>
        <w:spacing w:before="120" w:beforeLines="50" w:after="50"/>
        <w:rPr>
          <w:rFonts w:ascii="宋体" w:hAnsi="宋体"/>
          <w:bCs/>
          <w:color w:val="auto"/>
          <w:sz w:val="24"/>
          <w:szCs w:val="20"/>
        </w:rPr>
      </w:pPr>
    </w:p>
    <w:p w14:paraId="322FE74B">
      <w:pPr>
        <w:snapToGrid w:val="0"/>
        <w:spacing w:before="120" w:beforeLines="50" w:after="50"/>
        <w:rPr>
          <w:rFonts w:ascii="宋体" w:hAnsi="宋体"/>
          <w:bCs/>
          <w:color w:val="auto"/>
          <w:sz w:val="24"/>
          <w:szCs w:val="20"/>
        </w:rPr>
      </w:pPr>
    </w:p>
    <w:p w14:paraId="313E47EC">
      <w:pPr>
        <w:snapToGrid w:val="0"/>
        <w:spacing w:before="120" w:beforeLines="50" w:after="50"/>
        <w:ind w:firstLine="707" w:firstLineChars="221"/>
        <w:rPr>
          <w:rFonts w:ascii="宋体" w:hAnsi="宋体" w:cs="仿宋_GB2312"/>
          <w:bCs/>
          <w:color w:val="auto"/>
          <w:sz w:val="32"/>
          <w:szCs w:val="32"/>
        </w:rPr>
      </w:pPr>
      <w:r>
        <w:rPr>
          <w:rFonts w:hint="eastAsia" w:ascii="宋体" w:hAnsi="宋体" w:cs="仿宋_GB2312"/>
          <w:bCs/>
          <w:color w:val="auto"/>
          <w:sz w:val="32"/>
          <w:szCs w:val="32"/>
        </w:rPr>
        <w:t>项目名称：</w:t>
      </w:r>
    </w:p>
    <w:p w14:paraId="33404876">
      <w:pPr>
        <w:snapToGrid w:val="0"/>
        <w:spacing w:before="120" w:beforeLines="50" w:after="50"/>
        <w:ind w:firstLine="720" w:firstLineChars="225"/>
        <w:rPr>
          <w:rFonts w:ascii="宋体" w:hAnsi="宋体" w:cs="仿宋_GB2312"/>
          <w:bCs/>
          <w:color w:val="auto"/>
          <w:sz w:val="32"/>
          <w:szCs w:val="32"/>
        </w:rPr>
      </w:pPr>
    </w:p>
    <w:p w14:paraId="6ADDA6B5">
      <w:pPr>
        <w:snapToGrid w:val="0"/>
        <w:spacing w:before="120" w:beforeLines="50" w:after="50"/>
        <w:ind w:firstLine="707" w:firstLineChars="221"/>
        <w:rPr>
          <w:rFonts w:ascii="宋体" w:hAnsi="宋体" w:cs="仿宋_GB2312"/>
          <w:bCs/>
          <w:color w:val="auto"/>
          <w:sz w:val="32"/>
          <w:szCs w:val="32"/>
        </w:rPr>
      </w:pPr>
      <w:r>
        <w:rPr>
          <w:rFonts w:hint="eastAsia" w:ascii="宋体" w:hAnsi="宋体" w:cs="仿宋_GB2312"/>
          <w:bCs/>
          <w:color w:val="auto"/>
          <w:sz w:val="32"/>
          <w:szCs w:val="32"/>
        </w:rPr>
        <w:t>项目编号：</w:t>
      </w:r>
    </w:p>
    <w:p w14:paraId="7350D6A1">
      <w:pPr>
        <w:snapToGrid w:val="0"/>
        <w:spacing w:before="120" w:beforeLines="50" w:after="50"/>
        <w:ind w:firstLine="720" w:firstLineChars="225"/>
        <w:rPr>
          <w:rFonts w:ascii="宋体" w:hAnsi="宋体" w:cs="仿宋_GB2312"/>
          <w:bCs/>
          <w:color w:val="auto"/>
          <w:sz w:val="32"/>
          <w:szCs w:val="32"/>
        </w:rPr>
      </w:pPr>
    </w:p>
    <w:p w14:paraId="1E3FA586">
      <w:pPr>
        <w:pStyle w:val="8"/>
        <w:snapToGrid w:val="0"/>
        <w:spacing w:before="50" w:after="50"/>
        <w:ind w:firstLine="0"/>
        <w:rPr>
          <w:rFonts w:ascii="宋体" w:hAnsi="宋体" w:cs="仿宋_GB2312"/>
          <w:bCs/>
          <w:color w:val="auto"/>
          <w:sz w:val="32"/>
          <w:szCs w:val="32"/>
        </w:rPr>
      </w:pPr>
      <w:r>
        <w:rPr>
          <w:rFonts w:hint="eastAsia" w:ascii="宋体" w:hAnsi="宋体" w:cs="仿宋_GB2312"/>
          <w:bCs/>
          <w:color w:val="auto"/>
          <w:sz w:val="32"/>
          <w:szCs w:val="32"/>
        </w:rPr>
        <w:t xml:space="preserve">    供应商名称：</w:t>
      </w:r>
    </w:p>
    <w:p w14:paraId="1C648B4E">
      <w:pPr>
        <w:snapToGrid w:val="0"/>
        <w:spacing w:before="120" w:beforeLines="50" w:after="50"/>
        <w:ind w:firstLine="640" w:firstLineChars="200"/>
        <w:rPr>
          <w:rFonts w:ascii="宋体" w:hAnsi="宋体" w:cs="仿宋_GB2312"/>
          <w:bCs/>
          <w:color w:val="auto"/>
          <w:sz w:val="32"/>
          <w:szCs w:val="32"/>
        </w:rPr>
      </w:pPr>
    </w:p>
    <w:p w14:paraId="4738D597">
      <w:pPr>
        <w:pStyle w:val="8"/>
        <w:snapToGrid w:val="0"/>
        <w:spacing w:before="50" w:after="50"/>
        <w:ind w:firstLine="720" w:firstLineChars="225"/>
        <w:rPr>
          <w:rFonts w:ascii="宋体" w:hAnsi="宋体" w:cs="仿宋_GB2312"/>
          <w:bCs/>
          <w:color w:val="auto"/>
          <w:sz w:val="32"/>
          <w:szCs w:val="32"/>
        </w:rPr>
      </w:pPr>
    </w:p>
    <w:p w14:paraId="0C5E1D8A">
      <w:pPr>
        <w:pStyle w:val="8"/>
        <w:snapToGrid w:val="0"/>
        <w:spacing w:before="50" w:after="50"/>
        <w:ind w:firstLine="720" w:firstLineChars="225"/>
        <w:rPr>
          <w:rFonts w:ascii="宋体" w:hAnsi="宋体" w:cs="仿宋_GB2312"/>
          <w:bCs/>
          <w:color w:val="auto"/>
          <w:sz w:val="32"/>
          <w:szCs w:val="32"/>
        </w:rPr>
      </w:pPr>
    </w:p>
    <w:p w14:paraId="5BBC2EC9">
      <w:pPr>
        <w:pStyle w:val="8"/>
        <w:snapToGrid w:val="0"/>
        <w:spacing w:before="50" w:after="50"/>
        <w:ind w:firstLine="1280" w:firstLineChars="400"/>
        <w:rPr>
          <w:rFonts w:ascii="宋体" w:hAnsi="宋体" w:cs="仿宋_GB2312"/>
          <w:bCs/>
          <w:color w:val="auto"/>
          <w:sz w:val="32"/>
          <w:szCs w:val="32"/>
        </w:rPr>
      </w:pPr>
    </w:p>
    <w:p w14:paraId="098B0B85">
      <w:pPr>
        <w:snapToGrid w:val="0"/>
        <w:spacing w:before="120" w:beforeLines="50" w:after="50"/>
        <w:jc w:val="center"/>
        <w:rPr>
          <w:rFonts w:ascii="宋体" w:hAnsi="宋体" w:cs="仿宋_GB2312"/>
          <w:color w:val="auto"/>
          <w:sz w:val="32"/>
          <w:szCs w:val="32"/>
        </w:rPr>
      </w:pPr>
      <w:r>
        <w:rPr>
          <w:rFonts w:hint="eastAsia" w:ascii="宋体" w:hAnsi="宋体" w:cs="仿宋_GB2312"/>
          <w:color w:val="auto"/>
          <w:sz w:val="32"/>
          <w:szCs w:val="32"/>
        </w:rPr>
        <w:t>年    月    日</w:t>
      </w:r>
    </w:p>
    <w:p w14:paraId="5C2C0BF8">
      <w:pPr>
        <w:snapToGrid w:val="0"/>
        <w:spacing w:before="120" w:beforeLines="50" w:after="50"/>
        <w:rPr>
          <w:rFonts w:ascii="宋体" w:hAnsi="宋体"/>
          <w:b/>
          <w:bCs/>
          <w:color w:val="auto"/>
          <w:sz w:val="32"/>
          <w:szCs w:val="32"/>
        </w:rPr>
      </w:pPr>
      <w:r>
        <w:rPr>
          <w:rFonts w:ascii="宋体" w:hAnsi="宋体"/>
          <w:color w:val="auto"/>
          <w:sz w:val="24"/>
        </w:rPr>
        <w:br w:type="page"/>
      </w:r>
      <w:r>
        <w:rPr>
          <w:rFonts w:hint="eastAsia" w:ascii="宋体" w:hAnsi="宋体"/>
          <w:b/>
          <w:bCs/>
          <w:color w:val="auto"/>
          <w:sz w:val="32"/>
          <w:szCs w:val="32"/>
        </w:rPr>
        <w:t>2.资格证明文件目录</w:t>
      </w:r>
    </w:p>
    <w:p w14:paraId="292C7591">
      <w:pPr>
        <w:snapToGrid w:val="0"/>
        <w:spacing w:before="120" w:beforeLines="50" w:after="50"/>
        <w:rPr>
          <w:rFonts w:ascii="宋体" w:hAnsi="宋体"/>
          <w:b/>
          <w:bCs/>
          <w:color w:val="auto"/>
          <w:sz w:val="32"/>
          <w:szCs w:val="32"/>
        </w:rPr>
      </w:pPr>
      <w:r>
        <w:rPr>
          <w:rFonts w:hint="eastAsia" w:ascii="宋体" w:hAnsi="宋体"/>
          <w:b/>
          <w:bCs/>
          <w:color w:val="auto"/>
          <w:sz w:val="32"/>
          <w:szCs w:val="32"/>
        </w:rPr>
        <w:t xml:space="preserve">  </w:t>
      </w:r>
      <w:r>
        <w:rPr>
          <w:rFonts w:hint="eastAsia" w:ascii="宋体" w:hAnsi="宋体"/>
          <w:color w:val="auto"/>
          <w:sz w:val="32"/>
          <w:szCs w:val="32"/>
        </w:rPr>
        <w:t>根据磋商文件规定及供应商提供的材料自行编写目录（部分格式后附）。</w:t>
      </w:r>
    </w:p>
    <w:p w14:paraId="4B78209D">
      <w:pPr>
        <w:snapToGrid w:val="0"/>
        <w:spacing w:before="120" w:beforeLines="50" w:after="50"/>
        <w:rPr>
          <w:rFonts w:ascii="宋体" w:hAnsi="宋体"/>
          <w:color w:val="auto"/>
          <w:sz w:val="24"/>
          <w:szCs w:val="20"/>
        </w:rPr>
      </w:pPr>
      <w:r>
        <w:rPr>
          <w:rFonts w:ascii="宋体" w:hAnsi="宋体"/>
          <w:color w:val="auto"/>
          <w:sz w:val="24"/>
          <w:szCs w:val="20"/>
        </w:rPr>
        <w:t xml:space="preserve"> </w:t>
      </w:r>
    </w:p>
    <w:p w14:paraId="5B1E6C8A">
      <w:pPr>
        <w:spacing w:line="300" w:lineRule="auto"/>
        <w:rPr>
          <w:rFonts w:ascii="宋体" w:hAnsi="宋体"/>
          <w:color w:val="auto"/>
          <w:szCs w:val="21"/>
        </w:rPr>
      </w:pPr>
    </w:p>
    <w:p w14:paraId="200A4095">
      <w:pPr>
        <w:spacing w:line="300" w:lineRule="auto"/>
        <w:rPr>
          <w:rFonts w:ascii="宋体" w:hAnsi="宋体"/>
          <w:color w:val="auto"/>
          <w:szCs w:val="21"/>
        </w:rPr>
      </w:pPr>
    </w:p>
    <w:p w14:paraId="2EB9BCF1">
      <w:pPr>
        <w:spacing w:line="300" w:lineRule="auto"/>
        <w:rPr>
          <w:rFonts w:ascii="宋体" w:hAnsi="宋体"/>
          <w:color w:val="auto"/>
          <w:szCs w:val="21"/>
        </w:rPr>
      </w:pPr>
    </w:p>
    <w:p w14:paraId="2F42BB22">
      <w:pPr>
        <w:spacing w:line="300" w:lineRule="auto"/>
        <w:rPr>
          <w:rFonts w:ascii="宋体" w:hAnsi="宋体"/>
          <w:color w:val="auto"/>
          <w:szCs w:val="21"/>
        </w:rPr>
      </w:pPr>
    </w:p>
    <w:p w14:paraId="7FE42FA0">
      <w:pPr>
        <w:spacing w:line="300" w:lineRule="auto"/>
        <w:rPr>
          <w:rFonts w:ascii="宋体" w:hAnsi="宋体"/>
          <w:color w:val="auto"/>
          <w:szCs w:val="21"/>
        </w:rPr>
      </w:pPr>
    </w:p>
    <w:p w14:paraId="7D4CE78A">
      <w:pPr>
        <w:spacing w:line="300" w:lineRule="auto"/>
        <w:rPr>
          <w:rFonts w:ascii="宋体" w:hAnsi="宋体"/>
          <w:color w:val="auto"/>
          <w:szCs w:val="21"/>
        </w:rPr>
      </w:pPr>
    </w:p>
    <w:p w14:paraId="7B2BD6FA">
      <w:pPr>
        <w:spacing w:line="300" w:lineRule="auto"/>
        <w:rPr>
          <w:rFonts w:ascii="宋体" w:hAnsi="宋体"/>
          <w:color w:val="auto"/>
          <w:szCs w:val="21"/>
        </w:rPr>
      </w:pPr>
    </w:p>
    <w:p w14:paraId="394EBCAD">
      <w:pPr>
        <w:spacing w:line="300" w:lineRule="auto"/>
        <w:rPr>
          <w:rFonts w:ascii="宋体" w:hAnsi="宋体"/>
          <w:color w:val="auto"/>
          <w:szCs w:val="21"/>
        </w:rPr>
      </w:pPr>
    </w:p>
    <w:p w14:paraId="09FBEB5B">
      <w:pPr>
        <w:spacing w:line="300" w:lineRule="auto"/>
        <w:rPr>
          <w:rFonts w:ascii="宋体" w:hAnsi="宋体"/>
          <w:color w:val="auto"/>
          <w:szCs w:val="21"/>
        </w:rPr>
      </w:pPr>
    </w:p>
    <w:p w14:paraId="41BADC3D">
      <w:pPr>
        <w:spacing w:line="300" w:lineRule="auto"/>
        <w:rPr>
          <w:rFonts w:ascii="宋体" w:hAnsi="宋体"/>
          <w:color w:val="auto"/>
          <w:szCs w:val="21"/>
        </w:rPr>
      </w:pPr>
    </w:p>
    <w:p w14:paraId="74488FF6">
      <w:pPr>
        <w:spacing w:line="300" w:lineRule="auto"/>
        <w:rPr>
          <w:rFonts w:ascii="宋体" w:hAnsi="宋体"/>
          <w:color w:val="auto"/>
          <w:szCs w:val="21"/>
        </w:rPr>
      </w:pPr>
    </w:p>
    <w:p w14:paraId="32FF7AAD">
      <w:pPr>
        <w:spacing w:line="300" w:lineRule="auto"/>
        <w:rPr>
          <w:rFonts w:ascii="宋体" w:hAnsi="宋体"/>
          <w:color w:val="auto"/>
          <w:szCs w:val="21"/>
        </w:rPr>
      </w:pPr>
    </w:p>
    <w:p w14:paraId="58FD06D9">
      <w:pPr>
        <w:spacing w:line="300" w:lineRule="auto"/>
        <w:rPr>
          <w:rFonts w:ascii="宋体" w:hAnsi="宋体"/>
          <w:color w:val="auto"/>
          <w:szCs w:val="21"/>
        </w:rPr>
      </w:pPr>
    </w:p>
    <w:p w14:paraId="2591C7E2">
      <w:pPr>
        <w:spacing w:line="300" w:lineRule="auto"/>
        <w:rPr>
          <w:rFonts w:ascii="宋体" w:hAnsi="宋体"/>
          <w:color w:val="auto"/>
          <w:szCs w:val="21"/>
        </w:rPr>
      </w:pPr>
    </w:p>
    <w:p w14:paraId="592659CB">
      <w:pPr>
        <w:spacing w:line="300" w:lineRule="auto"/>
        <w:rPr>
          <w:rFonts w:ascii="宋体" w:hAnsi="宋体"/>
          <w:color w:val="auto"/>
          <w:szCs w:val="21"/>
        </w:rPr>
      </w:pPr>
    </w:p>
    <w:p w14:paraId="474CB93D">
      <w:pPr>
        <w:spacing w:line="320" w:lineRule="exact"/>
        <w:jc w:val="center"/>
        <w:rPr>
          <w:rFonts w:ascii="宋体" w:hAnsi="宋体"/>
          <w:b/>
          <w:color w:val="auto"/>
          <w:sz w:val="32"/>
          <w:szCs w:val="32"/>
        </w:rPr>
      </w:pPr>
      <w:r>
        <w:rPr>
          <w:rFonts w:ascii="宋体" w:hAnsi="宋体"/>
          <w:color w:val="auto"/>
          <w:szCs w:val="21"/>
        </w:rPr>
        <w:br w:type="page"/>
      </w:r>
      <w:r>
        <w:rPr>
          <w:rFonts w:hint="eastAsia" w:ascii="宋体" w:hAnsi="宋体"/>
          <w:color w:val="auto"/>
          <w:szCs w:val="21"/>
        </w:rPr>
        <w:t xml:space="preserve"> </w:t>
      </w:r>
    </w:p>
    <w:p w14:paraId="0983B640">
      <w:pPr>
        <w:snapToGrid w:val="0"/>
        <w:spacing w:before="120" w:beforeLines="50" w:after="50" w:line="360" w:lineRule="auto"/>
        <w:jc w:val="center"/>
        <w:rPr>
          <w:rFonts w:ascii="宋体" w:hAnsi="宋体"/>
          <w:b/>
          <w:color w:val="auto"/>
          <w:sz w:val="24"/>
        </w:rPr>
      </w:pPr>
    </w:p>
    <w:p w14:paraId="26F63256">
      <w:pPr>
        <w:spacing w:line="320" w:lineRule="exact"/>
        <w:jc w:val="center"/>
        <w:rPr>
          <w:rFonts w:ascii="宋体" w:hAnsi="宋体"/>
          <w:b/>
          <w:color w:val="auto"/>
          <w:sz w:val="32"/>
          <w:szCs w:val="32"/>
        </w:rPr>
      </w:pPr>
      <w:r>
        <w:rPr>
          <w:rFonts w:hint="eastAsia" w:ascii="宋体" w:hAnsi="宋体"/>
          <w:b/>
          <w:color w:val="auto"/>
          <w:sz w:val="32"/>
          <w:szCs w:val="32"/>
        </w:rPr>
        <w:t>供应商直接控股股东信息表</w:t>
      </w:r>
    </w:p>
    <w:p w14:paraId="2D2D4791">
      <w:pPr>
        <w:snapToGrid w:val="0"/>
        <w:spacing w:before="50" w:after="120" w:afterLines="50" w:line="360" w:lineRule="auto"/>
        <w:jc w:val="center"/>
        <w:rPr>
          <w:rFonts w:ascii="宋体" w:hAnsi="宋体"/>
          <w:b/>
          <w:color w:val="auto"/>
          <w:sz w:val="24"/>
        </w:rPr>
      </w:pPr>
    </w:p>
    <w:tbl>
      <w:tblPr>
        <w:tblStyle w:val="28"/>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7E7884A2">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420D5C3">
            <w:pPr>
              <w:widowControl/>
              <w:spacing w:line="360" w:lineRule="auto"/>
              <w:jc w:val="center"/>
              <w:rPr>
                <w:rFonts w:ascii="宋体" w:hAnsi="宋体" w:cs="宋体"/>
                <w:b/>
                <w:bCs/>
                <w:color w:val="auto"/>
                <w:kern w:val="0"/>
                <w:sz w:val="24"/>
              </w:rPr>
            </w:pPr>
            <w:r>
              <w:rPr>
                <w:rFonts w:hint="eastAsia" w:ascii="宋体" w:hAnsi="宋体" w:cs="宋体"/>
                <w:b/>
                <w:bCs/>
                <w:color w:val="auto"/>
                <w:kern w:val="0"/>
                <w:sz w:val="24"/>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28623D0">
            <w:pPr>
              <w:widowControl/>
              <w:spacing w:line="360" w:lineRule="auto"/>
              <w:jc w:val="center"/>
              <w:rPr>
                <w:rFonts w:ascii="宋体" w:hAnsi="宋体" w:cs="宋体"/>
                <w:b/>
                <w:bCs/>
                <w:color w:val="auto"/>
                <w:kern w:val="0"/>
                <w:sz w:val="24"/>
              </w:rPr>
            </w:pPr>
            <w:r>
              <w:rPr>
                <w:rFonts w:hint="eastAsia" w:ascii="宋体" w:hAnsi="宋体" w:cs="宋体"/>
                <w:b/>
                <w:bCs/>
                <w:color w:val="auto"/>
                <w:kern w:val="0"/>
                <w:sz w:val="24"/>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6C31AB0">
            <w:pPr>
              <w:widowControl/>
              <w:spacing w:line="360" w:lineRule="auto"/>
              <w:jc w:val="center"/>
              <w:rPr>
                <w:rFonts w:hint="eastAsia" w:ascii="宋体" w:hAnsi="宋体" w:eastAsia="宋体" w:cs="宋体"/>
                <w:b/>
                <w:bCs/>
                <w:color w:val="auto"/>
                <w:kern w:val="0"/>
                <w:sz w:val="24"/>
                <w:lang w:eastAsia="zh-CN"/>
              </w:rPr>
            </w:pPr>
            <w:r>
              <w:rPr>
                <w:rFonts w:hint="eastAsia" w:ascii="宋体" w:hAnsi="宋体" w:cs="宋体"/>
                <w:b/>
                <w:bCs/>
                <w:color w:val="auto"/>
                <w:kern w:val="0"/>
                <w:sz w:val="24"/>
              </w:rPr>
              <w:t>出资比例</w:t>
            </w:r>
            <w:r>
              <w:rPr>
                <w:rFonts w:hint="eastAsia" w:ascii="宋体" w:hAnsi="宋体" w:cs="宋体"/>
                <w:b/>
                <w:bCs/>
                <w:color w:val="auto"/>
                <w:kern w:val="0"/>
                <w:sz w:val="24"/>
                <w:lang w:eastAsia="zh-CN"/>
              </w:rPr>
              <w:t>（</w:t>
            </w:r>
            <w:r>
              <w:rPr>
                <w:rFonts w:hint="eastAsia" w:ascii="宋体" w:hAnsi="宋体" w:cs="宋体"/>
                <w:b/>
                <w:bCs/>
                <w:color w:val="auto"/>
                <w:kern w:val="0"/>
                <w:sz w:val="24"/>
                <w:lang w:val="en-US" w:eastAsia="zh-CN"/>
              </w:rPr>
              <w:t>%</w:t>
            </w:r>
            <w:r>
              <w:rPr>
                <w:rFonts w:hint="eastAsia" w:ascii="宋体" w:hAnsi="宋体" w:cs="宋体"/>
                <w:b/>
                <w:bCs/>
                <w:color w:val="auto"/>
                <w:kern w:val="0"/>
                <w:sz w:val="24"/>
                <w:lang w:eastAsia="zh-CN"/>
              </w:rPr>
              <w:t>）</w:t>
            </w: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DF57A56">
            <w:pPr>
              <w:widowControl/>
              <w:spacing w:line="360" w:lineRule="auto"/>
              <w:jc w:val="center"/>
              <w:rPr>
                <w:rFonts w:ascii="宋体" w:hAnsi="宋体" w:cs="宋体"/>
                <w:b/>
                <w:bCs/>
                <w:color w:val="auto"/>
                <w:kern w:val="0"/>
                <w:sz w:val="24"/>
              </w:rPr>
            </w:pPr>
            <w:r>
              <w:rPr>
                <w:rFonts w:hint="eastAsia" w:ascii="宋体" w:hAnsi="宋体" w:cs="宋体"/>
                <w:b/>
                <w:bCs/>
                <w:color w:val="auto"/>
                <w:kern w:val="0"/>
                <w:sz w:val="24"/>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A0D142B">
            <w:pPr>
              <w:widowControl/>
              <w:spacing w:line="360" w:lineRule="auto"/>
              <w:jc w:val="center"/>
              <w:rPr>
                <w:rFonts w:ascii="宋体" w:hAnsi="宋体" w:cs="宋体"/>
                <w:b/>
                <w:bCs/>
                <w:color w:val="auto"/>
                <w:kern w:val="0"/>
                <w:sz w:val="24"/>
              </w:rPr>
            </w:pPr>
            <w:r>
              <w:rPr>
                <w:rFonts w:hint="eastAsia" w:ascii="宋体" w:hAnsi="宋体" w:cs="宋体"/>
                <w:b/>
                <w:bCs/>
                <w:color w:val="auto"/>
                <w:kern w:val="0"/>
                <w:sz w:val="24"/>
              </w:rPr>
              <w:t>备注</w:t>
            </w:r>
          </w:p>
        </w:tc>
      </w:tr>
      <w:tr w14:paraId="3938DECA">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51A2755">
            <w:pPr>
              <w:widowControl/>
              <w:spacing w:line="360" w:lineRule="auto"/>
              <w:jc w:val="center"/>
              <w:rPr>
                <w:rFonts w:ascii="宋体" w:hAnsi="宋体" w:cs="宋体"/>
                <w:color w:val="auto"/>
                <w:kern w:val="0"/>
                <w:sz w:val="24"/>
              </w:rPr>
            </w:pPr>
            <w:r>
              <w:rPr>
                <w:rFonts w:hint="eastAsia" w:ascii="宋体" w:hAnsi="宋体" w:cs="宋体"/>
                <w:color w:val="auto"/>
                <w:kern w:val="0"/>
                <w:sz w:val="24"/>
              </w:rPr>
              <w:t>1</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EB2AB87">
            <w:pPr>
              <w:widowControl/>
              <w:spacing w:line="360" w:lineRule="auto"/>
              <w:jc w:val="center"/>
              <w:rPr>
                <w:rFonts w:ascii="宋体" w:hAnsi="宋体" w:cs="宋体"/>
                <w:color w:val="auto"/>
                <w:kern w:val="0"/>
                <w:sz w:val="24"/>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F9AB96D">
            <w:pPr>
              <w:widowControl/>
              <w:spacing w:line="360" w:lineRule="auto"/>
              <w:jc w:val="center"/>
              <w:rPr>
                <w:rFonts w:ascii="宋体" w:hAnsi="宋体" w:cs="宋体"/>
                <w:color w:val="auto"/>
                <w:kern w:val="0"/>
                <w:sz w:val="24"/>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16D920E">
            <w:pPr>
              <w:widowControl/>
              <w:spacing w:line="360" w:lineRule="auto"/>
              <w:jc w:val="center"/>
              <w:rPr>
                <w:rFonts w:ascii="宋体" w:hAnsi="宋体" w:cs="宋体"/>
                <w:color w:val="auto"/>
                <w:kern w:val="0"/>
                <w:sz w:val="24"/>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3B24F52">
            <w:pPr>
              <w:widowControl/>
              <w:spacing w:line="360" w:lineRule="auto"/>
              <w:jc w:val="center"/>
              <w:rPr>
                <w:rFonts w:ascii="宋体" w:hAnsi="宋体" w:cs="宋体"/>
                <w:color w:val="auto"/>
                <w:kern w:val="0"/>
                <w:sz w:val="24"/>
              </w:rPr>
            </w:pPr>
          </w:p>
        </w:tc>
      </w:tr>
      <w:tr w14:paraId="4D0E9D5C">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70E57FE">
            <w:pPr>
              <w:widowControl/>
              <w:spacing w:line="360" w:lineRule="auto"/>
              <w:jc w:val="center"/>
              <w:rPr>
                <w:rFonts w:ascii="宋体" w:hAnsi="宋体" w:cs="宋体"/>
                <w:color w:val="auto"/>
                <w:kern w:val="0"/>
                <w:sz w:val="24"/>
              </w:rPr>
            </w:pPr>
            <w:r>
              <w:rPr>
                <w:rFonts w:hint="eastAsia" w:ascii="宋体" w:hAnsi="宋体" w:cs="宋体"/>
                <w:color w:val="auto"/>
                <w:kern w:val="0"/>
                <w:sz w:val="24"/>
              </w:rPr>
              <w:t>2</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0E8521F">
            <w:pPr>
              <w:widowControl/>
              <w:spacing w:line="360" w:lineRule="auto"/>
              <w:jc w:val="center"/>
              <w:rPr>
                <w:rFonts w:ascii="宋体" w:hAnsi="宋体" w:cs="宋体"/>
                <w:color w:val="auto"/>
                <w:kern w:val="0"/>
                <w:sz w:val="24"/>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2F7E4A1">
            <w:pPr>
              <w:widowControl/>
              <w:spacing w:line="360" w:lineRule="auto"/>
              <w:jc w:val="center"/>
              <w:rPr>
                <w:rFonts w:ascii="宋体" w:hAnsi="宋体" w:cs="宋体"/>
                <w:color w:val="auto"/>
                <w:kern w:val="0"/>
                <w:sz w:val="24"/>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27AFBD5">
            <w:pPr>
              <w:widowControl/>
              <w:spacing w:line="360" w:lineRule="auto"/>
              <w:jc w:val="center"/>
              <w:rPr>
                <w:rFonts w:ascii="宋体" w:hAnsi="宋体" w:cs="宋体"/>
                <w:color w:val="auto"/>
                <w:kern w:val="0"/>
                <w:sz w:val="24"/>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9ABCC2D">
            <w:pPr>
              <w:widowControl/>
              <w:spacing w:line="360" w:lineRule="auto"/>
              <w:jc w:val="center"/>
              <w:rPr>
                <w:rFonts w:ascii="宋体" w:hAnsi="宋体" w:cs="宋体"/>
                <w:color w:val="auto"/>
                <w:kern w:val="0"/>
                <w:sz w:val="24"/>
              </w:rPr>
            </w:pPr>
          </w:p>
        </w:tc>
      </w:tr>
      <w:tr w14:paraId="5C66AF74">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B776824">
            <w:pPr>
              <w:widowControl/>
              <w:spacing w:line="360" w:lineRule="auto"/>
              <w:jc w:val="center"/>
              <w:rPr>
                <w:rFonts w:ascii="宋体" w:hAnsi="宋体" w:cs="宋体"/>
                <w:color w:val="auto"/>
                <w:kern w:val="0"/>
                <w:sz w:val="24"/>
              </w:rPr>
            </w:pPr>
            <w:r>
              <w:rPr>
                <w:rFonts w:hint="eastAsia" w:ascii="宋体" w:hAnsi="宋体" w:cs="宋体"/>
                <w:color w:val="auto"/>
                <w:kern w:val="0"/>
                <w:sz w:val="24"/>
              </w:rPr>
              <w:t>3</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BD1B984">
            <w:pPr>
              <w:widowControl/>
              <w:spacing w:line="360" w:lineRule="auto"/>
              <w:jc w:val="center"/>
              <w:rPr>
                <w:rFonts w:ascii="宋体" w:hAnsi="宋体" w:cs="宋体"/>
                <w:color w:val="auto"/>
                <w:kern w:val="0"/>
                <w:sz w:val="24"/>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AA05BDA">
            <w:pPr>
              <w:widowControl/>
              <w:spacing w:line="360" w:lineRule="auto"/>
              <w:jc w:val="center"/>
              <w:rPr>
                <w:rFonts w:ascii="宋体" w:hAnsi="宋体" w:cs="宋体"/>
                <w:color w:val="auto"/>
                <w:kern w:val="0"/>
                <w:sz w:val="24"/>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A88FC38">
            <w:pPr>
              <w:widowControl/>
              <w:spacing w:line="360" w:lineRule="auto"/>
              <w:jc w:val="center"/>
              <w:rPr>
                <w:rFonts w:ascii="宋体" w:hAnsi="宋体" w:cs="宋体"/>
                <w:color w:val="auto"/>
                <w:kern w:val="0"/>
                <w:sz w:val="24"/>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3B047B5">
            <w:pPr>
              <w:widowControl/>
              <w:spacing w:line="360" w:lineRule="auto"/>
              <w:jc w:val="center"/>
              <w:rPr>
                <w:rFonts w:ascii="宋体" w:hAnsi="宋体" w:cs="宋体"/>
                <w:color w:val="auto"/>
                <w:kern w:val="0"/>
                <w:sz w:val="24"/>
              </w:rPr>
            </w:pPr>
          </w:p>
        </w:tc>
      </w:tr>
      <w:tr w14:paraId="4090848B">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530EAE5">
            <w:pPr>
              <w:widowControl/>
              <w:spacing w:line="360" w:lineRule="auto"/>
              <w:jc w:val="center"/>
              <w:rPr>
                <w:rFonts w:ascii="宋体" w:hAnsi="宋体" w:cs="宋体"/>
                <w:color w:val="auto"/>
                <w:kern w:val="0"/>
                <w:sz w:val="24"/>
              </w:rPr>
            </w:pPr>
            <w:r>
              <w:rPr>
                <w:rFonts w:hint="eastAsia" w:ascii="宋体" w:hAnsi="宋体" w:cs="宋体"/>
                <w:color w:val="auto"/>
                <w:kern w:val="0"/>
                <w:sz w:val="24"/>
              </w:rPr>
              <w:t>……</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618FE9C">
            <w:pPr>
              <w:widowControl/>
              <w:spacing w:line="360" w:lineRule="auto"/>
              <w:jc w:val="center"/>
              <w:rPr>
                <w:rFonts w:ascii="宋体" w:hAnsi="宋体" w:cs="宋体"/>
                <w:color w:val="auto"/>
                <w:kern w:val="0"/>
                <w:sz w:val="24"/>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2320E82">
            <w:pPr>
              <w:widowControl/>
              <w:spacing w:line="360" w:lineRule="auto"/>
              <w:jc w:val="center"/>
              <w:rPr>
                <w:rFonts w:ascii="宋体" w:hAnsi="宋体" w:cs="宋体"/>
                <w:color w:val="auto"/>
                <w:kern w:val="0"/>
                <w:sz w:val="24"/>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3DA3AE6">
            <w:pPr>
              <w:widowControl/>
              <w:spacing w:line="360" w:lineRule="auto"/>
              <w:jc w:val="center"/>
              <w:rPr>
                <w:rFonts w:ascii="宋体" w:hAnsi="宋体" w:cs="宋体"/>
                <w:color w:val="auto"/>
                <w:kern w:val="0"/>
                <w:sz w:val="24"/>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7BA44EE">
            <w:pPr>
              <w:widowControl/>
              <w:spacing w:line="360" w:lineRule="auto"/>
              <w:jc w:val="center"/>
              <w:rPr>
                <w:rFonts w:ascii="宋体" w:hAnsi="宋体" w:cs="宋体"/>
                <w:color w:val="auto"/>
                <w:kern w:val="0"/>
                <w:sz w:val="24"/>
              </w:rPr>
            </w:pPr>
          </w:p>
        </w:tc>
      </w:tr>
    </w:tbl>
    <w:p w14:paraId="7A0F92BB">
      <w:pPr>
        <w:spacing w:line="360" w:lineRule="auto"/>
        <w:contextualSpacing/>
        <w:jc w:val="left"/>
        <w:rPr>
          <w:rFonts w:ascii="宋体" w:hAnsi="宋体" w:cs="宋体"/>
          <w:color w:val="auto"/>
          <w:sz w:val="24"/>
        </w:rPr>
      </w:pPr>
      <w:r>
        <w:rPr>
          <w:rFonts w:hint="eastAsia" w:ascii="宋体" w:hAnsi="宋体" w:cs="宋体"/>
          <w:color w:val="auto"/>
          <w:sz w:val="24"/>
        </w:rPr>
        <w:t>注：</w:t>
      </w:r>
    </w:p>
    <w:p w14:paraId="082026AD">
      <w:pPr>
        <w:spacing w:line="360" w:lineRule="auto"/>
        <w:ind w:firstLine="480" w:firstLineChars="200"/>
        <w:contextualSpacing/>
        <w:jc w:val="left"/>
        <w:rPr>
          <w:rFonts w:ascii="宋体" w:hAnsi="宋体" w:cs="宋体"/>
          <w:color w:val="auto"/>
          <w:sz w:val="24"/>
        </w:rPr>
      </w:pPr>
      <w:r>
        <w:rPr>
          <w:rFonts w:hint="eastAsia" w:ascii="宋体" w:hAnsi="宋体" w:cs="宋体"/>
          <w:color w:val="auto"/>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74CB8ADD">
      <w:pPr>
        <w:spacing w:line="360" w:lineRule="auto"/>
        <w:ind w:firstLine="480" w:firstLineChars="200"/>
        <w:contextualSpacing/>
        <w:jc w:val="left"/>
        <w:rPr>
          <w:rFonts w:ascii="宋体" w:hAnsi="宋体" w:cs="宋体"/>
          <w:color w:val="auto"/>
          <w:sz w:val="24"/>
        </w:rPr>
      </w:pPr>
      <w:r>
        <w:rPr>
          <w:rFonts w:hint="eastAsia" w:ascii="宋体" w:hAnsi="宋体" w:cs="宋体"/>
          <w:color w:val="auto"/>
          <w:sz w:val="24"/>
        </w:rPr>
        <w:t>2.本表所指的控股关系仅限于直接控股关系，不包括间接的控股关系。公司实际控制人与公司之间的关系不属于本表所指的直接控股关系。</w:t>
      </w:r>
    </w:p>
    <w:p w14:paraId="616B775B">
      <w:pPr>
        <w:spacing w:line="360" w:lineRule="auto"/>
        <w:ind w:firstLine="480" w:firstLineChars="200"/>
        <w:contextualSpacing/>
        <w:jc w:val="left"/>
        <w:rPr>
          <w:rFonts w:ascii="宋体" w:hAnsi="宋体" w:cs="宋体"/>
          <w:color w:val="auto"/>
          <w:sz w:val="24"/>
        </w:rPr>
      </w:pPr>
      <w:r>
        <w:rPr>
          <w:rFonts w:hint="eastAsia" w:ascii="宋体" w:hAnsi="宋体" w:cs="宋体"/>
          <w:color w:val="auto"/>
          <w:sz w:val="24"/>
        </w:rPr>
        <w:t>3.供应商不存在直接控股股东的，</w:t>
      </w:r>
      <w:r>
        <w:rPr>
          <w:rFonts w:hint="eastAsia" w:ascii="宋体" w:hAnsi="宋体"/>
          <w:color w:val="auto"/>
          <w:sz w:val="24"/>
        </w:rPr>
        <w:t>则在“直接控股股东名称”填“无”</w:t>
      </w:r>
      <w:r>
        <w:rPr>
          <w:rFonts w:hint="eastAsia" w:ascii="宋体" w:hAnsi="宋体" w:cs="宋体"/>
          <w:color w:val="auto"/>
          <w:sz w:val="24"/>
        </w:rPr>
        <w:t>。</w:t>
      </w:r>
    </w:p>
    <w:p w14:paraId="26F90DB8">
      <w:pPr>
        <w:spacing w:line="360" w:lineRule="auto"/>
        <w:ind w:firstLine="420" w:firstLineChars="200"/>
        <w:contextualSpacing/>
        <w:jc w:val="left"/>
        <w:rPr>
          <w:rFonts w:ascii="宋体" w:hAnsi="宋体" w:cs="宋体"/>
          <w:color w:val="auto"/>
          <w:szCs w:val="21"/>
        </w:rPr>
      </w:pPr>
    </w:p>
    <w:p w14:paraId="5F06F837">
      <w:pPr>
        <w:spacing w:line="360" w:lineRule="auto"/>
        <w:ind w:firstLine="560" w:firstLineChars="200"/>
        <w:contextualSpacing/>
        <w:jc w:val="left"/>
        <w:rPr>
          <w:rFonts w:ascii="宋体" w:hAnsi="宋体" w:cs="宋体"/>
          <w:color w:val="auto"/>
          <w:sz w:val="28"/>
          <w:szCs w:val="28"/>
        </w:rPr>
      </w:pPr>
    </w:p>
    <w:p w14:paraId="443919BF">
      <w:pPr>
        <w:spacing w:line="360" w:lineRule="auto"/>
        <w:ind w:right="480"/>
        <w:contextualSpacing/>
        <w:jc w:val="center"/>
        <w:rPr>
          <w:rFonts w:ascii="宋体" w:hAnsi="宋体" w:cs="宋体"/>
          <w:color w:val="auto"/>
          <w:sz w:val="24"/>
          <w:u w:val="single"/>
        </w:rPr>
      </w:pPr>
      <w:r>
        <w:rPr>
          <w:rFonts w:hint="eastAsia" w:ascii="宋体" w:hAnsi="宋体" w:cs="宋体"/>
          <w:color w:val="auto"/>
          <w:sz w:val="24"/>
        </w:rPr>
        <w:t xml:space="preserve"> </w:t>
      </w:r>
      <w:r>
        <w:rPr>
          <w:rFonts w:ascii="宋体" w:hAnsi="宋体" w:cs="宋体"/>
          <w:color w:val="auto"/>
          <w:sz w:val="24"/>
        </w:rPr>
        <w:t xml:space="preserve">       </w:t>
      </w:r>
      <w:r>
        <w:rPr>
          <w:rFonts w:hint="eastAsia" w:ascii="宋体" w:hAnsi="宋体" w:cs="宋体"/>
          <w:color w:val="auto"/>
          <w:sz w:val="24"/>
        </w:rPr>
        <w:t>法定代表人或者委托代理人</w:t>
      </w:r>
      <w:r>
        <w:rPr>
          <w:rFonts w:hint="eastAsia" w:ascii="宋体" w:hAnsi="宋体"/>
          <w:color w:val="auto"/>
          <w:sz w:val="24"/>
        </w:rPr>
        <w:t>（签字或者电子签名）</w:t>
      </w:r>
      <w:r>
        <w:rPr>
          <w:rFonts w:hint="eastAsia" w:ascii="宋体" w:hAnsi="宋体" w:cs="宋体"/>
          <w:color w:val="auto"/>
          <w:sz w:val="24"/>
        </w:rPr>
        <w:t>：</w:t>
      </w:r>
      <w:r>
        <w:rPr>
          <w:rFonts w:hint="eastAsia" w:ascii="宋体" w:hAnsi="宋体" w:cs="宋体"/>
          <w:color w:val="auto"/>
          <w:sz w:val="24"/>
          <w:u w:val="single"/>
        </w:rPr>
        <w:t xml:space="preserve"> </w:t>
      </w:r>
      <w:r>
        <w:rPr>
          <w:rFonts w:ascii="宋体" w:hAnsi="宋体" w:cs="宋体"/>
          <w:color w:val="auto"/>
          <w:sz w:val="24"/>
          <w:u w:val="single"/>
        </w:rPr>
        <w:t xml:space="preserve">                   </w:t>
      </w:r>
    </w:p>
    <w:p w14:paraId="1A9DEEB9">
      <w:pPr>
        <w:spacing w:line="360" w:lineRule="auto"/>
        <w:ind w:right="480" w:firstLine="3000" w:firstLineChars="1250"/>
        <w:contextualSpacing/>
        <w:rPr>
          <w:rFonts w:ascii="宋体" w:hAnsi="宋体" w:cs="宋体"/>
          <w:color w:val="auto"/>
          <w:sz w:val="24"/>
          <w:u w:val="single"/>
        </w:rPr>
      </w:pPr>
      <w:r>
        <w:rPr>
          <w:rFonts w:hint="eastAsia" w:ascii="宋体" w:hAnsi="宋体" w:cs="宋体"/>
          <w:color w:val="auto"/>
          <w:sz w:val="24"/>
        </w:rPr>
        <w:t>供应商</w:t>
      </w:r>
      <w:r>
        <w:rPr>
          <w:rFonts w:hint="eastAsia" w:ascii="宋体" w:hAnsi="宋体" w:cs="宋体"/>
          <w:color w:val="auto"/>
          <w:sz w:val="24"/>
          <w:lang w:eastAsia="zh-CN"/>
        </w:rPr>
        <w:t>名称（</w:t>
      </w:r>
      <w:r>
        <w:rPr>
          <w:rFonts w:hint="eastAsia" w:ascii="宋体" w:hAnsi="宋体"/>
          <w:color w:val="auto"/>
          <w:sz w:val="24"/>
        </w:rPr>
        <w:t>电子签章</w:t>
      </w:r>
      <w:r>
        <w:rPr>
          <w:rFonts w:hint="eastAsia" w:ascii="宋体" w:hAnsi="宋体"/>
          <w:color w:val="auto"/>
          <w:sz w:val="24"/>
          <w:lang w:eastAsia="zh-CN"/>
        </w:rPr>
        <w:t>）</w:t>
      </w:r>
      <w:r>
        <w:rPr>
          <w:rFonts w:hint="eastAsia" w:ascii="宋体" w:hAnsi="宋体" w:cs="宋体"/>
          <w:color w:val="auto"/>
          <w:sz w:val="24"/>
        </w:rPr>
        <w:t xml:space="preserve">： </w:t>
      </w:r>
      <w:r>
        <w:rPr>
          <w:rFonts w:hint="eastAsia" w:ascii="宋体" w:hAnsi="宋体" w:cs="宋体"/>
          <w:color w:val="auto"/>
          <w:sz w:val="24"/>
          <w:u w:val="single"/>
        </w:rPr>
        <w:t xml:space="preserve">                              </w:t>
      </w:r>
    </w:p>
    <w:p w14:paraId="79766EE8">
      <w:pPr>
        <w:spacing w:line="360" w:lineRule="auto"/>
        <w:ind w:firstLine="480" w:firstLineChars="200"/>
        <w:contextualSpacing/>
        <w:jc w:val="right"/>
        <w:rPr>
          <w:rFonts w:ascii="宋体" w:hAnsi="宋体" w:cs="宋体"/>
          <w:color w:val="auto"/>
          <w:sz w:val="28"/>
          <w:szCs w:val="28"/>
        </w:rPr>
      </w:pPr>
      <w:r>
        <w:rPr>
          <w:rFonts w:hint="eastAsia" w:ascii="宋体" w:hAnsi="宋体" w:cs="宋体"/>
          <w:color w:val="auto"/>
          <w:sz w:val="24"/>
        </w:rPr>
        <w:t>年    月    日</w:t>
      </w:r>
    </w:p>
    <w:p w14:paraId="19C4BBC6">
      <w:pPr>
        <w:snapToGrid w:val="0"/>
        <w:jc w:val="center"/>
        <w:rPr>
          <w:rFonts w:ascii="宋体" w:hAnsi="宋体"/>
          <w:b/>
          <w:color w:val="auto"/>
          <w:sz w:val="28"/>
          <w:szCs w:val="28"/>
        </w:rPr>
      </w:pPr>
      <w:r>
        <w:rPr>
          <w:rFonts w:ascii="宋体" w:hAnsi="宋体"/>
          <w:b/>
          <w:color w:val="auto"/>
          <w:sz w:val="28"/>
          <w:szCs w:val="28"/>
        </w:rPr>
        <w:br w:type="page"/>
      </w:r>
    </w:p>
    <w:p w14:paraId="4043474A">
      <w:pPr>
        <w:spacing w:line="320" w:lineRule="exact"/>
        <w:jc w:val="center"/>
        <w:rPr>
          <w:rFonts w:ascii="宋体" w:hAnsi="宋体"/>
          <w:b/>
          <w:color w:val="auto"/>
          <w:sz w:val="32"/>
          <w:szCs w:val="32"/>
        </w:rPr>
      </w:pPr>
      <w:r>
        <w:rPr>
          <w:rFonts w:hint="eastAsia" w:ascii="宋体" w:hAnsi="宋体"/>
          <w:b/>
          <w:color w:val="auto"/>
          <w:sz w:val="32"/>
          <w:szCs w:val="32"/>
        </w:rPr>
        <w:t>供应商直接管理关系信息表</w:t>
      </w:r>
    </w:p>
    <w:p w14:paraId="480BFF65">
      <w:pPr>
        <w:snapToGrid w:val="0"/>
        <w:spacing w:line="360" w:lineRule="auto"/>
        <w:jc w:val="center"/>
        <w:rPr>
          <w:rFonts w:ascii="宋体" w:hAnsi="宋体"/>
          <w:b/>
          <w:color w:val="auto"/>
          <w:sz w:val="24"/>
        </w:rPr>
      </w:pPr>
    </w:p>
    <w:tbl>
      <w:tblPr>
        <w:tblStyle w:val="28"/>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4E041147">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CE74FFB">
            <w:pPr>
              <w:widowControl/>
              <w:spacing w:line="360" w:lineRule="auto"/>
              <w:jc w:val="center"/>
              <w:rPr>
                <w:rFonts w:ascii="宋体" w:hAnsi="宋体" w:cs="宋体"/>
                <w:b/>
                <w:bCs/>
                <w:color w:val="auto"/>
                <w:kern w:val="0"/>
                <w:sz w:val="24"/>
              </w:rPr>
            </w:pPr>
            <w:r>
              <w:rPr>
                <w:rFonts w:hint="eastAsia" w:ascii="宋体" w:hAnsi="宋体" w:cs="宋体"/>
                <w:b/>
                <w:bCs/>
                <w:color w:val="auto"/>
                <w:kern w:val="0"/>
                <w:sz w:val="24"/>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FD8AF41">
            <w:pPr>
              <w:widowControl/>
              <w:spacing w:line="360" w:lineRule="auto"/>
              <w:jc w:val="center"/>
              <w:rPr>
                <w:rFonts w:ascii="宋体" w:hAnsi="宋体" w:cs="宋体"/>
                <w:b/>
                <w:bCs/>
                <w:color w:val="auto"/>
                <w:kern w:val="0"/>
                <w:sz w:val="24"/>
              </w:rPr>
            </w:pPr>
            <w:r>
              <w:rPr>
                <w:rFonts w:hint="eastAsia" w:ascii="宋体" w:hAnsi="宋体" w:cs="宋体"/>
                <w:b/>
                <w:bCs/>
                <w:color w:val="auto"/>
                <w:kern w:val="0"/>
                <w:sz w:val="24"/>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216FBD7">
            <w:pPr>
              <w:widowControl/>
              <w:spacing w:line="360" w:lineRule="auto"/>
              <w:jc w:val="center"/>
              <w:rPr>
                <w:rFonts w:ascii="宋体" w:hAnsi="宋体" w:cs="宋体"/>
                <w:b/>
                <w:bCs/>
                <w:color w:val="auto"/>
                <w:kern w:val="0"/>
                <w:sz w:val="24"/>
              </w:rPr>
            </w:pPr>
            <w:r>
              <w:rPr>
                <w:rFonts w:hint="eastAsia" w:ascii="宋体" w:hAnsi="宋体" w:cs="宋体"/>
                <w:b/>
                <w:bCs/>
                <w:color w:val="auto"/>
                <w:kern w:val="0"/>
                <w:sz w:val="24"/>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4847900">
            <w:pPr>
              <w:widowControl/>
              <w:spacing w:line="360" w:lineRule="auto"/>
              <w:jc w:val="center"/>
              <w:rPr>
                <w:rFonts w:ascii="宋体" w:hAnsi="宋体" w:cs="宋体"/>
                <w:b/>
                <w:bCs/>
                <w:color w:val="auto"/>
                <w:kern w:val="0"/>
                <w:sz w:val="24"/>
              </w:rPr>
            </w:pPr>
            <w:r>
              <w:rPr>
                <w:rFonts w:hint="eastAsia" w:ascii="宋体" w:hAnsi="宋体" w:cs="宋体"/>
                <w:b/>
                <w:bCs/>
                <w:color w:val="auto"/>
                <w:kern w:val="0"/>
                <w:sz w:val="24"/>
              </w:rPr>
              <w:t>备注</w:t>
            </w:r>
          </w:p>
        </w:tc>
      </w:tr>
      <w:tr w14:paraId="0D8A5EF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9D3EB8A">
            <w:pPr>
              <w:widowControl/>
              <w:spacing w:line="360" w:lineRule="auto"/>
              <w:jc w:val="center"/>
              <w:rPr>
                <w:rFonts w:ascii="宋体" w:hAnsi="宋体" w:cs="宋体"/>
                <w:color w:val="auto"/>
                <w:kern w:val="0"/>
                <w:sz w:val="24"/>
              </w:rPr>
            </w:pPr>
            <w:r>
              <w:rPr>
                <w:rFonts w:hint="eastAsia" w:ascii="宋体" w:hAnsi="宋体" w:cs="宋体"/>
                <w:color w:val="auto"/>
                <w:kern w:val="0"/>
                <w:sz w:val="24"/>
              </w:rPr>
              <w:t>1</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4279E18">
            <w:pPr>
              <w:widowControl/>
              <w:spacing w:line="360" w:lineRule="auto"/>
              <w:jc w:val="center"/>
              <w:rPr>
                <w:rFonts w:ascii="宋体" w:hAnsi="宋体" w:cs="宋体"/>
                <w:color w:val="auto"/>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9DF9E75">
            <w:pPr>
              <w:widowControl/>
              <w:spacing w:line="360" w:lineRule="auto"/>
              <w:jc w:val="center"/>
              <w:rPr>
                <w:rFonts w:ascii="宋体" w:hAnsi="宋体" w:cs="宋体"/>
                <w:color w:val="auto"/>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4C10B73">
            <w:pPr>
              <w:widowControl/>
              <w:spacing w:line="360" w:lineRule="auto"/>
              <w:jc w:val="center"/>
              <w:rPr>
                <w:rFonts w:ascii="宋体" w:hAnsi="宋体" w:cs="宋体"/>
                <w:color w:val="auto"/>
                <w:kern w:val="0"/>
                <w:sz w:val="24"/>
              </w:rPr>
            </w:pPr>
          </w:p>
        </w:tc>
      </w:tr>
      <w:tr w14:paraId="36E1670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830C4DB">
            <w:pPr>
              <w:widowControl/>
              <w:spacing w:line="360" w:lineRule="auto"/>
              <w:jc w:val="center"/>
              <w:rPr>
                <w:rFonts w:ascii="宋体" w:hAnsi="宋体" w:cs="宋体"/>
                <w:color w:val="auto"/>
                <w:kern w:val="0"/>
                <w:sz w:val="24"/>
              </w:rPr>
            </w:pPr>
            <w:r>
              <w:rPr>
                <w:rFonts w:hint="eastAsia" w:ascii="宋体" w:hAnsi="宋体" w:cs="宋体"/>
                <w:color w:val="auto"/>
                <w:kern w:val="0"/>
                <w:sz w:val="24"/>
              </w:rPr>
              <w:t>2</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55EC143">
            <w:pPr>
              <w:widowControl/>
              <w:spacing w:line="360" w:lineRule="auto"/>
              <w:jc w:val="center"/>
              <w:rPr>
                <w:rFonts w:ascii="宋体" w:hAnsi="宋体" w:cs="宋体"/>
                <w:color w:val="auto"/>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E41B60F">
            <w:pPr>
              <w:widowControl/>
              <w:spacing w:line="360" w:lineRule="auto"/>
              <w:jc w:val="center"/>
              <w:rPr>
                <w:rFonts w:ascii="宋体" w:hAnsi="宋体" w:cs="宋体"/>
                <w:color w:val="auto"/>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272AE5B">
            <w:pPr>
              <w:widowControl/>
              <w:spacing w:line="360" w:lineRule="auto"/>
              <w:jc w:val="center"/>
              <w:rPr>
                <w:rFonts w:ascii="宋体" w:hAnsi="宋体" w:cs="宋体"/>
                <w:color w:val="auto"/>
                <w:kern w:val="0"/>
                <w:sz w:val="24"/>
              </w:rPr>
            </w:pPr>
          </w:p>
        </w:tc>
      </w:tr>
      <w:tr w14:paraId="5FDA63E5">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818B7ED">
            <w:pPr>
              <w:widowControl/>
              <w:spacing w:line="360" w:lineRule="auto"/>
              <w:jc w:val="center"/>
              <w:rPr>
                <w:rFonts w:ascii="宋体" w:hAnsi="宋体" w:cs="宋体"/>
                <w:color w:val="auto"/>
                <w:kern w:val="0"/>
                <w:sz w:val="24"/>
              </w:rPr>
            </w:pPr>
            <w:r>
              <w:rPr>
                <w:rFonts w:hint="eastAsia" w:ascii="宋体" w:hAnsi="宋体" w:cs="宋体"/>
                <w:color w:val="auto"/>
                <w:kern w:val="0"/>
                <w:sz w:val="24"/>
              </w:rPr>
              <w:t>3</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1AB09E1">
            <w:pPr>
              <w:widowControl/>
              <w:spacing w:line="360" w:lineRule="auto"/>
              <w:jc w:val="center"/>
              <w:rPr>
                <w:rFonts w:ascii="宋体" w:hAnsi="宋体" w:cs="宋体"/>
                <w:color w:val="auto"/>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3E6CA00">
            <w:pPr>
              <w:widowControl/>
              <w:spacing w:line="360" w:lineRule="auto"/>
              <w:jc w:val="center"/>
              <w:rPr>
                <w:rFonts w:ascii="宋体" w:hAnsi="宋体" w:cs="宋体"/>
                <w:color w:val="auto"/>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7DA2301">
            <w:pPr>
              <w:widowControl/>
              <w:spacing w:line="360" w:lineRule="auto"/>
              <w:jc w:val="center"/>
              <w:rPr>
                <w:rFonts w:ascii="宋体" w:hAnsi="宋体" w:cs="宋体"/>
                <w:color w:val="auto"/>
                <w:kern w:val="0"/>
                <w:sz w:val="24"/>
              </w:rPr>
            </w:pPr>
          </w:p>
        </w:tc>
      </w:tr>
      <w:tr w14:paraId="41993455">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A715A1B">
            <w:pPr>
              <w:widowControl/>
              <w:spacing w:line="360" w:lineRule="auto"/>
              <w:jc w:val="center"/>
              <w:rPr>
                <w:rFonts w:ascii="宋体" w:hAnsi="宋体" w:cs="宋体"/>
                <w:color w:val="auto"/>
                <w:kern w:val="0"/>
                <w:sz w:val="24"/>
              </w:rPr>
            </w:pPr>
            <w:r>
              <w:rPr>
                <w:rFonts w:hint="eastAsia" w:ascii="宋体" w:hAnsi="宋体" w:cs="宋体"/>
                <w:color w:val="auto"/>
                <w:kern w:val="0"/>
                <w:sz w:val="24"/>
              </w:rPr>
              <w:t>……</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CB673B1">
            <w:pPr>
              <w:widowControl/>
              <w:spacing w:line="360" w:lineRule="auto"/>
              <w:jc w:val="center"/>
              <w:rPr>
                <w:rFonts w:ascii="宋体" w:hAnsi="宋体" w:cs="宋体"/>
                <w:color w:val="auto"/>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5D731AD">
            <w:pPr>
              <w:widowControl/>
              <w:spacing w:line="360" w:lineRule="auto"/>
              <w:jc w:val="center"/>
              <w:rPr>
                <w:rFonts w:ascii="宋体" w:hAnsi="宋体" w:cs="宋体"/>
                <w:color w:val="auto"/>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3B70E27">
            <w:pPr>
              <w:widowControl/>
              <w:spacing w:line="360" w:lineRule="auto"/>
              <w:jc w:val="center"/>
              <w:rPr>
                <w:rFonts w:ascii="宋体" w:hAnsi="宋体" w:cs="宋体"/>
                <w:color w:val="auto"/>
                <w:kern w:val="0"/>
                <w:sz w:val="24"/>
              </w:rPr>
            </w:pPr>
          </w:p>
        </w:tc>
      </w:tr>
    </w:tbl>
    <w:p w14:paraId="71F7FD4F">
      <w:pPr>
        <w:spacing w:line="360" w:lineRule="auto"/>
        <w:contextualSpacing/>
        <w:jc w:val="left"/>
        <w:rPr>
          <w:rFonts w:ascii="宋体" w:hAnsi="宋体"/>
          <w:color w:val="auto"/>
          <w:sz w:val="24"/>
        </w:rPr>
      </w:pPr>
      <w:r>
        <w:rPr>
          <w:rFonts w:hint="eastAsia" w:ascii="宋体" w:hAnsi="宋体"/>
          <w:color w:val="auto"/>
          <w:sz w:val="24"/>
        </w:rPr>
        <w:t>注：</w:t>
      </w:r>
    </w:p>
    <w:p w14:paraId="230181CF">
      <w:pPr>
        <w:spacing w:line="360" w:lineRule="auto"/>
        <w:ind w:firstLine="480" w:firstLineChars="200"/>
        <w:contextualSpacing/>
        <w:jc w:val="left"/>
        <w:rPr>
          <w:rFonts w:ascii="宋体" w:hAnsi="宋体"/>
          <w:color w:val="auto"/>
          <w:sz w:val="24"/>
        </w:rPr>
      </w:pPr>
      <w:r>
        <w:rPr>
          <w:rFonts w:hint="eastAsia" w:ascii="宋体" w:hAnsi="宋体"/>
          <w:color w:val="auto"/>
          <w:sz w:val="24"/>
        </w:rPr>
        <w:t>1.管理关系：是指不具有出资持股关系的其他单位之间存在的管理与被管理关系，如一些上下级关系的事业单位和团体组织。</w:t>
      </w:r>
    </w:p>
    <w:p w14:paraId="18E50F59">
      <w:pPr>
        <w:spacing w:line="360" w:lineRule="auto"/>
        <w:ind w:firstLine="480" w:firstLineChars="200"/>
        <w:contextualSpacing/>
        <w:jc w:val="left"/>
        <w:rPr>
          <w:rFonts w:ascii="宋体" w:hAnsi="宋体"/>
          <w:color w:val="auto"/>
          <w:sz w:val="24"/>
        </w:rPr>
      </w:pPr>
      <w:r>
        <w:rPr>
          <w:rFonts w:hint="eastAsia" w:ascii="宋体" w:hAnsi="宋体"/>
          <w:color w:val="auto"/>
          <w:sz w:val="24"/>
        </w:rPr>
        <w:t>2.</w:t>
      </w:r>
      <w:r>
        <w:rPr>
          <w:rFonts w:hint="eastAsia" w:ascii="宋体" w:hAnsi="宋体"/>
          <w:color w:val="auto"/>
          <w:spacing w:val="-6"/>
          <w:sz w:val="24"/>
        </w:rPr>
        <w:t>本表所指的管理关系仅限于直接管理关系，不包括间接的管理关系。</w:t>
      </w:r>
    </w:p>
    <w:p w14:paraId="231030A3">
      <w:pPr>
        <w:spacing w:line="360" w:lineRule="auto"/>
        <w:ind w:firstLine="480" w:firstLineChars="200"/>
        <w:contextualSpacing/>
        <w:jc w:val="left"/>
        <w:rPr>
          <w:rFonts w:ascii="宋体" w:hAnsi="宋体"/>
          <w:color w:val="auto"/>
          <w:sz w:val="24"/>
        </w:rPr>
      </w:pPr>
      <w:r>
        <w:rPr>
          <w:rFonts w:hint="eastAsia" w:ascii="宋体" w:hAnsi="宋体"/>
          <w:color w:val="auto"/>
          <w:sz w:val="24"/>
        </w:rPr>
        <w:t>3.供应商不存在直接管理关系的，则在“直接管理关系单位名称”填“无”。</w:t>
      </w:r>
    </w:p>
    <w:p w14:paraId="2A354666">
      <w:pPr>
        <w:spacing w:line="360" w:lineRule="auto"/>
        <w:contextualSpacing/>
        <w:jc w:val="left"/>
        <w:rPr>
          <w:rFonts w:ascii="宋体" w:hAnsi="宋体"/>
          <w:color w:val="auto"/>
          <w:sz w:val="28"/>
          <w:szCs w:val="28"/>
        </w:rPr>
      </w:pPr>
    </w:p>
    <w:p w14:paraId="6440E48B">
      <w:pPr>
        <w:spacing w:line="360" w:lineRule="auto"/>
        <w:contextualSpacing/>
        <w:jc w:val="left"/>
        <w:rPr>
          <w:rFonts w:ascii="宋体" w:hAnsi="宋体"/>
          <w:color w:val="auto"/>
          <w:sz w:val="28"/>
          <w:szCs w:val="28"/>
        </w:rPr>
      </w:pPr>
    </w:p>
    <w:p w14:paraId="0A267A3D">
      <w:pPr>
        <w:spacing w:line="360" w:lineRule="auto"/>
        <w:contextualSpacing/>
        <w:jc w:val="left"/>
        <w:rPr>
          <w:color w:val="auto"/>
          <w:sz w:val="28"/>
          <w:szCs w:val="28"/>
        </w:rPr>
      </w:pPr>
    </w:p>
    <w:p w14:paraId="1B70E677">
      <w:pPr>
        <w:spacing w:line="360" w:lineRule="auto"/>
        <w:contextualSpacing/>
        <w:jc w:val="left"/>
        <w:rPr>
          <w:color w:val="auto"/>
          <w:sz w:val="28"/>
          <w:szCs w:val="28"/>
        </w:rPr>
      </w:pPr>
    </w:p>
    <w:p w14:paraId="28A90FE6">
      <w:pPr>
        <w:spacing w:line="360" w:lineRule="auto"/>
        <w:contextualSpacing/>
        <w:jc w:val="left"/>
        <w:rPr>
          <w:color w:val="auto"/>
          <w:sz w:val="28"/>
          <w:szCs w:val="28"/>
        </w:rPr>
      </w:pPr>
    </w:p>
    <w:p w14:paraId="2F04277C">
      <w:pPr>
        <w:spacing w:line="360" w:lineRule="auto"/>
        <w:contextualSpacing/>
        <w:jc w:val="left"/>
        <w:rPr>
          <w:rFonts w:ascii="宋体" w:hAnsi="宋体"/>
          <w:color w:val="auto"/>
          <w:sz w:val="28"/>
          <w:szCs w:val="28"/>
        </w:rPr>
      </w:pPr>
    </w:p>
    <w:p w14:paraId="2BA5049B">
      <w:pPr>
        <w:spacing w:line="360" w:lineRule="auto"/>
        <w:ind w:right="480"/>
        <w:contextualSpacing/>
        <w:jc w:val="center"/>
        <w:rPr>
          <w:rFonts w:ascii="宋体" w:hAnsi="宋体"/>
          <w:color w:val="auto"/>
          <w:sz w:val="24"/>
          <w:u w:val="single"/>
        </w:rPr>
      </w:pPr>
      <w:r>
        <w:rPr>
          <w:rFonts w:hint="eastAsia" w:ascii="宋体" w:hAnsi="宋体"/>
          <w:color w:val="auto"/>
          <w:sz w:val="24"/>
        </w:rPr>
        <w:t xml:space="preserve"> </w:t>
      </w:r>
      <w:r>
        <w:rPr>
          <w:rFonts w:ascii="宋体" w:hAnsi="宋体"/>
          <w:color w:val="auto"/>
          <w:sz w:val="24"/>
        </w:rPr>
        <w:t xml:space="preserve">             </w:t>
      </w:r>
      <w:r>
        <w:rPr>
          <w:rFonts w:hint="eastAsia" w:ascii="宋体" w:hAnsi="宋体"/>
          <w:color w:val="auto"/>
          <w:sz w:val="24"/>
        </w:rPr>
        <w:t>法定代表人或者委托代理人（签字或者电子签名）：</w:t>
      </w:r>
      <w:r>
        <w:rPr>
          <w:rFonts w:hint="eastAsia" w:ascii="宋体" w:hAnsi="宋体"/>
          <w:color w:val="auto"/>
          <w:sz w:val="24"/>
          <w:u w:val="single"/>
        </w:rPr>
        <w:t xml:space="preserve"> </w:t>
      </w:r>
      <w:r>
        <w:rPr>
          <w:rFonts w:ascii="宋体" w:hAnsi="宋体"/>
          <w:color w:val="auto"/>
          <w:sz w:val="24"/>
          <w:u w:val="single"/>
        </w:rPr>
        <w:t xml:space="preserve">                  </w:t>
      </w:r>
    </w:p>
    <w:p w14:paraId="78CF8183">
      <w:pPr>
        <w:spacing w:line="360" w:lineRule="auto"/>
        <w:ind w:right="480" w:firstLine="3360" w:firstLineChars="1400"/>
        <w:contextualSpacing/>
        <w:rPr>
          <w:rFonts w:ascii="宋体" w:hAnsi="宋体"/>
          <w:color w:val="auto"/>
          <w:sz w:val="24"/>
        </w:rPr>
      </w:pPr>
      <w:r>
        <w:rPr>
          <w:rFonts w:hint="eastAsia" w:ascii="宋体" w:hAnsi="宋体"/>
          <w:color w:val="auto"/>
          <w:sz w:val="24"/>
        </w:rPr>
        <w:t>供应商</w:t>
      </w:r>
      <w:r>
        <w:rPr>
          <w:rFonts w:hint="eastAsia" w:ascii="宋体" w:hAnsi="宋体"/>
          <w:color w:val="auto"/>
          <w:sz w:val="24"/>
          <w:lang w:eastAsia="zh-CN"/>
        </w:rPr>
        <w:t>名称（</w:t>
      </w:r>
      <w:r>
        <w:rPr>
          <w:rFonts w:hint="eastAsia" w:ascii="宋体" w:hAnsi="宋体"/>
          <w:color w:val="auto"/>
          <w:sz w:val="24"/>
        </w:rPr>
        <w:t>电子签章</w:t>
      </w:r>
      <w:r>
        <w:rPr>
          <w:rFonts w:hint="eastAsia" w:ascii="宋体" w:hAnsi="宋体"/>
          <w:color w:val="auto"/>
          <w:sz w:val="24"/>
          <w:lang w:eastAsia="zh-CN"/>
        </w:rPr>
        <w:t>）</w:t>
      </w:r>
      <w:r>
        <w:rPr>
          <w:rFonts w:hint="eastAsia" w:ascii="宋体" w:hAnsi="宋体"/>
          <w:color w:val="auto"/>
          <w:sz w:val="24"/>
        </w:rPr>
        <w:t>：</w:t>
      </w:r>
      <w:r>
        <w:rPr>
          <w:rFonts w:hint="eastAsia" w:ascii="宋体" w:hAnsi="宋体"/>
          <w:color w:val="auto"/>
          <w:sz w:val="24"/>
          <w:u w:val="single"/>
        </w:rPr>
        <w:t xml:space="preserve">                </w:t>
      </w:r>
    </w:p>
    <w:p w14:paraId="07165390">
      <w:pPr>
        <w:spacing w:line="360" w:lineRule="auto"/>
        <w:ind w:firstLine="480" w:firstLineChars="200"/>
        <w:contextualSpacing/>
        <w:jc w:val="left"/>
        <w:rPr>
          <w:rFonts w:ascii="宋体" w:hAnsi="宋体"/>
          <w:color w:val="auto"/>
          <w:sz w:val="28"/>
          <w:szCs w:val="28"/>
        </w:rPr>
      </w:pPr>
      <w:r>
        <w:rPr>
          <w:rFonts w:hint="eastAsia" w:ascii="宋体" w:hAnsi="宋体"/>
          <w:color w:val="auto"/>
          <w:sz w:val="24"/>
        </w:rPr>
        <w:t xml:space="preserve">                                        年    月    日</w:t>
      </w:r>
    </w:p>
    <w:p w14:paraId="727C2B0D">
      <w:pPr>
        <w:spacing w:line="320" w:lineRule="exact"/>
        <w:jc w:val="center"/>
        <w:rPr>
          <w:rFonts w:ascii="宋体" w:hAnsi="宋体"/>
          <w:b/>
          <w:color w:val="auto"/>
          <w:sz w:val="32"/>
          <w:szCs w:val="32"/>
        </w:rPr>
      </w:pPr>
      <w:r>
        <w:rPr>
          <w:rFonts w:ascii="宋体" w:hAnsi="宋体"/>
          <w:color w:val="auto"/>
          <w:sz w:val="28"/>
          <w:szCs w:val="28"/>
        </w:rPr>
        <w:br w:type="page"/>
      </w:r>
      <w:r>
        <w:rPr>
          <w:rFonts w:hint="eastAsia" w:ascii="宋体" w:hAnsi="宋体"/>
          <w:b/>
          <w:color w:val="auto"/>
          <w:sz w:val="32"/>
          <w:szCs w:val="32"/>
        </w:rPr>
        <w:t>竞标声明</w:t>
      </w:r>
    </w:p>
    <w:p w14:paraId="0A81785B">
      <w:pPr>
        <w:spacing w:line="320" w:lineRule="exact"/>
        <w:jc w:val="center"/>
        <w:rPr>
          <w:rFonts w:ascii="宋体" w:hAnsi="宋体"/>
          <w:color w:val="auto"/>
          <w:sz w:val="24"/>
          <w:szCs w:val="20"/>
        </w:rPr>
      </w:pPr>
    </w:p>
    <w:p w14:paraId="3160B436">
      <w:pPr>
        <w:spacing w:line="360" w:lineRule="auto"/>
        <w:contextualSpacing/>
        <w:rPr>
          <w:rFonts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（采购人名称）</w:t>
      </w:r>
      <w:r>
        <w:rPr>
          <w:rFonts w:hint="eastAsia" w:ascii="宋体" w:hAnsi="宋体" w:cs="宋体"/>
          <w:color w:val="auto"/>
          <w:sz w:val="24"/>
        </w:rPr>
        <w:t>：</w:t>
      </w:r>
    </w:p>
    <w:p w14:paraId="00B79B0E">
      <w:pPr>
        <w:spacing w:line="360" w:lineRule="auto"/>
        <w:ind w:firstLine="480" w:firstLineChars="200"/>
        <w:contextualSpacing/>
        <w:jc w:val="left"/>
        <w:rPr>
          <w:rFonts w:ascii="宋体" w:hAnsi="宋体" w:cs="宋体"/>
          <w:color w:val="auto"/>
          <w:sz w:val="24"/>
        </w:rPr>
      </w:pPr>
      <w:r>
        <w:rPr>
          <w:rFonts w:hint="eastAsia" w:ascii="宋体" w:hAnsi="宋体" w:cs="宋体"/>
          <w:color w:val="auto"/>
          <w:sz w:val="24"/>
          <w:u w:val="single"/>
        </w:rPr>
        <w:t>（供应商名称）</w:t>
      </w:r>
      <w:r>
        <w:rPr>
          <w:rFonts w:hint="eastAsia" w:ascii="宋体" w:hAnsi="宋体" w:cs="宋体"/>
          <w:color w:val="auto"/>
          <w:sz w:val="24"/>
        </w:rPr>
        <w:t>系中华人民共和国合法供应商，经营地址</w:t>
      </w:r>
      <w:r>
        <w:rPr>
          <w:rFonts w:hint="eastAsia" w:ascii="宋体" w:hAnsi="宋体" w:cs="宋体"/>
          <w:color w:val="auto"/>
          <w:sz w:val="24"/>
          <w:u w:val="single"/>
        </w:rPr>
        <w:t xml:space="preserve">                  </w:t>
      </w:r>
      <w:r>
        <w:rPr>
          <w:rFonts w:hint="eastAsia" w:ascii="宋体" w:hAnsi="宋体" w:cs="宋体"/>
          <w:color w:val="auto"/>
          <w:sz w:val="24"/>
        </w:rPr>
        <w:t>。</w:t>
      </w:r>
    </w:p>
    <w:p w14:paraId="7DBCD3C7">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我方愿意参加贵方组织的</w:t>
      </w:r>
      <w:r>
        <w:rPr>
          <w:rFonts w:hint="eastAsia" w:ascii="宋体" w:hAnsi="宋体" w:cs="宋体"/>
          <w:color w:val="auto"/>
          <w:sz w:val="24"/>
          <w:u w:val="single"/>
        </w:rPr>
        <w:t>（项目名称）</w:t>
      </w:r>
      <w:r>
        <w:rPr>
          <w:rFonts w:hint="eastAsia" w:ascii="宋体" w:hAnsi="宋体" w:cs="宋体"/>
          <w:color w:val="auto"/>
          <w:sz w:val="24"/>
        </w:rPr>
        <w:t>项目的竞标，为便于贵方公正、择优地确定成交供应商及其竞标产品和服务，我方就本次竞标有关事项郑重声明如下：</w:t>
      </w:r>
    </w:p>
    <w:p w14:paraId="7363F842">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1.我方向贵方提交的所有响应文件、资料都是准确的和真实的。</w:t>
      </w:r>
    </w:p>
    <w:p w14:paraId="787F128D">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2.我方不是为本次采购项目提供整体设计、规范编制或者项目管理、监理、检测等服务的供应商。</w:t>
      </w:r>
    </w:p>
    <w:p w14:paraId="078AC7ED">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3.在此，我方宣布同意如下：</w:t>
      </w:r>
    </w:p>
    <w:p w14:paraId="265F1D48">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（1）将按磋商文件的约定履行合同责任和义务；</w:t>
      </w:r>
    </w:p>
    <w:p w14:paraId="5D068412">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（2）已详细审查全部磋商文件，包括澄清或者更正公告（如有）；</w:t>
      </w:r>
    </w:p>
    <w:p w14:paraId="0280AC9C">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（3）同意提供按照贵方可能要求的与磋商有关的一切数据或者资料；</w:t>
      </w:r>
    </w:p>
    <w:p w14:paraId="10787739">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（4）响应磋商文件规定的竞标有效期。</w:t>
      </w:r>
    </w:p>
    <w:p w14:paraId="6738121E">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4.我方承诺符合《中华人民共和国政府采购法》第二十二条规定：</w:t>
      </w:r>
    </w:p>
    <w:p w14:paraId="659B31F8">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（1）具有独立承担民事责任的能力；</w:t>
      </w:r>
    </w:p>
    <w:p w14:paraId="1E8C0AFC">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（2）具有良好的商业信誉和健全的财务会计制度；</w:t>
      </w:r>
    </w:p>
    <w:p w14:paraId="3069C530">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（3）具有履行合同所必需的设备和专业技术能力；</w:t>
      </w:r>
    </w:p>
    <w:p w14:paraId="6D65C10F">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（4）有依法缴纳税收和社会保障资金的良好记录；</w:t>
      </w:r>
    </w:p>
    <w:p w14:paraId="698DE7E3">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（5）参加政府采购活动前三年内，在经营活动中没有重大违法记录；</w:t>
      </w:r>
    </w:p>
    <w:p w14:paraId="0238985A">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（6）法律、行政法规规定的其他条件。</w:t>
      </w:r>
    </w:p>
    <w:p w14:paraId="51B2C87B">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8C23015">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4F573F96">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□我方本次响应文件</w:t>
      </w:r>
      <w:r>
        <w:rPr>
          <w:rFonts w:hint="eastAsia" w:ascii="宋体" w:hAnsi="宋体" w:cs="宋体"/>
          <w:color w:val="auto"/>
          <w:kern w:val="0"/>
          <w:sz w:val="24"/>
        </w:rPr>
        <w:t>内容中</w:t>
      </w:r>
      <w:r>
        <w:rPr>
          <w:rFonts w:hint="eastAsia" w:ascii="宋体" w:hAnsi="宋体" w:cs="宋体"/>
          <w:color w:val="auto"/>
          <w:sz w:val="24"/>
        </w:rPr>
        <w:t>未</w:t>
      </w:r>
      <w:r>
        <w:rPr>
          <w:rFonts w:hint="eastAsia" w:ascii="宋体" w:hAnsi="宋体" w:cs="宋体"/>
          <w:color w:val="auto"/>
          <w:kern w:val="0"/>
          <w:sz w:val="24"/>
        </w:rPr>
        <w:t>涉及商业秘密；</w:t>
      </w:r>
    </w:p>
    <w:p w14:paraId="1C50DEB8">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□我方本次响应文件</w:t>
      </w:r>
      <w:r>
        <w:rPr>
          <w:rFonts w:hint="eastAsia" w:ascii="宋体" w:hAnsi="宋体" w:cs="宋体"/>
          <w:color w:val="auto"/>
          <w:kern w:val="0"/>
          <w:sz w:val="24"/>
        </w:rPr>
        <w:t>涉及商业秘密的内容有：</w:t>
      </w:r>
      <w:r>
        <w:rPr>
          <w:rFonts w:hint="eastAsia" w:ascii="宋体" w:hAnsi="宋体" w:cs="宋体"/>
          <w:color w:val="auto"/>
          <w:kern w:val="0"/>
          <w:sz w:val="24"/>
          <w:u w:val="single"/>
        </w:rPr>
        <w:t xml:space="preserve">                         </w:t>
      </w:r>
      <w:r>
        <w:rPr>
          <w:rFonts w:hint="eastAsia" w:ascii="宋体" w:hAnsi="宋体" w:cs="宋体"/>
          <w:color w:val="auto"/>
          <w:kern w:val="0"/>
          <w:sz w:val="24"/>
        </w:rPr>
        <w:t>；</w:t>
      </w:r>
    </w:p>
    <w:p w14:paraId="39EE9CC6">
      <w:pPr>
        <w:pStyle w:val="17"/>
        <w:spacing w:line="360" w:lineRule="auto"/>
        <w:ind w:firstLine="480" w:firstLineChars="200"/>
        <w:contextualSpacing/>
        <w:rPr>
          <w:rFonts w:hAnsi="宋体" w:cs="宋体"/>
          <w:color w:val="auto"/>
          <w:sz w:val="24"/>
          <w:szCs w:val="24"/>
          <w:u w:val="single"/>
        </w:rPr>
      </w:pPr>
      <w:r>
        <w:rPr>
          <w:rFonts w:hint="eastAsia" w:hAnsi="宋体" w:cs="宋体"/>
          <w:color w:val="auto"/>
          <w:sz w:val="24"/>
          <w:szCs w:val="24"/>
        </w:rPr>
        <w:t>7.与本磋商有关的一切正式往来信函请寄：</w:t>
      </w:r>
      <w:r>
        <w:rPr>
          <w:rFonts w:hint="eastAsia" w:hAnsi="宋体" w:cs="宋体"/>
          <w:color w:val="auto"/>
          <w:sz w:val="24"/>
          <w:szCs w:val="24"/>
          <w:u w:val="single"/>
        </w:rPr>
        <w:t xml:space="preserve">                  </w:t>
      </w:r>
      <w:r>
        <w:rPr>
          <w:rFonts w:hint="eastAsia" w:hAnsi="宋体" w:cs="宋体"/>
          <w:color w:val="auto"/>
          <w:sz w:val="24"/>
          <w:szCs w:val="24"/>
        </w:rPr>
        <w:t>邮政编号：</w:t>
      </w:r>
      <w:r>
        <w:rPr>
          <w:rFonts w:hint="eastAsia" w:hAnsi="宋体" w:cs="宋体"/>
          <w:color w:val="auto"/>
          <w:sz w:val="24"/>
          <w:szCs w:val="24"/>
          <w:u w:val="single"/>
        </w:rPr>
        <w:t xml:space="preserve">        </w:t>
      </w:r>
    </w:p>
    <w:p w14:paraId="5C73EA09">
      <w:pPr>
        <w:pStyle w:val="17"/>
        <w:spacing w:line="360" w:lineRule="auto"/>
        <w:ind w:firstLine="480" w:firstLineChars="200"/>
        <w:contextualSpacing/>
        <w:rPr>
          <w:rFonts w:hAnsi="宋体" w:cs="宋体"/>
          <w:color w:val="auto"/>
          <w:sz w:val="24"/>
          <w:szCs w:val="24"/>
        </w:rPr>
      </w:pPr>
      <w:r>
        <w:rPr>
          <w:rFonts w:hint="eastAsia" w:hAnsi="宋体" w:cs="宋体"/>
          <w:color w:val="auto"/>
          <w:sz w:val="24"/>
          <w:szCs w:val="24"/>
        </w:rPr>
        <w:t>电话/传真：</w:t>
      </w:r>
      <w:r>
        <w:rPr>
          <w:rFonts w:hint="eastAsia" w:hAnsi="宋体" w:cs="宋体"/>
          <w:color w:val="auto"/>
          <w:sz w:val="24"/>
          <w:szCs w:val="24"/>
          <w:u w:val="single"/>
        </w:rPr>
        <w:t xml:space="preserve">                        </w:t>
      </w:r>
      <w:r>
        <w:rPr>
          <w:rFonts w:hint="eastAsia" w:hAnsi="宋体" w:cs="宋体"/>
          <w:color w:val="auto"/>
          <w:sz w:val="24"/>
          <w:szCs w:val="24"/>
        </w:rPr>
        <w:t xml:space="preserve"> 电子邮箱：</w:t>
      </w:r>
      <w:r>
        <w:rPr>
          <w:rFonts w:hint="eastAsia" w:hAnsi="宋体" w:cs="宋体"/>
          <w:color w:val="auto"/>
          <w:sz w:val="24"/>
          <w:szCs w:val="24"/>
          <w:u w:val="single"/>
        </w:rPr>
        <w:t xml:space="preserve">                            </w:t>
      </w:r>
      <w:r>
        <w:rPr>
          <w:rFonts w:hint="eastAsia" w:hAnsi="宋体" w:cs="宋体"/>
          <w:color w:val="auto"/>
          <w:sz w:val="24"/>
          <w:szCs w:val="24"/>
        </w:rPr>
        <w:t xml:space="preserve">    </w:t>
      </w:r>
    </w:p>
    <w:p w14:paraId="2F80DC39">
      <w:pPr>
        <w:pStyle w:val="16"/>
        <w:tabs>
          <w:tab w:val="left" w:pos="939"/>
        </w:tabs>
        <w:spacing w:line="360" w:lineRule="auto"/>
        <w:ind w:left="141" w:leftChars="67" w:firstLine="360" w:firstLineChars="150"/>
        <w:rPr>
          <w:rFonts w:ascii="宋体" w:hAnsi="宋体" w:cs="宋体"/>
          <w:color w:val="auto"/>
          <w:sz w:val="24"/>
        </w:rPr>
      </w:pPr>
      <w:r>
        <w:rPr>
          <w:rFonts w:hint="eastAsia" w:ascii="宋体" w:hAnsi="宋体" w:cs="宋体"/>
          <w:color w:val="auto"/>
          <w:sz w:val="24"/>
        </w:rPr>
        <w:t>开户银行：</w:t>
      </w:r>
      <w:r>
        <w:rPr>
          <w:rFonts w:hint="eastAsia" w:ascii="宋体" w:hAnsi="宋体" w:cs="宋体"/>
          <w:color w:val="auto"/>
          <w:sz w:val="24"/>
          <w:u w:val="single"/>
        </w:rPr>
        <w:t xml:space="preserve">                         </w:t>
      </w:r>
      <w:r>
        <w:rPr>
          <w:rFonts w:hint="eastAsia" w:ascii="宋体" w:hAnsi="宋体" w:cs="宋体"/>
          <w:color w:val="auto"/>
          <w:sz w:val="24"/>
        </w:rPr>
        <w:t xml:space="preserve"> 账号：</w:t>
      </w:r>
      <w:r>
        <w:rPr>
          <w:rFonts w:hint="eastAsia" w:ascii="宋体" w:hAnsi="宋体" w:cs="宋体"/>
          <w:color w:val="auto"/>
          <w:sz w:val="24"/>
          <w:u w:val="single"/>
        </w:rPr>
        <w:t xml:space="preserve">                               </w:t>
      </w:r>
    </w:p>
    <w:p w14:paraId="21B8BD44">
      <w:pPr>
        <w:pStyle w:val="16"/>
        <w:tabs>
          <w:tab w:val="left" w:pos="939"/>
        </w:tabs>
        <w:spacing w:line="360" w:lineRule="auto"/>
        <w:ind w:left="0" w:leftChars="0" w:firstLine="480" w:firstLineChars="200"/>
        <w:rPr>
          <w:rFonts w:ascii="宋体" w:hAnsi="宋体" w:cs="宋体"/>
          <w:color w:val="auto"/>
          <w:sz w:val="24"/>
        </w:rPr>
      </w:pPr>
      <w:r>
        <w:rPr>
          <w:rFonts w:hint="eastAsia" w:ascii="宋体" w:hAnsi="宋体" w:cs="宋体"/>
          <w:color w:val="auto"/>
          <w:sz w:val="24"/>
        </w:rPr>
        <w:t>8.以上事项如有虚假或者隐瞒，我方愿意承担一切后果，并不再寻求任何旨在减轻或者免除法律责任的辩解。</w:t>
      </w:r>
    </w:p>
    <w:p w14:paraId="6EEBEE00">
      <w:pPr>
        <w:pStyle w:val="16"/>
        <w:tabs>
          <w:tab w:val="left" w:pos="939"/>
        </w:tabs>
        <w:spacing w:line="360" w:lineRule="auto"/>
        <w:ind w:left="141" w:leftChars="67" w:firstLine="360" w:firstLineChars="150"/>
        <w:rPr>
          <w:rFonts w:ascii="宋体" w:hAnsi="宋体" w:cs="宋体"/>
          <w:color w:val="auto"/>
          <w:sz w:val="24"/>
        </w:rPr>
      </w:pPr>
      <w:r>
        <w:rPr>
          <w:rFonts w:hint="eastAsia" w:ascii="宋体" w:hAnsi="宋体" w:cs="宋体"/>
          <w:color w:val="auto"/>
          <w:sz w:val="24"/>
        </w:rPr>
        <w:t>特此承诺。</w:t>
      </w:r>
    </w:p>
    <w:p w14:paraId="147A16F0">
      <w:pPr>
        <w:spacing w:line="360" w:lineRule="auto"/>
        <w:contextualSpacing/>
        <w:jc w:val="left"/>
        <w:rPr>
          <w:rFonts w:ascii="宋体" w:hAnsi="宋体"/>
          <w:b/>
          <w:color w:val="auto"/>
          <w:sz w:val="24"/>
        </w:rPr>
      </w:pPr>
      <w:r>
        <w:rPr>
          <w:rFonts w:hint="eastAsia" w:ascii="宋体" w:hAnsi="宋体" w:cs="宋体"/>
          <w:b/>
          <w:color w:val="auto"/>
          <w:sz w:val="24"/>
        </w:rPr>
        <w:t>注：</w:t>
      </w:r>
      <w:r>
        <w:rPr>
          <w:rFonts w:hint="eastAsia" w:ascii="宋体" w:hAnsi="宋体"/>
          <w:b/>
          <w:color w:val="auto"/>
          <w:sz w:val="24"/>
        </w:rPr>
        <w:t>如为联合体竞标，盖章处须加盖联合体牵头人公章（或电子签章）并由联合体牵头人法定代表人分别签字（或者盖章或者电子签名），否则响应文件按无效处理。</w:t>
      </w:r>
    </w:p>
    <w:p w14:paraId="21372E97">
      <w:pPr>
        <w:spacing w:line="360" w:lineRule="auto"/>
        <w:contextualSpacing/>
        <w:jc w:val="left"/>
        <w:rPr>
          <w:rFonts w:ascii="宋体" w:hAnsi="宋体" w:cs="宋体"/>
          <w:color w:val="auto"/>
          <w:szCs w:val="21"/>
        </w:rPr>
      </w:pPr>
    </w:p>
    <w:p w14:paraId="1868DF4E">
      <w:pPr>
        <w:spacing w:line="360" w:lineRule="auto"/>
        <w:contextualSpacing/>
        <w:rPr>
          <w:color w:val="auto"/>
          <w:sz w:val="24"/>
        </w:rPr>
      </w:pPr>
      <w:r>
        <w:rPr>
          <w:rFonts w:hint="eastAsia"/>
          <w:color w:val="auto"/>
          <w:sz w:val="24"/>
        </w:rPr>
        <w:t>法定代表人</w:t>
      </w:r>
      <w:r>
        <w:rPr>
          <w:rFonts w:hint="eastAsia"/>
          <w:color w:val="auto"/>
          <w:sz w:val="24"/>
          <w:lang w:eastAsia="zh-CN"/>
        </w:rPr>
        <w:t>或者委托代理人</w:t>
      </w:r>
      <w:r>
        <w:rPr>
          <w:rFonts w:hint="eastAsia"/>
          <w:color w:val="auto"/>
          <w:sz w:val="24"/>
        </w:rPr>
        <w:t>（</w:t>
      </w:r>
      <w:r>
        <w:rPr>
          <w:rFonts w:hint="eastAsia" w:ascii="宋体" w:hAnsi="宋体"/>
          <w:color w:val="auto"/>
          <w:sz w:val="24"/>
        </w:rPr>
        <w:t>签字或者电子签名</w:t>
      </w:r>
      <w:r>
        <w:rPr>
          <w:rFonts w:hint="eastAsia"/>
          <w:color w:val="auto"/>
          <w:sz w:val="24"/>
        </w:rPr>
        <w:t>）：</w:t>
      </w:r>
      <w:r>
        <w:rPr>
          <w:rFonts w:hint="eastAsia"/>
          <w:color w:val="auto"/>
          <w:sz w:val="24"/>
          <w:u w:val="single"/>
        </w:rPr>
        <w:t xml:space="preserve">           </w:t>
      </w:r>
      <w:r>
        <w:rPr>
          <w:rFonts w:hint="eastAsia"/>
          <w:color w:val="auto"/>
          <w:sz w:val="24"/>
        </w:rPr>
        <w:t xml:space="preserve">                                     </w:t>
      </w:r>
    </w:p>
    <w:p w14:paraId="5901EC49">
      <w:pPr>
        <w:spacing w:line="360" w:lineRule="auto"/>
        <w:contextualSpacing/>
        <w:rPr>
          <w:rFonts w:ascii="宋体" w:hAnsi="宋体" w:cs="宋体"/>
          <w:color w:val="auto"/>
          <w:sz w:val="24"/>
          <w:u w:val="single"/>
        </w:rPr>
      </w:pPr>
      <w:r>
        <w:rPr>
          <w:rFonts w:hint="eastAsia"/>
          <w:color w:val="auto"/>
          <w:sz w:val="24"/>
        </w:rPr>
        <w:t xml:space="preserve">          供应商</w:t>
      </w:r>
      <w:r>
        <w:rPr>
          <w:rFonts w:hint="eastAsia"/>
          <w:color w:val="auto"/>
          <w:sz w:val="24"/>
          <w:lang w:eastAsia="zh-CN"/>
        </w:rPr>
        <w:t>名称（</w:t>
      </w:r>
      <w:r>
        <w:rPr>
          <w:rFonts w:hint="eastAsia"/>
          <w:color w:val="auto"/>
          <w:sz w:val="24"/>
        </w:rPr>
        <w:t>电子签章</w:t>
      </w:r>
      <w:r>
        <w:rPr>
          <w:rFonts w:hint="eastAsia"/>
          <w:color w:val="auto"/>
          <w:sz w:val="24"/>
          <w:lang w:eastAsia="zh-CN"/>
        </w:rPr>
        <w:t>）</w:t>
      </w:r>
      <w:r>
        <w:rPr>
          <w:rFonts w:hint="eastAsia"/>
          <w:color w:val="auto"/>
          <w:sz w:val="24"/>
        </w:rPr>
        <w:t>：</w:t>
      </w:r>
      <w:r>
        <w:rPr>
          <w:rFonts w:hint="eastAsia"/>
          <w:color w:val="auto"/>
          <w:sz w:val="24"/>
          <w:u w:val="single"/>
        </w:rPr>
        <w:t xml:space="preserve">                               </w:t>
      </w:r>
      <w:r>
        <w:rPr>
          <w:rFonts w:hint="eastAsia"/>
          <w:color w:val="auto"/>
          <w:sz w:val="24"/>
        </w:rPr>
        <w:t xml:space="preserve">       </w:t>
      </w:r>
      <w:r>
        <w:rPr>
          <w:rFonts w:hint="eastAsia" w:ascii="宋体" w:hAnsi="宋体" w:cs="宋体"/>
          <w:color w:val="auto"/>
          <w:sz w:val="24"/>
        </w:rPr>
        <w:t xml:space="preserve">    </w:t>
      </w:r>
    </w:p>
    <w:p w14:paraId="0DA55B09">
      <w:pPr>
        <w:pStyle w:val="16"/>
        <w:tabs>
          <w:tab w:val="left" w:pos="939"/>
        </w:tabs>
        <w:spacing w:line="360" w:lineRule="auto"/>
        <w:ind w:left="0" w:leftChars="0" w:firstLine="480" w:firstLineChars="200"/>
        <w:rPr>
          <w:color w:val="auto"/>
          <w:sz w:val="24"/>
        </w:rPr>
      </w:pPr>
      <w:r>
        <w:rPr>
          <w:rFonts w:hint="eastAsia" w:ascii="宋体" w:hAnsi="宋体" w:cs="宋体"/>
          <w:color w:val="auto"/>
          <w:sz w:val="24"/>
        </w:rPr>
        <w:t xml:space="preserve">                                            </w:t>
      </w:r>
      <w:r>
        <w:rPr>
          <w:rFonts w:hint="eastAsia"/>
          <w:color w:val="auto"/>
          <w:sz w:val="24"/>
        </w:rPr>
        <w:t xml:space="preserve"> 年    月    日</w:t>
      </w:r>
    </w:p>
    <w:p w14:paraId="7EBC78A6">
      <w:pPr>
        <w:pStyle w:val="8"/>
        <w:overflowPunct w:val="0"/>
        <w:spacing w:line="520" w:lineRule="exact"/>
        <w:ind w:firstLine="0"/>
        <w:jc w:val="center"/>
        <w:rPr>
          <w:rFonts w:ascii="方正小标宋简体" w:hAnsi="方正小标宋简体" w:eastAsia="方正小标宋简体" w:cs="方正小标宋简体"/>
          <w:color w:val="auto"/>
          <w:sz w:val="44"/>
          <w:szCs w:val="44"/>
        </w:rPr>
      </w:pPr>
      <w:r>
        <w:rPr>
          <w:rFonts w:hint="eastAsia"/>
          <w:color w:val="auto"/>
          <w:sz w:val="24"/>
        </w:rPr>
        <w:br w:type="page"/>
      </w:r>
      <w:r>
        <w:rPr>
          <w:rFonts w:hint="eastAsia" w:ascii="方正小标宋简体" w:hAnsi="方正小标宋简体" w:eastAsia="方正小标宋简体" w:cs="方正小标宋简体"/>
          <w:color w:val="auto"/>
          <w:sz w:val="44"/>
          <w:szCs w:val="44"/>
        </w:rPr>
        <w:t>联合体竞标协议书</w:t>
      </w:r>
    </w:p>
    <w:p w14:paraId="556ACF57">
      <w:pPr>
        <w:pStyle w:val="8"/>
        <w:overflowPunct w:val="0"/>
        <w:spacing w:line="360" w:lineRule="auto"/>
        <w:ind w:firstLine="0"/>
        <w:rPr>
          <w:rFonts w:ascii="宋体" w:hAnsi="宋体"/>
          <w:color w:val="auto"/>
          <w:sz w:val="24"/>
          <w:szCs w:val="24"/>
        </w:rPr>
      </w:pPr>
    </w:p>
    <w:p w14:paraId="06606BBF">
      <w:pPr>
        <w:pStyle w:val="8"/>
        <w:overflowPunct w:val="0"/>
        <w:spacing w:line="360" w:lineRule="auto"/>
        <w:ind w:firstLine="480" w:firstLineChars="200"/>
        <w:contextualSpacing/>
        <w:rPr>
          <w:rFonts w:ascii="宋体" w:hAnsi="宋体" w:cs="仿宋_GB2312"/>
          <w:color w:val="auto"/>
          <w:sz w:val="24"/>
          <w:szCs w:val="24"/>
        </w:rPr>
      </w:pPr>
      <w:r>
        <w:rPr>
          <w:rFonts w:hint="eastAsia" w:ascii="宋体" w:hAnsi="宋体" w:cs="仿宋_GB2312"/>
          <w:color w:val="auto"/>
          <w:sz w:val="24"/>
          <w:szCs w:val="24"/>
          <w:u w:val="single"/>
        </w:rPr>
        <w:t xml:space="preserve">             </w:t>
      </w:r>
      <w:r>
        <w:rPr>
          <w:rFonts w:hint="eastAsia" w:ascii="宋体" w:hAnsi="宋体" w:cs="仿宋_GB2312"/>
          <w:color w:val="auto"/>
          <w:sz w:val="24"/>
          <w:szCs w:val="24"/>
        </w:rPr>
        <w:t>（所有成员单位名称）自愿组成</w:t>
      </w:r>
      <w:r>
        <w:rPr>
          <w:rFonts w:hint="eastAsia" w:ascii="宋体" w:hAnsi="宋体" w:cs="仿宋_GB2312"/>
          <w:color w:val="auto"/>
          <w:sz w:val="24"/>
          <w:szCs w:val="24"/>
          <w:u w:val="single"/>
        </w:rPr>
        <w:t xml:space="preserve">      </w:t>
      </w:r>
      <w:r>
        <w:rPr>
          <w:rFonts w:hint="eastAsia" w:ascii="宋体" w:hAnsi="宋体" w:cs="仿宋_GB2312"/>
          <w:color w:val="auto"/>
          <w:sz w:val="24"/>
          <w:szCs w:val="24"/>
        </w:rPr>
        <w:t>（联合体名称）联合体，共同参加</w:t>
      </w:r>
      <w:r>
        <w:rPr>
          <w:rFonts w:hint="eastAsia" w:ascii="宋体" w:hAnsi="宋体" w:cs="仿宋_GB2312"/>
          <w:color w:val="auto"/>
          <w:sz w:val="24"/>
          <w:szCs w:val="24"/>
          <w:u w:val="single"/>
        </w:rPr>
        <w:t xml:space="preserve">      </w:t>
      </w:r>
      <w:r>
        <w:rPr>
          <w:rFonts w:hint="eastAsia" w:ascii="宋体" w:hAnsi="宋体" w:cs="仿宋_GB2312"/>
          <w:color w:val="auto"/>
          <w:sz w:val="24"/>
          <w:szCs w:val="24"/>
        </w:rPr>
        <w:t>（项目名称）采购项目竞标。现就联合体竞标事宜订立如下协议。</w:t>
      </w:r>
    </w:p>
    <w:p w14:paraId="3B9E56E9">
      <w:pPr>
        <w:pStyle w:val="8"/>
        <w:overflowPunct w:val="0"/>
        <w:spacing w:line="360" w:lineRule="auto"/>
        <w:ind w:firstLine="480" w:firstLineChars="200"/>
        <w:contextualSpacing/>
        <w:rPr>
          <w:rFonts w:ascii="宋体" w:hAnsi="宋体" w:cs="仿宋_GB2312"/>
          <w:color w:val="auto"/>
          <w:sz w:val="24"/>
          <w:szCs w:val="24"/>
        </w:rPr>
      </w:pPr>
      <w:r>
        <w:rPr>
          <w:rFonts w:hint="eastAsia" w:ascii="宋体" w:hAnsi="宋体" w:cs="仿宋_GB2312"/>
          <w:color w:val="auto"/>
          <w:sz w:val="24"/>
          <w:szCs w:val="24"/>
        </w:rPr>
        <w:t>1.</w:t>
      </w:r>
      <w:r>
        <w:rPr>
          <w:rFonts w:hint="eastAsia" w:ascii="宋体" w:hAnsi="宋体" w:cs="仿宋_GB2312"/>
          <w:color w:val="auto"/>
          <w:sz w:val="24"/>
          <w:szCs w:val="24"/>
          <w:u w:val="single"/>
        </w:rPr>
        <w:t xml:space="preserve"> </w:t>
      </w:r>
      <w:r>
        <w:rPr>
          <w:rFonts w:hint="eastAsia" w:ascii="宋体" w:hAnsi="宋体" w:cs="仿宋_GB2312"/>
          <w:color w:val="auto"/>
          <w:sz w:val="24"/>
          <w:szCs w:val="24"/>
          <w:u w:val="single"/>
        </w:rPr>
        <w:tab/>
      </w:r>
      <w:r>
        <w:rPr>
          <w:rFonts w:hint="eastAsia" w:ascii="宋体" w:hAnsi="宋体" w:cs="仿宋_GB2312"/>
          <w:color w:val="auto"/>
          <w:sz w:val="24"/>
          <w:szCs w:val="24"/>
          <w:u w:val="single"/>
        </w:rPr>
        <w:t xml:space="preserve">   </w:t>
      </w:r>
      <w:r>
        <w:rPr>
          <w:rFonts w:hint="eastAsia" w:ascii="宋体" w:hAnsi="宋体" w:cs="仿宋_GB2312"/>
          <w:color w:val="auto"/>
          <w:sz w:val="24"/>
          <w:szCs w:val="24"/>
        </w:rPr>
        <w:t>（某成员单位名称）为</w:t>
      </w:r>
      <w:r>
        <w:rPr>
          <w:rFonts w:hint="eastAsia" w:ascii="宋体" w:hAnsi="宋体" w:cs="仿宋_GB2312"/>
          <w:color w:val="auto"/>
          <w:sz w:val="24"/>
          <w:szCs w:val="24"/>
          <w:u w:val="single"/>
        </w:rPr>
        <w:t xml:space="preserve">     </w:t>
      </w:r>
      <w:r>
        <w:rPr>
          <w:rFonts w:hint="eastAsia" w:ascii="宋体" w:hAnsi="宋体" w:cs="仿宋_GB2312"/>
          <w:color w:val="auto"/>
          <w:sz w:val="24"/>
          <w:szCs w:val="24"/>
        </w:rPr>
        <w:t>（联合体名称）牵头人。</w:t>
      </w:r>
    </w:p>
    <w:p w14:paraId="57F7EA3A">
      <w:pPr>
        <w:pStyle w:val="8"/>
        <w:overflowPunct w:val="0"/>
        <w:spacing w:line="360" w:lineRule="auto"/>
        <w:ind w:firstLine="480" w:firstLineChars="200"/>
        <w:contextualSpacing/>
        <w:rPr>
          <w:rFonts w:ascii="宋体" w:hAnsi="宋体" w:cs="仿宋_GB2312"/>
          <w:color w:val="auto"/>
          <w:sz w:val="24"/>
          <w:szCs w:val="24"/>
        </w:rPr>
      </w:pPr>
      <w:r>
        <w:rPr>
          <w:rFonts w:hint="eastAsia" w:ascii="宋体" w:hAnsi="宋体" w:cs="仿宋_GB2312"/>
          <w:color w:val="auto"/>
          <w:sz w:val="24"/>
          <w:szCs w:val="24"/>
        </w:rPr>
        <w:t>2.联合体各成员授权牵头人代表联合体参加竞标活动，签署文件及对文件的盖章，提交和接收相关的资料、信息及指示，进行合同磋商活动，负责合同实施阶段的组织和协调工作，以及处理与本竞标项目有关的一切事宜。</w:t>
      </w:r>
    </w:p>
    <w:p w14:paraId="1B5DED58">
      <w:pPr>
        <w:pStyle w:val="8"/>
        <w:overflowPunct w:val="0"/>
        <w:spacing w:line="360" w:lineRule="auto"/>
        <w:ind w:firstLine="480" w:firstLineChars="200"/>
        <w:contextualSpacing/>
        <w:rPr>
          <w:rFonts w:ascii="宋体" w:hAnsi="宋体" w:cs="仿宋_GB2312"/>
          <w:color w:val="auto"/>
          <w:sz w:val="24"/>
          <w:szCs w:val="24"/>
        </w:rPr>
      </w:pPr>
      <w:r>
        <w:rPr>
          <w:rFonts w:hint="eastAsia" w:ascii="宋体" w:hAnsi="宋体" w:cs="仿宋_GB2312"/>
          <w:color w:val="auto"/>
          <w:sz w:val="24"/>
          <w:szCs w:val="24"/>
        </w:rPr>
        <w:t>3.联合体牵头人在本项目中签署和盖章的一切文件和处理的一切事宜，联合体各成员均予以承认。联合体各成员将严格按照磋商文件、响应文件和合同的要求全面履行义务，并向采购人承担连带责任。</w:t>
      </w:r>
    </w:p>
    <w:p w14:paraId="4E17FDCB">
      <w:pPr>
        <w:pStyle w:val="8"/>
        <w:overflowPunct w:val="0"/>
        <w:spacing w:line="360" w:lineRule="auto"/>
        <w:ind w:firstLine="480" w:firstLineChars="200"/>
        <w:contextualSpacing/>
        <w:rPr>
          <w:rFonts w:ascii="宋体" w:hAnsi="宋体" w:cs="仿宋_GB2312"/>
          <w:color w:val="auto"/>
          <w:sz w:val="24"/>
          <w:szCs w:val="24"/>
        </w:rPr>
      </w:pPr>
      <w:r>
        <w:rPr>
          <w:rFonts w:hint="eastAsia" w:ascii="宋体" w:hAnsi="宋体" w:cs="仿宋_GB2312"/>
          <w:color w:val="auto"/>
          <w:sz w:val="24"/>
          <w:szCs w:val="24"/>
        </w:rPr>
        <w:t>4.联合体各成员单位内部的职责分工如下：</w:t>
      </w:r>
      <w:r>
        <w:rPr>
          <w:rFonts w:hint="eastAsia" w:ascii="宋体" w:hAnsi="宋体" w:cs="仿宋_GB2312"/>
          <w:color w:val="auto"/>
          <w:sz w:val="24"/>
          <w:szCs w:val="24"/>
          <w:u w:val="single"/>
        </w:rPr>
        <w:t xml:space="preserve">       </w:t>
      </w:r>
      <w:r>
        <w:rPr>
          <w:rFonts w:hint="eastAsia" w:ascii="宋体" w:hAnsi="宋体" w:cs="仿宋_GB2312"/>
          <w:color w:val="auto"/>
          <w:sz w:val="24"/>
          <w:szCs w:val="24"/>
        </w:rPr>
        <w:t>。</w:t>
      </w:r>
    </w:p>
    <w:p w14:paraId="63C7FB5F">
      <w:pPr>
        <w:pStyle w:val="8"/>
        <w:overflowPunct w:val="0"/>
        <w:spacing w:line="360" w:lineRule="auto"/>
        <w:ind w:firstLine="480" w:firstLineChars="200"/>
        <w:contextualSpacing/>
        <w:rPr>
          <w:rFonts w:ascii="宋体" w:hAnsi="宋体" w:cs="仿宋_GB2312"/>
          <w:color w:val="auto"/>
          <w:sz w:val="24"/>
          <w:szCs w:val="24"/>
        </w:rPr>
      </w:pPr>
      <w:r>
        <w:rPr>
          <w:rFonts w:hint="eastAsia" w:ascii="宋体" w:hAnsi="宋体" w:cs="仿宋_GB2312"/>
          <w:color w:val="auto"/>
          <w:sz w:val="24"/>
          <w:szCs w:val="24"/>
        </w:rPr>
        <w:t>5.本</w:t>
      </w:r>
      <w:r>
        <w:rPr>
          <w:rFonts w:hint="eastAsia" w:ascii="宋体" w:hAnsi="宋体" w:cs="仿宋_GB2312"/>
          <w:color w:val="auto"/>
          <w:spacing w:val="-6"/>
          <w:sz w:val="24"/>
          <w:szCs w:val="24"/>
        </w:rPr>
        <w:t>协议书自所有成员单位法定代表人（单位负责人）或者其委托代理人签字或者盖单位章之日起生效，合同履行完毕后自动失效。</w:t>
      </w:r>
    </w:p>
    <w:p w14:paraId="152CBA63">
      <w:pPr>
        <w:pStyle w:val="8"/>
        <w:overflowPunct w:val="0"/>
        <w:spacing w:line="360" w:lineRule="auto"/>
        <w:ind w:firstLine="480" w:firstLineChars="200"/>
        <w:contextualSpacing/>
        <w:rPr>
          <w:rFonts w:ascii="宋体" w:hAnsi="宋体" w:cs="仿宋_GB2312"/>
          <w:color w:val="auto"/>
          <w:sz w:val="24"/>
          <w:szCs w:val="24"/>
        </w:rPr>
      </w:pPr>
      <w:r>
        <w:rPr>
          <w:rFonts w:hint="eastAsia" w:ascii="宋体" w:hAnsi="宋体" w:cs="仿宋_GB2312"/>
          <w:color w:val="auto"/>
          <w:sz w:val="24"/>
          <w:szCs w:val="24"/>
        </w:rPr>
        <w:t>6.本协议书一式</w:t>
      </w:r>
      <w:r>
        <w:rPr>
          <w:rFonts w:hint="eastAsia" w:ascii="宋体" w:hAnsi="宋体" w:cs="仿宋_GB2312"/>
          <w:color w:val="auto"/>
          <w:sz w:val="24"/>
          <w:szCs w:val="24"/>
          <w:u w:val="single"/>
        </w:rPr>
        <w:t xml:space="preserve"> </w:t>
      </w:r>
      <w:r>
        <w:rPr>
          <w:rFonts w:hint="eastAsia" w:ascii="宋体" w:hAnsi="宋体" w:cs="仿宋_GB2312"/>
          <w:color w:val="auto"/>
          <w:sz w:val="24"/>
          <w:szCs w:val="24"/>
          <w:u w:val="single"/>
        </w:rPr>
        <w:tab/>
      </w:r>
      <w:r>
        <w:rPr>
          <w:rFonts w:hint="eastAsia" w:ascii="宋体" w:hAnsi="宋体" w:cs="仿宋_GB2312"/>
          <w:color w:val="auto"/>
          <w:sz w:val="24"/>
          <w:szCs w:val="24"/>
        </w:rPr>
        <w:t>份，联合体成员和采购人各执一份。</w:t>
      </w:r>
    </w:p>
    <w:p w14:paraId="27D36C91">
      <w:pPr>
        <w:pStyle w:val="8"/>
        <w:overflowPunct w:val="0"/>
        <w:spacing w:line="360" w:lineRule="auto"/>
        <w:ind w:firstLine="480" w:firstLineChars="200"/>
        <w:contextualSpacing/>
        <w:rPr>
          <w:rFonts w:ascii="宋体" w:hAnsi="宋体" w:cs="仿宋_GB2312"/>
          <w:color w:val="auto"/>
          <w:sz w:val="24"/>
          <w:szCs w:val="24"/>
        </w:rPr>
      </w:pPr>
      <w:r>
        <w:rPr>
          <w:rFonts w:hint="eastAsia" w:ascii="宋体" w:hAnsi="宋体" w:cs="仿宋_GB2312"/>
          <w:color w:val="auto"/>
          <w:sz w:val="24"/>
          <w:szCs w:val="24"/>
        </w:rPr>
        <w:t>注：本协议书应附法定代表人身份证明书；有委托代理的，应附权委托书（格式自拟）。</w:t>
      </w:r>
    </w:p>
    <w:p w14:paraId="56A2E82D">
      <w:pPr>
        <w:pStyle w:val="8"/>
        <w:overflowPunct w:val="0"/>
        <w:spacing w:line="360" w:lineRule="auto"/>
        <w:ind w:firstLineChars="175"/>
        <w:contextualSpacing/>
        <w:rPr>
          <w:rFonts w:ascii="宋体" w:hAnsi="宋体" w:cs="仿宋_GB2312"/>
          <w:color w:val="auto"/>
          <w:sz w:val="24"/>
          <w:szCs w:val="24"/>
        </w:rPr>
      </w:pPr>
    </w:p>
    <w:p w14:paraId="532BFBB4">
      <w:pPr>
        <w:pStyle w:val="8"/>
        <w:overflowPunct w:val="0"/>
        <w:spacing w:line="360" w:lineRule="auto"/>
        <w:ind w:firstLine="0"/>
        <w:contextualSpacing/>
        <w:rPr>
          <w:rFonts w:ascii="宋体" w:hAnsi="宋体" w:cs="仿宋_GB2312"/>
          <w:color w:val="auto"/>
          <w:sz w:val="24"/>
          <w:szCs w:val="24"/>
        </w:rPr>
      </w:pPr>
      <w:r>
        <w:rPr>
          <w:rFonts w:hint="eastAsia" w:ascii="宋体" w:hAnsi="宋体" w:cs="仿宋_GB2312"/>
          <w:color w:val="auto"/>
          <w:sz w:val="24"/>
          <w:szCs w:val="24"/>
        </w:rPr>
        <w:t>联合体牵头人名称（电子签章）：</w:t>
      </w:r>
    </w:p>
    <w:p w14:paraId="5C680D57">
      <w:pPr>
        <w:pStyle w:val="8"/>
        <w:overflowPunct w:val="0"/>
        <w:spacing w:line="360" w:lineRule="auto"/>
        <w:ind w:firstLine="0"/>
        <w:contextualSpacing/>
        <w:rPr>
          <w:rFonts w:ascii="宋体" w:hAnsi="宋体" w:cs="仿宋_GB2312"/>
          <w:color w:val="auto"/>
          <w:sz w:val="24"/>
          <w:szCs w:val="24"/>
        </w:rPr>
      </w:pPr>
      <w:r>
        <w:rPr>
          <w:rFonts w:hint="eastAsia" w:ascii="宋体" w:hAnsi="宋体" w:cs="仿宋_GB2312"/>
          <w:color w:val="auto"/>
          <w:sz w:val="24"/>
          <w:szCs w:val="24"/>
        </w:rPr>
        <w:t>法定代表人或者其委托代理人签字（或者电子签名）：</w:t>
      </w:r>
    </w:p>
    <w:p w14:paraId="04E389B5">
      <w:pPr>
        <w:pStyle w:val="8"/>
        <w:overflowPunct w:val="0"/>
        <w:spacing w:line="360" w:lineRule="auto"/>
        <w:ind w:firstLine="0"/>
        <w:contextualSpacing/>
        <w:rPr>
          <w:rFonts w:ascii="宋体" w:hAnsi="宋体" w:cs="仿宋_GB2312"/>
          <w:color w:val="auto"/>
          <w:sz w:val="24"/>
          <w:szCs w:val="24"/>
        </w:rPr>
      </w:pPr>
    </w:p>
    <w:p w14:paraId="35029749">
      <w:pPr>
        <w:pStyle w:val="8"/>
        <w:overflowPunct w:val="0"/>
        <w:spacing w:line="360" w:lineRule="auto"/>
        <w:ind w:firstLine="0"/>
        <w:contextualSpacing/>
        <w:rPr>
          <w:rFonts w:ascii="宋体" w:hAnsi="宋体" w:cs="仿宋_GB2312"/>
          <w:color w:val="auto"/>
          <w:sz w:val="24"/>
          <w:szCs w:val="24"/>
        </w:rPr>
      </w:pPr>
      <w:r>
        <w:rPr>
          <w:rFonts w:hint="eastAsia" w:ascii="宋体" w:hAnsi="宋体" w:cs="仿宋_GB2312"/>
          <w:color w:val="auto"/>
          <w:sz w:val="24"/>
          <w:szCs w:val="24"/>
        </w:rPr>
        <w:t>联合体成员名称（电子签章）：</w:t>
      </w:r>
    </w:p>
    <w:p w14:paraId="28B2469B">
      <w:pPr>
        <w:pStyle w:val="8"/>
        <w:overflowPunct w:val="0"/>
        <w:spacing w:line="360" w:lineRule="auto"/>
        <w:ind w:firstLine="0"/>
        <w:contextualSpacing/>
        <w:rPr>
          <w:rFonts w:ascii="宋体" w:hAnsi="宋体" w:cs="仿宋_GB2312"/>
          <w:color w:val="auto"/>
          <w:sz w:val="24"/>
          <w:szCs w:val="24"/>
        </w:rPr>
      </w:pPr>
      <w:r>
        <w:rPr>
          <w:rFonts w:hint="eastAsia" w:ascii="宋体" w:hAnsi="宋体" w:cs="仿宋_GB2312"/>
          <w:color w:val="auto"/>
          <w:sz w:val="24"/>
          <w:szCs w:val="24"/>
        </w:rPr>
        <w:t>法定代表人或者其委托代理人签字（或者电子签名）：</w:t>
      </w:r>
    </w:p>
    <w:p w14:paraId="5F6D63BA">
      <w:pPr>
        <w:pStyle w:val="8"/>
        <w:overflowPunct w:val="0"/>
        <w:spacing w:line="360" w:lineRule="auto"/>
        <w:ind w:firstLine="0"/>
        <w:contextualSpacing/>
        <w:rPr>
          <w:rFonts w:ascii="宋体" w:hAnsi="宋体" w:cs="仿宋_GB2312"/>
          <w:color w:val="auto"/>
          <w:sz w:val="24"/>
          <w:szCs w:val="24"/>
        </w:rPr>
      </w:pPr>
    </w:p>
    <w:p w14:paraId="3F92B568">
      <w:pPr>
        <w:pStyle w:val="8"/>
        <w:overflowPunct w:val="0"/>
        <w:spacing w:line="360" w:lineRule="auto"/>
        <w:ind w:firstLine="0"/>
        <w:contextualSpacing/>
        <w:rPr>
          <w:rFonts w:ascii="宋体" w:hAnsi="宋体" w:cs="仿宋_GB2312"/>
          <w:color w:val="auto"/>
          <w:sz w:val="24"/>
          <w:szCs w:val="24"/>
        </w:rPr>
      </w:pPr>
      <w:r>
        <w:rPr>
          <w:rFonts w:hint="eastAsia" w:ascii="宋体" w:hAnsi="宋体" w:cs="仿宋_GB2312"/>
          <w:color w:val="auto"/>
          <w:sz w:val="24"/>
          <w:szCs w:val="24"/>
        </w:rPr>
        <w:t>联合体成员名称（电子签章）：</w:t>
      </w:r>
    </w:p>
    <w:p w14:paraId="697616EA">
      <w:pPr>
        <w:pStyle w:val="8"/>
        <w:overflowPunct w:val="0"/>
        <w:spacing w:line="360" w:lineRule="auto"/>
        <w:ind w:firstLine="0"/>
        <w:contextualSpacing/>
        <w:rPr>
          <w:rFonts w:ascii="宋体" w:hAnsi="宋体" w:cs="仿宋_GB2312"/>
          <w:color w:val="auto"/>
          <w:sz w:val="24"/>
          <w:szCs w:val="24"/>
        </w:rPr>
      </w:pPr>
      <w:r>
        <w:rPr>
          <w:rFonts w:hint="eastAsia" w:ascii="宋体" w:hAnsi="宋体" w:cs="仿宋_GB2312"/>
          <w:color w:val="auto"/>
          <w:sz w:val="24"/>
          <w:szCs w:val="24"/>
        </w:rPr>
        <w:t>法定代表人或者其委托代理人签字（或者电子签名）：</w:t>
      </w:r>
    </w:p>
    <w:p w14:paraId="1A568997">
      <w:pPr>
        <w:pStyle w:val="8"/>
        <w:overflowPunct w:val="0"/>
        <w:spacing w:line="360" w:lineRule="auto"/>
        <w:ind w:firstLine="0"/>
        <w:contextualSpacing/>
        <w:rPr>
          <w:rFonts w:ascii="宋体" w:hAnsi="宋体" w:cs="仿宋_GB2312"/>
          <w:color w:val="auto"/>
          <w:sz w:val="24"/>
          <w:szCs w:val="24"/>
        </w:rPr>
      </w:pPr>
      <w:r>
        <w:rPr>
          <w:rFonts w:hint="eastAsia" w:ascii="宋体" w:hAnsi="宋体" w:cs="仿宋_GB2312"/>
          <w:color w:val="auto"/>
          <w:sz w:val="24"/>
          <w:szCs w:val="24"/>
        </w:rPr>
        <w:t>……</w:t>
      </w:r>
    </w:p>
    <w:p w14:paraId="1ED8F103">
      <w:pPr>
        <w:spacing w:line="360" w:lineRule="auto"/>
        <w:ind w:right="480" w:firstLine="240" w:firstLineChars="100"/>
        <w:contextualSpacing/>
        <w:jc w:val="center"/>
        <w:rPr>
          <w:rFonts w:ascii="宋体" w:hAnsi="宋体" w:cs="仿宋_GB2312"/>
          <w:color w:val="auto"/>
          <w:sz w:val="24"/>
        </w:rPr>
      </w:pPr>
      <w:r>
        <w:rPr>
          <w:rFonts w:hint="eastAsia" w:ascii="宋体" w:hAnsi="宋体" w:cs="仿宋_GB2312"/>
          <w:color w:val="auto"/>
          <w:sz w:val="24"/>
        </w:rPr>
        <w:t xml:space="preserve"> </w:t>
      </w:r>
    </w:p>
    <w:p w14:paraId="6178A692">
      <w:pPr>
        <w:spacing w:line="360" w:lineRule="auto"/>
        <w:ind w:right="480" w:firstLine="240" w:firstLineChars="100"/>
        <w:contextualSpacing/>
        <w:jc w:val="center"/>
        <w:rPr>
          <w:rFonts w:ascii="仿宋_GB2312" w:hAnsi="仿宋_GB2312" w:eastAsia="仿宋_GB2312" w:cs="仿宋_GB2312"/>
          <w:color w:val="auto"/>
          <w:sz w:val="32"/>
          <w:szCs w:val="32"/>
        </w:rPr>
      </w:pPr>
      <w:r>
        <w:rPr>
          <w:rFonts w:hint="eastAsia" w:ascii="宋体" w:hAnsi="宋体" w:cs="仿宋_GB2312"/>
          <w:color w:val="auto"/>
          <w:sz w:val="24"/>
        </w:rPr>
        <w:t xml:space="preserve">                                                年  </w:t>
      </w:r>
      <w:r>
        <w:rPr>
          <w:rFonts w:hint="eastAsia" w:ascii="宋体" w:hAnsi="宋体" w:cs="仿宋_GB2312"/>
          <w:color w:val="auto"/>
          <w:sz w:val="24"/>
        </w:rPr>
        <w:tab/>
      </w:r>
      <w:r>
        <w:rPr>
          <w:rFonts w:hint="eastAsia" w:ascii="宋体" w:hAnsi="宋体" w:cs="仿宋_GB2312"/>
          <w:color w:val="auto"/>
          <w:sz w:val="24"/>
        </w:rPr>
        <w:t xml:space="preserve">月  </w:t>
      </w:r>
      <w:r>
        <w:rPr>
          <w:rFonts w:hint="eastAsia" w:ascii="宋体" w:hAnsi="宋体" w:cs="仿宋_GB2312"/>
          <w:color w:val="auto"/>
          <w:sz w:val="24"/>
        </w:rPr>
        <w:tab/>
      </w:r>
      <w:r>
        <w:rPr>
          <w:rFonts w:hint="eastAsia" w:ascii="宋体" w:hAnsi="宋体" w:cs="仿宋_GB2312"/>
          <w:color w:val="auto"/>
          <w:sz w:val="24"/>
        </w:rPr>
        <w:t>日</w:t>
      </w:r>
    </w:p>
    <w:p w14:paraId="1FDF2DD6">
      <w:pPr>
        <w:spacing w:line="360" w:lineRule="auto"/>
        <w:ind w:right="420"/>
        <w:contextualSpacing/>
        <w:jc w:val="left"/>
        <w:rPr>
          <w:rFonts w:ascii="宋体" w:hAnsi="宋体"/>
          <w:b/>
          <w:color w:val="auto"/>
          <w:sz w:val="32"/>
          <w:szCs w:val="32"/>
        </w:rPr>
      </w:pPr>
      <w:r>
        <w:rPr>
          <w:rFonts w:hint="eastAsia" w:ascii="宋体" w:hAnsi="宋体"/>
          <w:b/>
          <w:bCs/>
          <w:color w:val="auto"/>
          <w:sz w:val="32"/>
          <w:szCs w:val="32"/>
        </w:rPr>
        <w:t>二、</w:t>
      </w:r>
      <w:r>
        <w:rPr>
          <w:rFonts w:hint="eastAsia" w:ascii="宋体" w:hAnsi="宋体"/>
          <w:b/>
          <w:color w:val="auto"/>
          <w:sz w:val="32"/>
          <w:szCs w:val="32"/>
        </w:rPr>
        <w:t xml:space="preserve">报价文件格式 </w:t>
      </w:r>
    </w:p>
    <w:p w14:paraId="28AF288A">
      <w:pPr>
        <w:snapToGrid w:val="0"/>
        <w:spacing w:before="120" w:beforeLines="50" w:after="50" w:line="360" w:lineRule="auto"/>
        <w:jc w:val="left"/>
        <w:rPr>
          <w:rFonts w:ascii="宋体" w:hAnsi="宋体"/>
          <w:b/>
          <w:color w:val="auto"/>
          <w:sz w:val="32"/>
          <w:szCs w:val="32"/>
        </w:rPr>
      </w:pPr>
      <w:r>
        <w:rPr>
          <w:rFonts w:hint="eastAsia" w:ascii="宋体" w:hAnsi="宋体"/>
          <w:b/>
          <w:color w:val="auto"/>
          <w:sz w:val="32"/>
          <w:szCs w:val="32"/>
        </w:rPr>
        <w:t>1.报价文件封面格式</w:t>
      </w:r>
    </w:p>
    <w:p w14:paraId="03F63F53">
      <w:pPr>
        <w:snapToGrid w:val="0"/>
        <w:spacing w:before="120" w:beforeLines="50" w:after="50"/>
        <w:rPr>
          <w:rFonts w:ascii="宋体" w:hAnsi="宋体"/>
          <w:bCs/>
          <w:color w:val="auto"/>
          <w:sz w:val="32"/>
          <w:szCs w:val="20"/>
        </w:rPr>
      </w:pPr>
      <w:r>
        <w:rPr>
          <w:rFonts w:hint="eastAsia" w:ascii="宋体" w:hAnsi="宋体"/>
          <w:color w:val="auto"/>
          <w:sz w:val="24"/>
        </w:rPr>
        <w:t xml:space="preserve">                                                    </w:t>
      </w:r>
    </w:p>
    <w:p w14:paraId="605FD228">
      <w:pPr>
        <w:snapToGrid w:val="0"/>
        <w:spacing w:before="120" w:beforeLines="50" w:after="50"/>
        <w:jc w:val="center"/>
        <w:rPr>
          <w:rFonts w:ascii="宋体" w:hAnsi="宋体"/>
          <w:color w:val="auto"/>
          <w:sz w:val="24"/>
          <w:szCs w:val="20"/>
        </w:rPr>
      </w:pPr>
      <w:r>
        <w:rPr>
          <w:rFonts w:hint="eastAsia" w:ascii="宋体" w:hAnsi="宋体"/>
          <w:color w:val="auto"/>
          <w:sz w:val="44"/>
          <w:szCs w:val="44"/>
        </w:rPr>
        <w:t>电 子 响 应 文 件</w:t>
      </w:r>
    </w:p>
    <w:p w14:paraId="217E3FBC">
      <w:pPr>
        <w:snapToGrid w:val="0"/>
        <w:spacing w:before="120" w:beforeLines="50" w:after="50"/>
        <w:rPr>
          <w:rFonts w:ascii="宋体" w:hAnsi="宋体"/>
          <w:color w:val="auto"/>
          <w:sz w:val="24"/>
          <w:szCs w:val="20"/>
        </w:rPr>
      </w:pPr>
    </w:p>
    <w:p w14:paraId="45A32546">
      <w:pPr>
        <w:snapToGrid w:val="0"/>
        <w:spacing w:before="120" w:beforeLines="50" w:after="50"/>
        <w:rPr>
          <w:rFonts w:ascii="宋体" w:hAnsi="宋体"/>
          <w:color w:val="auto"/>
          <w:sz w:val="24"/>
          <w:szCs w:val="20"/>
        </w:rPr>
      </w:pPr>
    </w:p>
    <w:p w14:paraId="76455500">
      <w:pPr>
        <w:snapToGrid w:val="0"/>
        <w:spacing w:before="120" w:beforeLines="50" w:after="50"/>
        <w:jc w:val="center"/>
        <w:rPr>
          <w:rFonts w:ascii="方正小标宋简体" w:hAnsi="方正小标宋简体" w:eastAsia="方正小标宋简体" w:cs="方正小标宋简体"/>
          <w:bCs/>
          <w:color w:val="auto"/>
          <w:sz w:val="44"/>
          <w:szCs w:val="44"/>
        </w:rPr>
      </w:pPr>
      <w:r>
        <w:rPr>
          <w:rFonts w:hint="eastAsia" w:ascii="方正小标宋简体" w:hAnsi="方正小标宋简体" w:eastAsia="方正小标宋简体" w:cs="方正小标宋简体"/>
          <w:bCs/>
          <w:color w:val="auto"/>
          <w:sz w:val="44"/>
          <w:szCs w:val="44"/>
        </w:rPr>
        <w:t>报  价  文  件</w:t>
      </w:r>
    </w:p>
    <w:p w14:paraId="35934A26">
      <w:pPr>
        <w:snapToGrid w:val="0"/>
        <w:spacing w:before="120" w:beforeLines="50" w:after="50"/>
        <w:rPr>
          <w:rFonts w:ascii="宋体" w:hAnsi="宋体"/>
          <w:bCs/>
          <w:color w:val="auto"/>
          <w:sz w:val="24"/>
          <w:szCs w:val="20"/>
        </w:rPr>
      </w:pPr>
    </w:p>
    <w:p w14:paraId="7DE2629C">
      <w:pPr>
        <w:snapToGrid w:val="0"/>
        <w:spacing w:before="120" w:beforeLines="50" w:after="50"/>
        <w:rPr>
          <w:rFonts w:ascii="宋体" w:hAnsi="宋体"/>
          <w:bCs/>
          <w:color w:val="auto"/>
          <w:sz w:val="24"/>
          <w:szCs w:val="20"/>
        </w:rPr>
      </w:pPr>
    </w:p>
    <w:p w14:paraId="732F1B9E">
      <w:pPr>
        <w:snapToGrid w:val="0"/>
        <w:spacing w:before="120" w:beforeLines="50" w:after="50"/>
        <w:rPr>
          <w:rFonts w:ascii="宋体" w:hAnsi="宋体"/>
          <w:bCs/>
          <w:color w:val="auto"/>
          <w:sz w:val="24"/>
          <w:szCs w:val="20"/>
        </w:rPr>
      </w:pPr>
    </w:p>
    <w:p w14:paraId="05CA6B25">
      <w:pPr>
        <w:snapToGrid w:val="0"/>
        <w:spacing w:before="120" w:beforeLines="50" w:after="50"/>
        <w:rPr>
          <w:rFonts w:ascii="宋体" w:hAnsi="宋体"/>
          <w:bCs/>
          <w:color w:val="auto"/>
          <w:sz w:val="24"/>
          <w:szCs w:val="20"/>
        </w:rPr>
      </w:pPr>
    </w:p>
    <w:p w14:paraId="0F224133">
      <w:pPr>
        <w:snapToGrid w:val="0"/>
        <w:spacing w:before="120" w:beforeLines="50" w:after="50"/>
        <w:rPr>
          <w:rFonts w:ascii="宋体" w:hAnsi="宋体"/>
          <w:bCs/>
          <w:color w:val="auto"/>
          <w:sz w:val="24"/>
          <w:szCs w:val="20"/>
        </w:rPr>
      </w:pPr>
    </w:p>
    <w:p w14:paraId="3218FBAE">
      <w:pPr>
        <w:snapToGrid w:val="0"/>
        <w:spacing w:before="120" w:beforeLines="50" w:after="50"/>
        <w:ind w:firstLine="640" w:firstLineChars="200"/>
        <w:rPr>
          <w:rFonts w:ascii="宋体" w:hAnsi="宋体" w:cs="仿宋_GB2312"/>
          <w:bCs/>
          <w:color w:val="auto"/>
          <w:sz w:val="32"/>
          <w:szCs w:val="32"/>
        </w:rPr>
      </w:pPr>
      <w:r>
        <w:rPr>
          <w:rFonts w:hint="eastAsia" w:ascii="宋体" w:hAnsi="宋体" w:cs="仿宋_GB2312"/>
          <w:bCs/>
          <w:color w:val="auto"/>
          <w:sz w:val="32"/>
          <w:szCs w:val="32"/>
        </w:rPr>
        <w:t>项目名称：</w:t>
      </w:r>
    </w:p>
    <w:p w14:paraId="53B1E223">
      <w:pPr>
        <w:snapToGrid w:val="0"/>
        <w:spacing w:before="120" w:beforeLines="50" w:after="50"/>
        <w:ind w:firstLine="720" w:firstLineChars="225"/>
        <w:rPr>
          <w:rFonts w:ascii="宋体" w:hAnsi="宋体" w:cs="仿宋_GB2312"/>
          <w:bCs/>
          <w:color w:val="auto"/>
          <w:sz w:val="32"/>
          <w:szCs w:val="32"/>
        </w:rPr>
      </w:pPr>
    </w:p>
    <w:p w14:paraId="20AD1622">
      <w:pPr>
        <w:snapToGrid w:val="0"/>
        <w:spacing w:before="120" w:beforeLines="50" w:after="50"/>
        <w:ind w:firstLine="640" w:firstLineChars="200"/>
        <w:rPr>
          <w:rFonts w:ascii="宋体" w:hAnsi="宋体" w:cs="仿宋_GB2312"/>
          <w:bCs/>
          <w:color w:val="auto"/>
          <w:sz w:val="32"/>
          <w:szCs w:val="32"/>
        </w:rPr>
      </w:pPr>
      <w:r>
        <w:rPr>
          <w:rFonts w:hint="eastAsia" w:ascii="宋体" w:hAnsi="宋体" w:cs="仿宋_GB2312"/>
          <w:bCs/>
          <w:color w:val="auto"/>
          <w:sz w:val="32"/>
          <w:szCs w:val="32"/>
        </w:rPr>
        <w:t>项目编号：</w:t>
      </w:r>
    </w:p>
    <w:p w14:paraId="326DCE7E">
      <w:pPr>
        <w:snapToGrid w:val="0"/>
        <w:spacing w:before="120" w:beforeLines="50" w:after="50"/>
        <w:ind w:firstLine="720" w:firstLineChars="225"/>
        <w:rPr>
          <w:rFonts w:ascii="宋体" w:hAnsi="宋体" w:cs="仿宋_GB2312"/>
          <w:bCs/>
          <w:color w:val="auto"/>
          <w:sz w:val="32"/>
          <w:szCs w:val="32"/>
        </w:rPr>
      </w:pPr>
    </w:p>
    <w:p w14:paraId="33EB53CF">
      <w:pPr>
        <w:pStyle w:val="8"/>
        <w:snapToGrid w:val="0"/>
        <w:spacing w:before="50" w:after="50"/>
        <w:ind w:firstLine="640" w:firstLineChars="200"/>
        <w:rPr>
          <w:rFonts w:ascii="宋体" w:hAnsi="宋体" w:cs="仿宋_GB2312"/>
          <w:bCs/>
          <w:color w:val="auto"/>
          <w:sz w:val="32"/>
          <w:szCs w:val="32"/>
        </w:rPr>
      </w:pPr>
      <w:r>
        <w:rPr>
          <w:rFonts w:hint="eastAsia" w:ascii="宋体" w:hAnsi="宋体" w:cs="仿宋_GB2312"/>
          <w:bCs/>
          <w:color w:val="auto"/>
          <w:sz w:val="32"/>
          <w:szCs w:val="32"/>
        </w:rPr>
        <w:t>供应商名称：</w:t>
      </w:r>
    </w:p>
    <w:p w14:paraId="122619E7">
      <w:pPr>
        <w:pStyle w:val="8"/>
        <w:snapToGrid w:val="0"/>
        <w:spacing w:before="50" w:after="50"/>
        <w:ind w:firstLine="640" w:firstLineChars="200"/>
        <w:rPr>
          <w:rFonts w:ascii="宋体" w:hAnsi="宋体" w:cs="仿宋_GB2312"/>
          <w:bCs/>
          <w:color w:val="auto"/>
          <w:sz w:val="32"/>
          <w:szCs w:val="32"/>
        </w:rPr>
      </w:pPr>
    </w:p>
    <w:p w14:paraId="3D4469E0">
      <w:pPr>
        <w:pStyle w:val="8"/>
        <w:snapToGrid w:val="0"/>
        <w:spacing w:before="50" w:after="50"/>
        <w:ind w:firstLine="720" w:firstLineChars="225"/>
        <w:rPr>
          <w:rFonts w:ascii="宋体" w:hAnsi="宋体" w:cs="仿宋_GB2312"/>
          <w:bCs/>
          <w:color w:val="auto"/>
          <w:sz w:val="32"/>
          <w:szCs w:val="32"/>
        </w:rPr>
      </w:pPr>
    </w:p>
    <w:p w14:paraId="60C4444B">
      <w:pPr>
        <w:pStyle w:val="8"/>
        <w:snapToGrid w:val="0"/>
        <w:spacing w:before="50" w:after="50"/>
        <w:ind w:firstLine="0"/>
        <w:rPr>
          <w:rFonts w:ascii="宋体" w:hAnsi="宋体" w:cs="仿宋_GB2312"/>
          <w:bCs/>
          <w:color w:val="auto"/>
          <w:sz w:val="32"/>
          <w:szCs w:val="32"/>
        </w:rPr>
      </w:pPr>
    </w:p>
    <w:p w14:paraId="79E10BCE">
      <w:pPr>
        <w:pStyle w:val="8"/>
        <w:snapToGrid w:val="0"/>
        <w:spacing w:before="50" w:after="50"/>
        <w:ind w:firstLine="1280" w:firstLineChars="400"/>
        <w:rPr>
          <w:rFonts w:ascii="宋体" w:hAnsi="宋体" w:cs="仿宋_GB2312"/>
          <w:bCs/>
          <w:color w:val="auto"/>
          <w:sz w:val="32"/>
          <w:szCs w:val="32"/>
        </w:rPr>
      </w:pPr>
    </w:p>
    <w:p w14:paraId="1C7FCE67">
      <w:pPr>
        <w:snapToGrid w:val="0"/>
        <w:spacing w:before="120" w:beforeLines="50" w:after="50"/>
        <w:jc w:val="center"/>
        <w:rPr>
          <w:rFonts w:ascii="宋体" w:hAnsi="宋体" w:cs="仿宋_GB2312"/>
          <w:color w:val="auto"/>
          <w:sz w:val="32"/>
          <w:szCs w:val="32"/>
        </w:rPr>
      </w:pPr>
      <w:r>
        <w:rPr>
          <w:rFonts w:hint="eastAsia" w:ascii="宋体" w:hAnsi="宋体" w:cs="仿宋_GB2312"/>
          <w:color w:val="auto"/>
          <w:sz w:val="32"/>
          <w:szCs w:val="32"/>
        </w:rPr>
        <w:t>年    月    日</w:t>
      </w:r>
    </w:p>
    <w:p w14:paraId="323E1C95">
      <w:pPr>
        <w:snapToGrid w:val="0"/>
        <w:spacing w:before="120" w:beforeLines="50" w:after="50" w:line="360" w:lineRule="auto"/>
        <w:jc w:val="left"/>
        <w:rPr>
          <w:rFonts w:ascii="宋体" w:hAnsi="宋体"/>
          <w:b/>
          <w:bCs/>
          <w:color w:val="auto"/>
          <w:sz w:val="24"/>
        </w:rPr>
      </w:pPr>
      <w:r>
        <w:rPr>
          <w:rFonts w:hint="eastAsia" w:ascii="宋体" w:hAnsi="宋体"/>
          <w:color w:val="auto"/>
          <w:szCs w:val="21"/>
        </w:rPr>
        <w:br w:type="page"/>
      </w:r>
      <w:r>
        <w:rPr>
          <w:rFonts w:hint="eastAsia" w:ascii="宋体" w:hAnsi="宋体"/>
          <w:b/>
          <w:bCs/>
          <w:color w:val="auto"/>
          <w:sz w:val="32"/>
          <w:szCs w:val="32"/>
        </w:rPr>
        <w:t>2.报价文件目录</w:t>
      </w:r>
    </w:p>
    <w:p w14:paraId="557CFA57">
      <w:pPr>
        <w:spacing w:line="360" w:lineRule="auto"/>
        <w:contextualSpacing/>
        <w:jc w:val="left"/>
        <w:rPr>
          <w:rFonts w:ascii="宋体" w:hAnsi="宋体"/>
          <w:color w:val="auto"/>
          <w:sz w:val="32"/>
          <w:szCs w:val="32"/>
        </w:rPr>
      </w:pPr>
      <w:r>
        <w:rPr>
          <w:rFonts w:hint="eastAsia" w:ascii="宋体" w:hAnsi="宋体"/>
          <w:color w:val="auto"/>
          <w:sz w:val="32"/>
          <w:szCs w:val="32"/>
        </w:rPr>
        <w:t xml:space="preserve">  根据磋商文件规定及供应商提供的材料自行编写目录（部分格式后附）。</w:t>
      </w:r>
    </w:p>
    <w:p w14:paraId="7221C5F8">
      <w:pPr>
        <w:spacing w:line="360" w:lineRule="auto"/>
        <w:contextualSpacing/>
        <w:jc w:val="center"/>
        <w:rPr>
          <w:rFonts w:ascii="方正小标宋简体" w:hAnsi="方正小标宋简体" w:eastAsia="方正小标宋简体" w:cs="方正小标宋简体"/>
          <w:bCs/>
          <w:color w:val="auto"/>
          <w:sz w:val="32"/>
          <w:szCs w:val="32"/>
        </w:rPr>
      </w:pPr>
      <w:r>
        <w:rPr>
          <w:rFonts w:ascii="宋体" w:hAnsi="宋体"/>
          <w:b/>
          <w:bCs/>
          <w:color w:val="auto"/>
          <w:sz w:val="32"/>
          <w:szCs w:val="32"/>
        </w:rPr>
        <w:br w:type="page"/>
      </w:r>
      <w:r>
        <w:rPr>
          <w:rFonts w:hint="eastAsia" w:ascii="方正小标宋简体" w:hAnsi="方正小标宋简体" w:eastAsia="方正小标宋简体" w:cs="方正小标宋简体"/>
          <w:bCs/>
          <w:color w:val="auto"/>
          <w:sz w:val="44"/>
          <w:szCs w:val="44"/>
          <w:lang w:eastAsia="zh-CN"/>
        </w:rPr>
        <w:t>磋</w:t>
      </w:r>
      <w:r>
        <w:rPr>
          <w:rFonts w:hint="eastAsia" w:ascii="方正小标宋简体" w:hAnsi="方正小标宋简体" w:eastAsia="方正小标宋简体" w:cs="方正小标宋简体"/>
          <w:bCs/>
          <w:color w:val="auto"/>
          <w:sz w:val="44"/>
          <w:szCs w:val="44"/>
        </w:rPr>
        <w:t xml:space="preserve">  </w:t>
      </w:r>
      <w:r>
        <w:rPr>
          <w:rFonts w:hint="eastAsia" w:ascii="方正小标宋简体" w:hAnsi="方正小标宋简体" w:eastAsia="方正小标宋简体" w:cs="方正小标宋简体"/>
          <w:bCs/>
          <w:color w:val="auto"/>
          <w:sz w:val="44"/>
          <w:szCs w:val="44"/>
          <w:lang w:eastAsia="zh-CN"/>
        </w:rPr>
        <w:t>商</w:t>
      </w:r>
      <w:r>
        <w:rPr>
          <w:rFonts w:hint="eastAsia" w:ascii="方正小标宋简体" w:hAnsi="方正小标宋简体" w:eastAsia="方正小标宋简体" w:cs="方正小标宋简体"/>
          <w:bCs/>
          <w:color w:val="auto"/>
          <w:sz w:val="44"/>
          <w:szCs w:val="44"/>
        </w:rPr>
        <w:t xml:space="preserve">  报  价  表</w:t>
      </w:r>
    </w:p>
    <w:p w14:paraId="0D79B725">
      <w:pPr>
        <w:snapToGrid w:val="0"/>
        <w:spacing w:before="50" w:after="50" w:line="360" w:lineRule="auto"/>
        <w:rPr>
          <w:rFonts w:ascii="宋体" w:hAnsi="宋体" w:cs="仿宋_GB2312"/>
          <w:color w:val="auto"/>
          <w:sz w:val="24"/>
        </w:rPr>
      </w:pPr>
      <w:r>
        <w:rPr>
          <w:rFonts w:hint="eastAsia" w:ascii="宋体" w:hAnsi="宋体" w:cs="仿宋_GB2312"/>
          <w:color w:val="auto"/>
          <w:sz w:val="24"/>
        </w:rPr>
        <w:t>项目名称：</w:t>
      </w:r>
      <w:r>
        <w:rPr>
          <w:rFonts w:hint="eastAsia" w:ascii="宋体" w:hAnsi="宋体" w:cs="仿宋_GB2312"/>
          <w:color w:val="auto"/>
          <w:sz w:val="24"/>
          <w:u w:val="single"/>
        </w:rPr>
        <w:t xml:space="preserve">                </w:t>
      </w:r>
      <w:r>
        <w:rPr>
          <w:rFonts w:hint="eastAsia" w:ascii="宋体" w:hAnsi="宋体" w:cs="仿宋_GB2312"/>
          <w:color w:val="auto"/>
          <w:sz w:val="24"/>
        </w:rPr>
        <w:t>项目编号：</w:t>
      </w:r>
      <w:r>
        <w:rPr>
          <w:rFonts w:hint="eastAsia" w:ascii="宋体" w:hAnsi="宋体" w:cs="仿宋_GB2312"/>
          <w:color w:val="auto"/>
          <w:sz w:val="24"/>
          <w:u w:val="single"/>
        </w:rPr>
        <w:t xml:space="preserve">                   </w:t>
      </w:r>
      <w:r>
        <w:rPr>
          <w:rFonts w:hint="eastAsia" w:ascii="宋体" w:hAnsi="宋体" w:cs="仿宋_GB2312"/>
          <w:color w:val="auto"/>
          <w:sz w:val="24"/>
        </w:rPr>
        <w:t xml:space="preserve">     </w:t>
      </w:r>
    </w:p>
    <w:p w14:paraId="5C38FCC1">
      <w:pPr>
        <w:snapToGrid w:val="0"/>
        <w:spacing w:before="50" w:after="50" w:line="360" w:lineRule="auto"/>
        <w:rPr>
          <w:rFonts w:ascii="宋体" w:hAnsi="宋体" w:cs="仿宋_GB2312"/>
          <w:color w:val="auto"/>
          <w:sz w:val="24"/>
        </w:rPr>
      </w:pPr>
      <w:r>
        <w:rPr>
          <w:rFonts w:hint="eastAsia" w:ascii="宋体" w:hAnsi="宋体" w:cs="仿宋_GB2312"/>
          <w:color w:val="auto"/>
          <w:sz w:val="24"/>
        </w:rPr>
        <w:t>供应商名称：</w:t>
      </w:r>
      <w:r>
        <w:rPr>
          <w:rFonts w:hint="eastAsia" w:ascii="宋体" w:hAnsi="宋体" w:cs="仿宋_GB2312"/>
          <w:color w:val="auto"/>
          <w:sz w:val="24"/>
          <w:u w:val="single"/>
        </w:rPr>
        <w:t xml:space="preserve">                                           </w:t>
      </w:r>
      <w:r>
        <w:rPr>
          <w:rFonts w:hint="eastAsia" w:ascii="宋体" w:hAnsi="宋体" w:cs="仿宋_GB2312"/>
          <w:color w:val="auto"/>
          <w:sz w:val="24"/>
        </w:rPr>
        <w:t xml:space="preserve">   </w:t>
      </w:r>
    </w:p>
    <w:p w14:paraId="37F98213">
      <w:pPr>
        <w:snapToGrid w:val="0"/>
        <w:spacing w:before="50" w:after="50" w:line="360" w:lineRule="auto"/>
        <w:rPr>
          <w:rFonts w:ascii="宋体" w:hAnsi="宋体" w:cs="仿宋_GB2312"/>
          <w:color w:val="auto"/>
          <w:sz w:val="24"/>
        </w:rPr>
      </w:pPr>
      <w:r>
        <w:rPr>
          <w:rFonts w:hint="eastAsia" w:ascii="宋体" w:hAnsi="宋体" w:cs="仿宋_GB2312"/>
          <w:color w:val="auto"/>
          <w:sz w:val="24"/>
        </w:rPr>
        <w:t xml:space="preserve">                                               单位：元</w:t>
      </w:r>
    </w:p>
    <w:tbl>
      <w:tblPr>
        <w:tblStyle w:val="28"/>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920"/>
        <w:gridCol w:w="1090"/>
        <w:gridCol w:w="1111"/>
        <w:gridCol w:w="4827"/>
      </w:tblGrid>
      <w:tr w14:paraId="77992F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88" w:hRule="atLeast"/>
        </w:trPr>
        <w:tc>
          <w:tcPr>
            <w:tcW w:w="1073" w:type="pct"/>
            <w:tcBorders>
              <w:top w:val="single" w:color="auto" w:sz="4" w:space="0"/>
              <w:left w:val="single" w:color="auto" w:sz="4" w:space="0"/>
              <w:bottom w:val="single" w:color="auto" w:sz="4" w:space="0"/>
              <w:right w:val="single" w:color="auto" w:sz="4" w:space="0"/>
            </w:tcBorders>
            <w:vAlign w:val="center"/>
          </w:tcPr>
          <w:p w14:paraId="5FDA4C4D">
            <w:pPr>
              <w:spacing w:line="320" w:lineRule="exact"/>
              <w:jc w:val="center"/>
              <w:rPr>
                <w:rFonts w:ascii="宋体" w:hAnsi="宋体"/>
                <w:color w:val="auto"/>
              </w:rPr>
            </w:pPr>
            <w:r>
              <w:rPr>
                <w:rFonts w:hint="eastAsia" w:ascii="宋体" w:hAnsi="宋体"/>
                <w:color w:val="auto"/>
              </w:rPr>
              <w:t>标的名称</w:t>
            </w:r>
          </w:p>
        </w:tc>
        <w:tc>
          <w:tcPr>
            <w:tcW w:w="609" w:type="pct"/>
            <w:tcBorders>
              <w:top w:val="single" w:color="auto" w:sz="4" w:space="0"/>
              <w:left w:val="single" w:color="auto" w:sz="4" w:space="0"/>
              <w:bottom w:val="single" w:color="auto" w:sz="4" w:space="0"/>
              <w:right w:val="single" w:color="auto" w:sz="4" w:space="0"/>
            </w:tcBorders>
            <w:vAlign w:val="center"/>
          </w:tcPr>
          <w:p w14:paraId="7D7C83D8">
            <w:pPr>
              <w:spacing w:line="320" w:lineRule="exact"/>
              <w:jc w:val="center"/>
              <w:rPr>
                <w:rFonts w:ascii="宋体" w:hAnsi="宋体"/>
                <w:color w:val="auto"/>
              </w:rPr>
            </w:pPr>
            <w:r>
              <w:rPr>
                <w:rFonts w:hint="eastAsia" w:ascii="宋体" w:hAnsi="宋体"/>
                <w:color w:val="auto"/>
              </w:rPr>
              <w:t>数量</w:t>
            </w:r>
          </w:p>
        </w:tc>
        <w:tc>
          <w:tcPr>
            <w:tcW w:w="621" w:type="pct"/>
            <w:tcBorders>
              <w:top w:val="single" w:color="auto" w:sz="4" w:space="0"/>
              <w:left w:val="single" w:color="auto" w:sz="4" w:space="0"/>
              <w:bottom w:val="single" w:color="auto" w:sz="4" w:space="0"/>
              <w:right w:val="single" w:color="auto" w:sz="4" w:space="0"/>
            </w:tcBorders>
            <w:vAlign w:val="center"/>
          </w:tcPr>
          <w:p w14:paraId="4A5C1D00">
            <w:pPr>
              <w:spacing w:line="320" w:lineRule="exact"/>
              <w:jc w:val="center"/>
              <w:rPr>
                <w:rFonts w:ascii="宋体" w:hAnsi="宋体"/>
                <w:color w:val="auto"/>
              </w:rPr>
            </w:pPr>
            <w:r>
              <w:rPr>
                <w:rFonts w:hint="eastAsia" w:ascii="宋体" w:hAnsi="宋体"/>
                <w:color w:val="auto"/>
              </w:rPr>
              <w:t>单位</w:t>
            </w:r>
          </w:p>
        </w:tc>
        <w:tc>
          <w:tcPr>
            <w:tcW w:w="2695" w:type="pct"/>
            <w:tcBorders>
              <w:top w:val="single" w:color="auto" w:sz="4" w:space="0"/>
              <w:left w:val="nil"/>
              <w:bottom w:val="single" w:color="auto" w:sz="4" w:space="0"/>
              <w:right w:val="single" w:color="auto" w:sz="4" w:space="0"/>
            </w:tcBorders>
            <w:vAlign w:val="center"/>
          </w:tcPr>
          <w:p w14:paraId="2C235954">
            <w:pPr>
              <w:spacing w:line="320" w:lineRule="exact"/>
              <w:jc w:val="center"/>
              <w:rPr>
                <w:rFonts w:hint="eastAsia" w:ascii="宋体" w:hAnsi="宋体" w:eastAsia="宋体"/>
                <w:color w:val="auto"/>
                <w:lang w:eastAsia="zh-CN"/>
              </w:rPr>
            </w:pPr>
            <w:r>
              <w:rPr>
                <w:rFonts w:hint="eastAsia" w:ascii="宋体" w:hAnsi="宋体"/>
                <w:color w:val="auto"/>
                <w:lang w:eastAsia="zh-CN"/>
              </w:rPr>
              <w:t>备注</w:t>
            </w:r>
          </w:p>
        </w:tc>
      </w:tr>
      <w:tr w14:paraId="11BE44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98" w:hRule="atLeast"/>
        </w:trPr>
        <w:tc>
          <w:tcPr>
            <w:tcW w:w="1073" w:type="pct"/>
            <w:tcBorders>
              <w:top w:val="single" w:color="auto" w:sz="4" w:space="0"/>
              <w:left w:val="single" w:color="auto" w:sz="4" w:space="0"/>
              <w:bottom w:val="single" w:color="auto" w:sz="4" w:space="0"/>
              <w:right w:val="single" w:color="auto" w:sz="4" w:space="0"/>
            </w:tcBorders>
            <w:vAlign w:val="center"/>
          </w:tcPr>
          <w:p w14:paraId="20B75922">
            <w:pPr>
              <w:tabs>
                <w:tab w:val="left" w:pos="180"/>
                <w:tab w:val="left" w:pos="1620"/>
              </w:tabs>
              <w:spacing w:line="340" w:lineRule="exact"/>
              <w:jc w:val="center"/>
              <w:rPr>
                <w:rFonts w:ascii="宋体" w:hAnsi="宋体"/>
                <w:color w:val="auto"/>
              </w:rPr>
            </w:pPr>
          </w:p>
        </w:tc>
        <w:tc>
          <w:tcPr>
            <w:tcW w:w="609" w:type="pct"/>
            <w:tcBorders>
              <w:top w:val="single" w:color="auto" w:sz="4" w:space="0"/>
              <w:left w:val="single" w:color="auto" w:sz="4" w:space="0"/>
              <w:bottom w:val="single" w:color="auto" w:sz="4" w:space="0"/>
              <w:right w:val="single" w:color="auto" w:sz="4" w:space="0"/>
            </w:tcBorders>
            <w:vAlign w:val="center"/>
          </w:tcPr>
          <w:p w14:paraId="21E6896E">
            <w:pPr>
              <w:tabs>
                <w:tab w:val="left" w:pos="180"/>
                <w:tab w:val="left" w:pos="1620"/>
              </w:tabs>
              <w:spacing w:line="340" w:lineRule="exact"/>
              <w:jc w:val="center"/>
              <w:rPr>
                <w:rFonts w:ascii="宋体" w:hAnsi="宋体"/>
                <w:color w:val="auto"/>
              </w:rPr>
            </w:pPr>
          </w:p>
        </w:tc>
        <w:tc>
          <w:tcPr>
            <w:tcW w:w="621" w:type="pct"/>
            <w:tcBorders>
              <w:top w:val="single" w:color="auto" w:sz="4" w:space="0"/>
              <w:left w:val="single" w:color="auto" w:sz="4" w:space="0"/>
              <w:bottom w:val="single" w:color="auto" w:sz="4" w:space="0"/>
              <w:right w:val="single" w:color="auto" w:sz="4" w:space="0"/>
            </w:tcBorders>
            <w:vAlign w:val="center"/>
          </w:tcPr>
          <w:p w14:paraId="6117184A">
            <w:pPr>
              <w:widowControl/>
              <w:snapToGrid w:val="0"/>
              <w:spacing w:before="50" w:after="50" w:line="340" w:lineRule="exact"/>
              <w:jc w:val="center"/>
              <w:rPr>
                <w:rFonts w:ascii="宋体" w:hAnsi="宋体"/>
                <w:color w:val="auto"/>
              </w:rPr>
            </w:pPr>
          </w:p>
        </w:tc>
        <w:tc>
          <w:tcPr>
            <w:tcW w:w="2695" w:type="pct"/>
            <w:tcBorders>
              <w:top w:val="nil"/>
              <w:left w:val="nil"/>
              <w:bottom w:val="single" w:color="auto" w:sz="4" w:space="0"/>
              <w:right w:val="single" w:color="auto" w:sz="4" w:space="0"/>
            </w:tcBorders>
            <w:vAlign w:val="center"/>
          </w:tcPr>
          <w:p w14:paraId="1AB8FA61">
            <w:pPr>
              <w:snapToGrid w:val="0"/>
              <w:spacing w:before="50" w:after="50" w:line="340" w:lineRule="exact"/>
              <w:jc w:val="center"/>
              <w:rPr>
                <w:rFonts w:hint="eastAsia" w:ascii="宋体" w:hAnsi="宋体" w:eastAsia="宋体"/>
                <w:color w:val="auto"/>
                <w:lang w:eastAsia="zh-CN"/>
              </w:rPr>
            </w:pPr>
            <w:r>
              <w:rPr>
                <w:rFonts w:hint="eastAsia" w:ascii="宋体" w:hAnsi="宋体"/>
                <w:color w:val="auto"/>
                <w:lang w:eastAsia="zh-CN"/>
              </w:rPr>
              <w:t>具体服务内容详见“服务内容及要求响应表”</w:t>
            </w:r>
          </w:p>
        </w:tc>
      </w:tr>
      <w:tr w14:paraId="3DFBAF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71"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1B6E4FD3">
            <w:pPr>
              <w:spacing w:line="320" w:lineRule="exact"/>
              <w:rPr>
                <w:rFonts w:ascii="宋体" w:hAnsi="宋体"/>
                <w:color w:val="auto"/>
                <w:szCs w:val="21"/>
              </w:rPr>
            </w:pPr>
            <w:r>
              <w:rPr>
                <w:rFonts w:hint="eastAsia" w:ascii="宋体" w:hAnsi="宋体"/>
                <w:color w:val="auto"/>
                <w:szCs w:val="21"/>
              </w:rPr>
              <w:t>磋商报价：</w:t>
            </w:r>
            <w:r>
              <w:rPr>
                <w:rFonts w:hint="eastAsia" w:ascii="宋体" w:hAnsi="宋体" w:cs="宋体"/>
                <w:color w:val="auto"/>
                <w:szCs w:val="21"/>
              </w:rPr>
              <w:t>人民币（大写）</w:t>
            </w:r>
            <w:r>
              <w:rPr>
                <w:rFonts w:hint="eastAsia" w:ascii="宋体" w:hAnsi="宋体" w:cs="宋体"/>
                <w:color w:val="auto"/>
                <w:szCs w:val="21"/>
                <w:u w:val="single"/>
              </w:rPr>
              <w:t xml:space="preserve">                           </w:t>
            </w:r>
            <w:r>
              <w:rPr>
                <w:rFonts w:hint="eastAsia" w:ascii="宋体" w:hAnsi="宋体" w:cs="宋体"/>
                <w:color w:val="auto"/>
                <w:szCs w:val="21"/>
              </w:rPr>
              <w:t>（</w:t>
            </w:r>
            <w:r>
              <w:rPr>
                <w:rFonts w:hint="eastAsia" w:ascii="华文细黑" w:hAnsi="华文细黑" w:eastAsia="华文细黑" w:cs="华文细黑"/>
                <w:color w:val="auto"/>
                <w:szCs w:val="21"/>
              </w:rPr>
              <w:t>￥</w:t>
            </w:r>
            <w:r>
              <w:rPr>
                <w:rFonts w:hint="eastAsia" w:ascii="宋体" w:hAnsi="宋体" w:cs="宋体"/>
                <w:color w:val="auto"/>
                <w:szCs w:val="21"/>
                <w:u w:val="single"/>
              </w:rPr>
              <w:t xml:space="preserve">                 </w:t>
            </w:r>
            <w:r>
              <w:rPr>
                <w:rFonts w:hint="eastAsia" w:ascii="宋体" w:hAnsi="宋体" w:cs="宋体"/>
                <w:color w:val="auto"/>
                <w:szCs w:val="21"/>
              </w:rPr>
              <w:t>）</w:t>
            </w:r>
          </w:p>
        </w:tc>
      </w:tr>
      <w:tr w14:paraId="03B37E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71"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1D10BF36">
            <w:pPr>
              <w:spacing w:line="360" w:lineRule="exact"/>
              <w:rPr>
                <w:rFonts w:ascii="宋体" w:hAnsi="宋体" w:cs="宋体"/>
                <w:color w:val="auto"/>
                <w:szCs w:val="21"/>
                <w:highlight w:val="none"/>
              </w:rPr>
            </w:pPr>
            <w:r>
              <w:rPr>
                <w:rFonts w:hint="eastAsia" w:ascii="宋体" w:hAnsi="宋体" w:cs="宋体"/>
                <w:color w:val="auto"/>
                <w:szCs w:val="21"/>
                <w:highlight w:val="none"/>
              </w:rPr>
              <w:t>1.供应商竞标报价须为人民币报价，报价应全面包含服务费用、零配件及耗材、备品备件、标准附件、专用工具、每次上门维修服务工程师的人工费、差旅费、交通费，以及安装、调试、技术支持、检测检验、必要的保险费用、各项税费，同时还应包括本文件未具体列明但供应商认为必需的所有其他费用。对于本文件中未列明，而供应商认为必需的费用，也必须列入总报价中。在合同执行阶段，采购人将不予承担供应商未列入报价的任何项目费用，并视为该费用已包含在供应商提供的总报价内。</w:t>
            </w:r>
          </w:p>
          <w:p w14:paraId="1C9CA98B">
            <w:pPr>
              <w:spacing w:line="320" w:lineRule="exact"/>
              <w:rPr>
                <w:rFonts w:ascii="宋体" w:hAnsi="宋体"/>
                <w:color w:val="auto"/>
                <w:szCs w:val="21"/>
              </w:rPr>
            </w:pPr>
            <w:r>
              <w:rPr>
                <w:rFonts w:hint="eastAsia" w:ascii="宋体" w:hAnsi="宋体" w:cs="宋体"/>
                <w:color w:val="auto"/>
                <w:szCs w:val="21"/>
                <w:highlight w:val="none"/>
              </w:rPr>
              <w:t>2.本项目最高限价为人民币</w:t>
            </w:r>
            <w:r>
              <w:rPr>
                <w:rFonts w:hint="eastAsia" w:ascii="宋体" w:hAnsi="宋体" w:cs="宋体"/>
                <w:color w:val="auto"/>
                <w:szCs w:val="21"/>
                <w:highlight w:val="none"/>
                <w:lang w:eastAsia="zh-CN"/>
              </w:rPr>
              <w:t>玖</w:t>
            </w:r>
            <w:r>
              <w:rPr>
                <w:rFonts w:hint="eastAsia" w:ascii="宋体" w:hAnsi="宋体" w:cs="宋体"/>
                <w:color w:val="auto"/>
                <w:szCs w:val="21"/>
                <w:highlight w:val="none"/>
              </w:rPr>
              <w:t>拾</w:t>
            </w:r>
            <w:r>
              <w:rPr>
                <w:rFonts w:hint="eastAsia" w:ascii="宋体" w:hAnsi="宋体" w:cs="宋体"/>
                <w:color w:val="auto"/>
                <w:szCs w:val="21"/>
                <w:highlight w:val="none"/>
                <w:lang w:eastAsia="zh-CN"/>
              </w:rPr>
              <w:t>陆</w:t>
            </w:r>
            <w:r>
              <w:rPr>
                <w:rFonts w:hint="eastAsia" w:ascii="宋体" w:hAnsi="宋体" w:cs="宋体"/>
                <w:color w:val="auto"/>
                <w:szCs w:val="21"/>
                <w:highlight w:val="none"/>
              </w:rPr>
              <w:t>万元整（¥</w:t>
            </w:r>
            <w:r>
              <w:rPr>
                <w:rFonts w:hint="eastAsia" w:ascii="宋体" w:hAnsi="宋体" w:cs="宋体"/>
                <w:color w:val="auto"/>
                <w:szCs w:val="21"/>
                <w:highlight w:val="none"/>
                <w:lang w:val="en-US" w:eastAsia="zh-CN"/>
              </w:rPr>
              <w:t>960000</w:t>
            </w:r>
            <w:r>
              <w:rPr>
                <w:rFonts w:hint="eastAsia" w:ascii="宋体" w:hAnsi="宋体" w:cs="宋体"/>
                <w:color w:val="auto"/>
                <w:szCs w:val="21"/>
                <w:highlight w:val="none"/>
              </w:rPr>
              <w:t>.00），竞标报价超出最高限价的，响应文件作无效处理。</w:t>
            </w:r>
          </w:p>
        </w:tc>
      </w:tr>
    </w:tbl>
    <w:p w14:paraId="30D6A1AA">
      <w:pPr>
        <w:snapToGrid w:val="0"/>
        <w:spacing w:before="50" w:after="50" w:line="360" w:lineRule="auto"/>
        <w:jc w:val="left"/>
        <w:rPr>
          <w:rFonts w:ascii="宋体" w:hAnsi="宋体" w:cs="仿宋_GB2312"/>
          <w:color w:val="auto"/>
          <w:sz w:val="24"/>
        </w:rPr>
      </w:pPr>
      <w:r>
        <w:rPr>
          <w:rFonts w:hint="eastAsia" w:ascii="宋体" w:hAnsi="宋体" w:cs="仿宋_GB2312"/>
          <w:color w:val="auto"/>
          <w:sz w:val="24"/>
        </w:rPr>
        <w:t xml:space="preserve">注: </w:t>
      </w:r>
    </w:p>
    <w:p w14:paraId="12B3D16E">
      <w:pPr>
        <w:spacing w:line="360" w:lineRule="auto"/>
        <w:ind w:firstLine="480" w:firstLineChars="200"/>
        <w:contextualSpacing/>
        <w:jc w:val="left"/>
        <w:rPr>
          <w:rFonts w:ascii="宋体" w:hAnsi="宋体" w:cs="仿宋_GB2312"/>
          <w:color w:val="auto"/>
          <w:sz w:val="24"/>
        </w:rPr>
      </w:pPr>
      <w:r>
        <w:rPr>
          <w:rFonts w:hint="eastAsia" w:ascii="宋体" w:hAnsi="宋体"/>
          <w:color w:val="auto"/>
          <w:sz w:val="24"/>
        </w:rPr>
        <w:t>1.供应商的报价表必须加盖供应商电子签章并由法定代表人或者委托代理人签</w:t>
      </w:r>
      <w:r>
        <w:rPr>
          <w:rFonts w:hint="eastAsia" w:ascii="宋体" w:hAnsi="宋体" w:cs="仿宋_GB2312"/>
          <w:color w:val="auto"/>
          <w:sz w:val="24"/>
        </w:rPr>
        <w:t>字或者电子签名，</w:t>
      </w:r>
      <w:r>
        <w:rPr>
          <w:rFonts w:hint="eastAsia" w:ascii="宋体" w:hAnsi="宋体" w:cs="仿宋_GB2312"/>
          <w:b/>
          <w:color w:val="auto"/>
          <w:sz w:val="24"/>
        </w:rPr>
        <w:t>否则其响应文件按无效处理</w:t>
      </w:r>
      <w:r>
        <w:rPr>
          <w:rFonts w:hint="eastAsia" w:ascii="宋体" w:hAnsi="宋体" w:cs="仿宋_GB2312"/>
          <w:color w:val="auto"/>
          <w:sz w:val="24"/>
        </w:rPr>
        <w:t>。</w:t>
      </w:r>
    </w:p>
    <w:p w14:paraId="3502F5FE">
      <w:pPr>
        <w:spacing w:line="360" w:lineRule="auto"/>
        <w:ind w:firstLine="480" w:firstLineChars="200"/>
        <w:contextualSpacing/>
        <w:jc w:val="left"/>
        <w:rPr>
          <w:rFonts w:ascii="宋体" w:hAnsi="宋体" w:cs="仿宋_GB2312"/>
          <w:b/>
          <w:color w:val="auto"/>
          <w:sz w:val="24"/>
        </w:rPr>
      </w:pPr>
      <w:r>
        <w:rPr>
          <w:rFonts w:hint="eastAsia" w:ascii="宋体" w:hAnsi="宋体" w:cs="仿宋_GB2312"/>
          <w:bCs/>
          <w:color w:val="auto"/>
          <w:sz w:val="24"/>
        </w:rPr>
        <w:t>2.</w:t>
      </w:r>
      <w:r>
        <w:rPr>
          <w:rFonts w:hint="eastAsia" w:ascii="宋体" w:hAnsi="宋体" w:cs="仿宋_GB2312"/>
          <w:color w:val="auto"/>
          <w:sz w:val="24"/>
        </w:rPr>
        <w:t>报价一经涂改，应在涂改处加盖供应商公章或者加盖电子签章或者由法定代表人或者授权委托人签字</w:t>
      </w:r>
      <w:r>
        <w:rPr>
          <w:rFonts w:hint="eastAsia" w:ascii="宋体" w:hAnsi="宋体"/>
          <w:color w:val="auto"/>
          <w:sz w:val="24"/>
        </w:rPr>
        <w:t>（或者电子签名）</w:t>
      </w:r>
      <w:r>
        <w:rPr>
          <w:rFonts w:hint="eastAsia" w:ascii="宋体" w:hAnsi="宋体" w:cs="仿宋_GB2312"/>
          <w:b/>
          <w:color w:val="auto"/>
          <w:sz w:val="24"/>
        </w:rPr>
        <w:t>，否则其响应文件按无效处理。</w:t>
      </w:r>
    </w:p>
    <w:p w14:paraId="31CABB45">
      <w:pPr>
        <w:spacing w:line="360" w:lineRule="auto"/>
        <w:ind w:firstLine="480" w:firstLineChars="200"/>
        <w:contextualSpacing/>
        <w:jc w:val="left"/>
        <w:rPr>
          <w:rFonts w:ascii="宋体" w:hAnsi="宋体" w:cs="仿宋_GB2312"/>
          <w:b/>
          <w:color w:val="auto"/>
          <w:sz w:val="24"/>
        </w:rPr>
      </w:pPr>
      <w:r>
        <w:rPr>
          <w:rFonts w:hint="eastAsia" w:ascii="宋体" w:hAnsi="宋体" w:cs="仿宋_GB2312"/>
          <w:color w:val="auto"/>
          <w:sz w:val="24"/>
        </w:rPr>
        <w:t>3.如为联合体竞标,“供应商名称”处必须列明联合体各方名称，标注联合体牵头人名称，</w:t>
      </w:r>
      <w:r>
        <w:rPr>
          <w:rFonts w:hint="eastAsia" w:ascii="宋体" w:hAnsi="宋体" w:cs="仿宋_GB2312"/>
          <w:b/>
          <w:color w:val="auto"/>
          <w:sz w:val="24"/>
        </w:rPr>
        <w:t>否则其响应文件按无效处理。</w:t>
      </w:r>
    </w:p>
    <w:p w14:paraId="1700EAB5">
      <w:pPr>
        <w:spacing w:line="360" w:lineRule="auto"/>
        <w:ind w:firstLine="480" w:firstLineChars="200"/>
        <w:contextualSpacing/>
        <w:jc w:val="left"/>
        <w:rPr>
          <w:rFonts w:ascii="宋体" w:hAnsi="宋体" w:cs="仿宋_GB2312"/>
          <w:color w:val="auto"/>
          <w:sz w:val="24"/>
        </w:rPr>
      </w:pPr>
      <w:r>
        <w:rPr>
          <w:rFonts w:hint="eastAsia" w:ascii="宋体" w:hAnsi="宋体"/>
          <w:color w:val="auto"/>
          <w:sz w:val="24"/>
        </w:rPr>
        <w:t>4.如为联合体竞标，盖章处须加盖联合体牵头人公章（或电子签章）</w:t>
      </w:r>
      <w:r>
        <w:rPr>
          <w:rFonts w:hint="eastAsia" w:ascii="宋体" w:hAnsi="宋体" w:cs="仿宋_GB2312"/>
          <w:color w:val="auto"/>
          <w:sz w:val="24"/>
        </w:rPr>
        <w:t>，</w:t>
      </w:r>
      <w:r>
        <w:rPr>
          <w:rFonts w:hint="eastAsia" w:ascii="宋体" w:hAnsi="宋体" w:cs="仿宋_GB2312"/>
          <w:b/>
          <w:color w:val="auto"/>
          <w:sz w:val="24"/>
        </w:rPr>
        <w:t>否则其响应文件按无效处理。</w:t>
      </w:r>
    </w:p>
    <w:p w14:paraId="72E81F88">
      <w:pPr>
        <w:spacing w:line="360" w:lineRule="auto"/>
        <w:ind w:right="-817" w:rightChars="-389" w:firstLine="2640" w:firstLineChars="1100"/>
        <w:contextualSpacing/>
        <w:rPr>
          <w:rFonts w:ascii="宋体" w:hAnsi="宋体" w:cs="仿宋_GB2312"/>
          <w:color w:val="auto"/>
          <w:sz w:val="24"/>
        </w:rPr>
      </w:pPr>
      <w:r>
        <w:rPr>
          <w:rFonts w:hint="eastAsia" w:ascii="宋体" w:hAnsi="宋体" w:cs="仿宋_GB2312"/>
          <w:color w:val="auto"/>
          <w:sz w:val="24"/>
        </w:rPr>
        <w:t xml:space="preserve">法定代表人或者委托代理人（签字或者电子签名）：                    </w:t>
      </w:r>
    </w:p>
    <w:p w14:paraId="2100E9D5">
      <w:pPr>
        <w:snapToGrid w:val="0"/>
        <w:spacing w:before="50" w:after="50" w:line="360" w:lineRule="auto"/>
        <w:ind w:left="-3" w:leftChars="-15" w:right="-817" w:rightChars="-389" w:hanging="28" w:hangingChars="12"/>
        <w:jc w:val="center"/>
        <w:rPr>
          <w:rFonts w:ascii="宋体" w:hAnsi="宋体"/>
          <w:color w:val="auto"/>
          <w:sz w:val="24"/>
        </w:rPr>
      </w:pPr>
      <w:r>
        <w:rPr>
          <w:rFonts w:hint="eastAsia" w:ascii="宋体" w:hAnsi="宋体" w:cs="仿宋_GB2312"/>
          <w:color w:val="auto"/>
          <w:sz w:val="24"/>
        </w:rPr>
        <w:t>供应商</w:t>
      </w:r>
      <w:r>
        <w:rPr>
          <w:rFonts w:hint="eastAsia" w:ascii="宋体" w:hAnsi="宋体" w:cs="仿宋_GB2312"/>
          <w:color w:val="auto"/>
          <w:sz w:val="24"/>
          <w:lang w:eastAsia="zh-CN"/>
        </w:rPr>
        <w:t>名称（</w:t>
      </w:r>
      <w:r>
        <w:rPr>
          <w:rFonts w:hint="eastAsia" w:ascii="宋体" w:hAnsi="宋体" w:cs="仿宋_GB2312"/>
          <w:color w:val="auto"/>
          <w:sz w:val="24"/>
        </w:rPr>
        <w:t>电子签章</w:t>
      </w:r>
      <w:r>
        <w:rPr>
          <w:rFonts w:hint="eastAsia" w:ascii="宋体" w:hAnsi="宋体" w:cs="仿宋_GB2312"/>
          <w:color w:val="auto"/>
          <w:sz w:val="24"/>
          <w:lang w:eastAsia="zh-CN"/>
        </w:rPr>
        <w:t>）</w:t>
      </w:r>
      <w:r>
        <w:rPr>
          <w:rFonts w:hint="eastAsia" w:ascii="宋体" w:hAnsi="宋体" w:cs="仿宋_GB2312"/>
          <w:color w:val="auto"/>
          <w:sz w:val="24"/>
        </w:rPr>
        <w:t>：</w:t>
      </w:r>
    </w:p>
    <w:p w14:paraId="56DDA60B">
      <w:pPr>
        <w:spacing w:line="360" w:lineRule="auto"/>
        <w:ind w:right="420"/>
        <w:contextualSpacing/>
        <w:jc w:val="left"/>
        <w:rPr>
          <w:rFonts w:ascii="宋体" w:hAnsi="宋体"/>
          <w:b/>
          <w:color w:val="auto"/>
          <w:sz w:val="32"/>
          <w:szCs w:val="32"/>
        </w:rPr>
      </w:pPr>
      <w:r>
        <w:rPr>
          <w:rFonts w:hint="eastAsia" w:ascii="宋体" w:hAnsi="宋体"/>
          <w:color w:val="auto"/>
          <w:sz w:val="24"/>
        </w:rPr>
        <w:t xml:space="preserve">                              日期：    年   月   日</w:t>
      </w:r>
      <w:r>
        <w:rPr>
          <w:rFonts w:ascii="宋体" w:hAnsi="宋体"/>
          <w:b/>
          <w:bCs/>
          <w:color w:val="auto"/>
          <w:sz w:val="32"/>
          <w:szCs w:val="32"/>
        </w:rPr>
        <w:br w:type="page"/>
      </w:r>
      <w:r>
        <w:rPr>
          <w:rFonts w:hint="eastAsia" w:ascii="宋体" w:hAnsi="宋体"/>
          <w:b/>
          <w:bCs/>
          <w:color w:val="auto"/>
          <w:sz w:val="32"/>
          <w:szCs w:val="32"/>
        </w:rPr>
        <w:t>三、</w:t>
      </w:r>
      <w:r>
        <w:rPr>
          <w:rFonts w:hint="eastAsia" w:ascii="宋体" w:hAnsi="宋体"/>
          <w:b/>
          <w:color w:val="auto"/>
          <w:sz w:val="32"/>
          <w:szCs w:val="32"/>
        </w:rPr>
        <w:t xml:space="preserve">商务技术文件格式 </w:t>
      </w:r>
    </w:p>
    <w:p w14:paraId="2A9711FC">
      <w:pPr>
        <w:snapToGrid w:val="0"/>
        <w:spacing w:before="120" w:beforeLines="50" w:after="50" w:line="360" w:lineRule="auto"/>
        <w:jc w:val="left"/>
        <w:rPr>
          <w:rFonts w:ascii="宋体" w:hAnsi="宋体"/>
          <w:b/>
          <w:color w:val="auto"/>
          <w:sz w:val="32"/>
          <w:szCs w:val="32"/>
        </w:rPr>
      </w:pPr>
      <w:r>
        <w:rPr>
          <w:rFonts w:hint="eastAsia" w:ascii="宋体" w:hAnsi="宋体"/>
          <w:b/>
          <w:color w:val="auto"/>
          <w:sz w:val="32"/>
          <w:szCs w:val="32"/>
        </w:rPr>
        <w:t>1.商务技术文件封面格式</w:t>
      </w:r>
    </w:p>
    <w:p w14:paraId="4C149A06">
      <w:pPr>
        <w:snapToGrid w:val="0"/>
        <w:spacing w:before="120" w:beforeLines="50" w:after="50"/>
        <w:rPr>
          <w:rFonts w:ascii="宋体" w:hAnsi="宋体"/>
          <w:bCs/>
          <w:color w:val="auto"/>
          <w:sz w:val="32"/>
          <w:szCs w:val="20"/>
        </w:rPr>
      </w:pPr>
      <w:r>
        <w:rPr>
          <w:rFonts w:hint="eastAsia" w:ascii="宋体" w:hAnsi="宋体"/>
          <w:color w:val="auto"/>
          <w:sz w:val="24"/>
        </w:rPr>
        <w:t xml:space="preserve">                                                    </w:t>
      </w:r>
    </w:p>
    <w:p w14:paraId="4F877F32">
      <w:pPr>
        <w:snapToGrid w:val="0"/>
        <w:spacing w:before="120" w:beforeLines="50" w:after="50"/>
        <w:jc w:val="center"/>
        <w:rPr>
          <w:rFonts w:ascii="宋体" w:hAnsi="宋体"/>
          <w:color w:val="auto"/>
          <w:sz w:val="24"/>
          <w:szCs w:val="20"/>
        </w:rPr>
      </w:pPr>
      <w:r>
        <w:rPr>
          <w:rFonts w:hint="eastAsia" w:ascii="宋体" w:hAnsi="宋体"/>
          <w:color w:val="auto"/>
          <w:sz w:val="44"/>
          <w:szCs w:val="44"/>
        </w:rPr>
        <w:t>电 子 响 应 文 件</w:t>
      </w:r>
    </w:p>
    <w:p w14:paraId="18122168">
      <w:pPr>
        <w:snapToGrid w:val="0"/>
        <w:spacing w:before="120" w:beforeLines="50" w:after="50"/>
        <w:rPr>
          <w:rFonts w:ascii="宋体" w:hAnsi="宋体"/>
          <w:color w:val="auto"/>
          <w:sz w:val="24"/>
          <w:szCs w:val="20"/>
        </w:rPr>
      </w:pPr>
    </w:p>
    <w:p w14:paraId="7A32D95B">
      <w:pPr>
        <w:snapToGrid w:val="0"/>
        <w:spacing w:before="120" w:beforeLines="50" w:after="50"/>
        <w:rPr>
          <w:rFonts w:ascii="宋体" w:hAnsi="宋体"/>
          <w:color w:val="auto"/>
          <w:sz w:val="24"/>
          <w:szCs w:val="20"/>
        </w:rPr>
      </w:pPr>
    </w:p>
    <w:p w14:paraId="7055CE36">
      <w:pPr>
        <w:snapToGrid w:val="0"/>
        <w:spacing w:before="120" w:beforeLines="50" w:after="50"/>
        <w:jc w:val="center"/>
        <w:rPr>
          <w:rFonts w:ascii="方正小标宋简体" w:hAnsi="方正小标宋简体" w:eastAsia="方正小标宋简体" w:cs="方正小标宋简体"/>
          <w:bCs/>
          <w:color w:val="auto"/>
          <w:sz w:val="44"/>
          <w:szCs w:val="44"/>
        </w:rPr>
      </w:pPr>
      <w:r>
        <w:rPr>
          <w:rFonts w:hint="eastAsia" w:ascii="方正小标宋简体" w:hAnsi="方正小标宋简体" w:eastAsia="方正小标宋简体" w:cs="方正小标宋简体"/>
          <w:bCs/>
          <w:color w:val="auto"/>
          <w:sz w:val="44"/>
          <w:szCs w:val="44"/>
        </w:rPr>
        <w:t>商  务  技  术  文  件</w:t>
      </w:r>
    </w:p>
    <w:p w14:paraId="37A2BC83">
      <w:pPr>
        <w:snapToGrid w:val="0"/>
        <w:spacing w:before="120" w:beforeLines="50" w:after="50"/>
        <w:rPr>
          <w:rFonts w:ascii="宋体" w:hAnsi="宋体"/>
          <w:bCs/>
          <w:color w:val="auto"/>
          <w:sz w:val="24"/>
          <w:szCs w:val="20"/>
        </w:rPr>
      </w:pPr>
    </w:p>
    <w:p w14:paraId="7A5DEF33">
      <w:pPr>
        <w:snapToGrid w:val="0"/>
        <w:spacing w:before="120" w:beforeLines="50" w:after="50"/>
        <w:rPr>
          <w:rFonts w:ascii="宋体" w:hAnsi="宋体"/>
          <w:bCs/>
          <w:color w:val="auto"/>
          <w:sz w:val="24"/>
          <w:szCs w:val="20"/>
        </w:rPr>
      </w:pPr>
    </w:p>
    <w:p w14:paraId="2445B870">
      <w:pPr>
        <w:snapToGrid w:val="0"/>
        <w:spacing w:before="120" w:beforeLines="50" w:after="50"/>
        <w:rPr>
          <w:rFonts w:ascii="宋体" w:hAnsi="宋体"/>
          <w:bCs/>
          <w:color w:val="auto"/>
          <w:sz w:val="24"/>
          <w:szCs w:val="20"/>
        </w:rPr>
      </w:pPr>
    </w:p>
    <w:p w14:paraId="7B1EA75B">
      <w:pPr>
        <w:snapToGrid w:val="0"/>
        <w:spacing w:before="120" w:beforeLines="50" w:after="50"/>
        <w:rPr>
          <w:rFonts w:ascii="宋体" w:hAnsi="宋体"/>
          <w:bCs/>
          <w:color w:val="auto"/>
          <w:sz w:val="24"/>
          <w:szCs w:val="20"/>
        </w:rPr>
      </w:pPr>
    </w:p>
    <w:p w14:paraId="16889EE4">
      <w:pPr>
        <w:snapToGrid w:val="0"/>
        <w:spacing w:before="120" w:beforeLines="50" w:after="50"/>
        <w:rPr>
          <w:rFonts w:ascii="宋体" w:hAnsi="宋体"/>
          <w:bCs/>
          <w:color w:val="auto"/>
          <w:sz w:val="24"/>
          <w:szCs w:val="20"/>
        </w:rPr>
      </w:pPr>
    </w:p>
    <w:p w14:paraId="10AEA164">
      <w:pPr>
        <w:snapToGrid w:val="0"/>
        <w:spacing w:before="120" w:beforeLines="50" w:after="50"/>
        <w:ind w:firstLine="640" w:firstLineChars="200"/>
        <w:rPr>
          <w:rFonts w:ascii="宋体" w:hAnsi="宋体" w:cs="仿宋_GB2312"/>
          <w:bCs/>
          <w:color w:val="auto"/>
          <w:sz w:val="32"/>
          <w:szCs w:val="32"/>
        </w:rPr>
      </w:pPr>
      <w:r>
        <w:rPr>
          <w:rFonts w:hint="eastAsia" w:ascii="宋体" w:hAnsi="宋体" w:cs="仿宋_GB2312"/>
          <w:bCs/>
          <w:color w:val="auto"/>
          <w:sz w:val="32"/>
          <w:szCs w:val="32"/>
        </w:rPr>
        <w:t>项目名称：</w:t>
      </w:r>
    </w:p>
    <w:p w14:paraId="56DFCA04">
      <w:pPr>
        <w:snapToGrid w:val="0"/>
        <w:spacing w:before="120" w:beforeLines="50" w:after="50"/>
        <w:ind w:firstLine="720" w:firstLineChars="225"/>
        <w:rPr>
          <w:rFonts w:ascii="宋体" w:hAnsi="宋体" w:cs="仿宋_GB2312"/>
          <w:bCs/>
          <w:color w:val="auto"/>
          <w:sz w:val="32"/>
          <w:szCs w:val="32"/>
        </w:rPr>
      </w:pPr>
    </w:p>
    <w:p w14:paraId="4C1932C0">
      <w:pPr>
        <w:snapToGrid w:val="0"/>
        <w:spacing w:before="120" w:beforeLines="50" w:after="50"/>
        <w:ind w:firstLine="640" w:firstLineChars="200"/>
        <w:rPr>
          <w:rFonts w:ascii="宋体" w:hAnsi="宋体" w:cs="仿宋_GB2312"/>
          <w:bCs/>
          <w:color w:val="auto"/>
          <w:sz w:val="32"/>
          <w:szCs w:val="32"/>
        </w:rPr>
      </w:pPr>
      <w:r>
        <w:rPr>
          <w:rFonts w:hint="eastAsia" w:ascii="宋体" w:hAnsi="宋体" w:cs="仿宋_GB2312"/>
          <w:bCs/>
          <w:color w:val="auto"/>
          <w:sz w:val="32"/>
          <w:szCs w:val="32"/>
        </w:rPr>
        <w:t>项目编号：</w:t>
      </w:r>
    </w:p>
    <w:p w14:paraId="78DDEE04">
      <w:pPr>
        <w:snapToGrid w:val="0"/>
        <w:spacing w:before="120" w:beforeLines="50" w:after="50"/>
        <w:ind w:firstLine="707" w:firstLineChars="221"/>
        <w:rPr>
          <w:rFonts w:ascii="宋体" w:hAnsi="宋体" w:cs="仿宋_GB2312"/>
          <w:bCs/>
          <w:color w:val="auto"/>
          <w:sz w:val="32"/>
          <w:szCs w:val="32"/>
        </w:rPr>
      </w:pPr>
    </w:p>
    <w:p w14:paraId="51BFBCA6">
      <w:pPr>
        <w:pStyle w:val="8"/>
        <w:snapToGrid w:val="0"/>
        <w:spacing w:before="50" w:after="50"/>
        <w:ind w:firstLine="640" w:firstLineChars="200"/>
        <w:rPr>
          <w:rFonts w:ascii="宋体" w:hAnsi="宋体" w:cs="仿宋_GB2312"/>
          <w:bCs/>
          <w:color w:val="auto"/>
          <w:sz w:val="32"/>
          <w:szCs w:val="32"/>
        </w:rPr>
      </w:pPr>
      <w:r>
        <w:rPr>
          <w:rFonts w:hint="eastAsia" w:ascii="宋体" w:hAnsi="宋体" w:cs="仿宋_GB2312"/>
          <w:bCs/>
          <w:color w:val="auto"/>
          <w:sz w:val="32"/>
          <w:szCs w:val="32"/>
        </w:rPr>
        <w:t>供应商名称：</w:t>
      </w:r>
    </w:p>
    <w:p w14:paraId="0651B604">
      <w:pPr>
        <w:pStyle w:val="8"/>
        <w:snapToGrid w:val="0"/>
        <w:spacing w:before="50" w:after="50"/>
        <w:ind w:firstLine="640" w:firstLineChars="200"/>
        <w:rPr>
          <w:rFonts w:ascii="宋体" w:hAnsi="宋体" w:cs="仿宋_GB2312"/>
          <w:bCs/>
          <w:color w:val="auto"/>
          <w:sz w:val="32"/>
          <w:szCs w:val="32"/>
        </w:rPr>
      </w:pPr>
    </w:p>
    <w:p w14:paraId="4353F354">
      <w:pPr>
        <w:pStyle w:val="8"/>
        <w:snapToGrid w:val="0"/>
        <w:spacing w:before="50" w:after="50"/>
        <w:ind w:firstLine="720" w:firstLineChars="225"/>
        <w:rPr>
          <w:rFonts w:ascii="宋体" w:hAnsi="宋体" w:cs="仿宋_GB2312"/>
          <w:bCs/>
          <w:color w:val="auto"/>
          <w:sz w:val="32"/>
          <w:szCs w:val="32"/>
        </w:rPr>
      </w:pPr>
    </w:p>
    <w:p w14:paraId="43381FA0">
      <w:pPr>
        <w:pStyle w:val="8"/>
        <w:snapToGrid w:val="0"/>
        <w:spacing w:before="50" w:after="50"/>
        <w:ind w:firstLine="0"/>
        <w:rPr>
          <w:rFonts w:ascii="宋体" w:hAnsi="宋体" w:cs="仿宋_GB2312"/>
          <w:bCs/>
          <w:color w:val="auto"/>
          <w:sz w:val="32"/>
          <w:szCs w:val="32"/>
        </w:rPr>
      </w:pPr>
    </w:p>
    <w:p w14:paraId="19278BE2">
      <w:pPr>
        <w:pStyle w:val="8"/>
        <w:snapToGrid w:val="0"/>
        <w:spacing w:before="50" w:after="50"/>
        <w:ind w:firstLine="1280" w:firstLineChars="400"/>
        <w:rPr>
          <w:rFonts w:ascii="宋体" w:hAnsi="宋体" w:cs="仿宋_GB2312"/>
          <w:bCs/>
          <w:color w:val="auto"/>
          <w:sz w:val="32"/>
          <w:szCs w:val="32"/>
        </w:rPr>
      </w:pPr>
    </w:p>
    <w:p w14:paraId="690944E2">
      <w:pPr>
        <w:snapToGrid w:val="0"/>
        <w:spacing w:before="120" w:beforeLines="50" w:after="50"/>
        <w:jc w:val="center"/>
        <w:rPr>
          <w:rFonts w:ascii="宋体" w:hAnsi="宋体" w:cs="仿宋_GB2312"/>
          <w:color w:val="auto"/>
          <w:sz w:val="32"/>
          <w:szCs w:val="32"/>
        </w:rPr>
      </w:pPr>
      <w:r>
        <w:rPr>
          <w:rFonts w:hint="eastAsia" w:ascii="宋体" w:hAnsi="宋体" w:cs="仿宋_GB2312"/>
          <w:color w:val="auto"/>
          <w:sz w:val="32"/>
          <w:szCs w:val="32"/>
        </w:rPr>
        <w:t>年    月    日</w:t>
      </w:r>
    </w:p>
    <w:p w14:paraId="3F9DC837">
      <w:pPr>
        <w:snapToGrid w:val="0"/>
        <w:spacing w:before="120" w:beforeLines="50" w:after="50" w:line="360" w:lineRule="auto"/>
        <w:ind w:left="142"/>
        <w:jc w:val="left"/>
        <w:rPr>
          <w:rFonts w:ascii="宋体" w:hAnsi="宋体"/>
          <w:b/>
          <w:bCs/>
          <w:color w:val="auto"/>
          <w:sz w:val="24"/>
        </w:rPr>
      </w:pPr>
      <w:r>
        <w:rPr>
          <w:rFonts w:ascii="宋体" w:hAnsi="宋体"/>
          <w:color w:val="auto"/>
          <w:sz w:val="24"/>
        </w:rPr>
        <w:br w:type="page"/>
      </w:r>
      <w:r>
        <w:rPr>
          <w:rFonts w:hint="eastAsia" w:ascii="宋体" w:hAnsi="宋体"/>
          <w:b/>
          <w:bCs/>
          <w:color w:val="auto"/>
          <w:sz w:val="32"/>
          <w:szCs w:val="32"/>
        </w:rPr>
        <w:t>2.商务技术文件目录</w:t>
      </w:r>
    </w:p>
    <w:p w14:paraId="4145AE2E">
      <w:pPr>
        <w:snapToGrid w:val="0"/>
        <w:spacing w:before="120" w:beforeLines="50" w:after="50" w:line="360" w:lineRule="auto"/>
        <w:ind w:left="142"/>
        <w:jc w:val="left"/>
        <w:rPr>
          <w:rFonts w:ascii="宋体" w:hAnsi="宋体"/>
          <w:b/>
          <w:bCs/>
          <w:color w:val="auto"/>
          <w:sz w:val="24"/>
        </w:rPr>
      </w:pPr>
      <w:r>
        <w:rPr>
          <w:rFonts w:hint="eastAsia" w:ascii="宋体" w:hAnsi="宋体"/>
          <w:b/>
          <w:bCs/>
          <w:color w:val="auto"/>
          <w:sz w:val="24"/>
        </w:rPr>
        <w:t xml:space="preserve">   </w:t>
      </w:r>
      <w:r>
        <w:rPr>
          <w:rFonts w:hint="eastAsia" w:ascii="宋体" w:hAnsi="宋体"/>
          <w:color w:val="auto"/>
          <w:sz w:val="32"/>
          <w:szCs w:val="32"/>
        </w:rPr>
        <w:t>根据磋商文件规定及供应商提供的材料自行编写目录（部分格式后附）。</w:t>
      </w:r>
    </w:p>
    <w:p w14:paraId="619C671C">
      <w:pPr>
        <w:spacing w:line="400" w:lineRule="exact"/>
        <w:rPr>
          <w:rFonts w:ascii="仿宋_GB2312" w:hAnsi="仿宋_GB2312" w:eastAsia="仿宋_GB2312" w:cs="仿宋_GB2312"/>
          <w:color w:val="auto"/>
          <w:sz w:val="32"/>
          <w:szCs w:val="32"/>
        </w:rPr>
      </w:pPr>
    </w:p>
    <w:p w14:paraId="60337B3B">
      <w:pPr>
        <w:spacing w:line="520" w:lineRule="exact"/>
        <w:jc w:val="center"/>
        <w:rPr>
          <w:rFonts w:ascii="仿宋_GB2312" w:hAnsi="仿宋_GB2312" w:eastAsia="仿宋_GB2312" w:cs="仿宋_GB2312"/>
          <w:color w:val="auto"/>
          <w:sz w:val="32"/>
          <w:szCs w:val="32"/>
        </w:rPr>
      </w:pPr>
      <w:r>
        <w:rPr>
          <w:rFonts w:hint="eastAsia" w:ascii="方正小标宋简体" w:hAnsi="方正小标宋简体" w:eastAsia="方正小标宋简体" w:cs="方正小标宋简体"/>
          <w:color w:val="auto"/>
          <w:sz w:val="44"/>
          <w:szCs w:val="44"/>
        </w:rPr>
        <w:br w:type="page"/>
      </w:r>
      <w:r>
        <w:rPr>
          <w:rFonts w:hint="eastAsia" w:ascii="方正小标宋简体" w:hAnsi="方正小标宋简体" w:eastAsia="方正小标宋简体" w:cs="方正小标宋简体"/>
          <w:color w:val="auto"/>
          <w:sz w:val="44"/>
          <w:szCs w:val="44"/>
        </w:rPr>
        <w:t>无串通竞标行为的承诺函</w:t>
      </w:r>
    </w:p>
    <w:p w14:paraId="1B3F4751">
      <w:pPr>
        <w:spacing w:line="400" w:lineRule="exact"/>
        <w:ind w:firstLine="640" w:firstLineChars="200"/>
        <w:rPr>
          <w:rFonts w:ascii="仿宋_GB2312" w:hAnsi="仿宋_GB2312" w:eastAsia="仿宋_GB2312" w:cs="仿宋_GB2312"/>
          <w:color w:val="auto"/>
          <w:sz w:val="32"/>
          <w:szCs w:val="32"/>
        </w:rPr>
      </w:pPr>
    </w:p>
    <w:p w14:paraId="1EE0BBF6">
      <w:pPr>
        <w:spacing w:line="360" w:lineRule="auto"/>
        <w:ind w:firstLine="482" w:firstLineChars="200"/>
        <w:contextualSpacing/>
        <w:rPr>
          <w:rFonts w:ascii="宋体" w:hAnsi="宋体" w:cs="仿宋_GB2312"/>
          <w:b/>
          <w:bCs/>
          <w:color w:val="auto"/>
          <w:sz w:val="24"/>
        </w:rPr>
      </w:pPr>
      <w:r>
        <w:rPr>
          <w:rFonts w:hint="eastAsia" w:ascii="宋体" w:hAnsi="宋体" w:cs="仿宋_GB2312"/>
          <w:b/>
          <w:bCs/>
          <w:color w:val="auto"/>
          <w:sz w:val="24"/>
        </w:rPr>
        <w:t>一、我方承诺无下列相互串通竞标的情形：</w:t>
      </w:r>
    </w:p>
    <w:p w14:paraId="2D8167AE">
      <w:pPr>
        <w:spacing w:line="360" w:lineRule="auto"/>
        <w:ind w:firstLine="480" w:firstLineChars="200"/>
        <w:contextualSpacing/>
        <w:rPr>
          <w:rFonts w:ascii="宋体" w:hAnsi="宋体" w:cs="仿宋_GB2312"/>
          <w:color w:val="auto"/>
          <w:sz w:val="24"/>
        </w:rPr>
      </w:pPr>
      <w:r>
        <w:rPr>
          <w:rFonts w:hint="eastAsia" w:ascii="宋体" w:hAnsi="宋体" w:cs="仿宋_GB2312"/>
          <w:color w:val="auto"/>
          <w:sz w:val="24"/>
        </w:rPr>
        <w:t>1.不同供应商的响应文件由同一单位或者个人编制；</w:t>
      </w:r>
    </w:p>
    <w:p w14:paraId="1EBA0403">
      <w:pPr>
        <w:spacing w:line="360" w:lineRule="auto"/>
        <w:ind w:firstLine="480" w:firstLineChars="200"/>
        <w:contextualSpacing/>
        <w:rPr>
          <w:rFonts w:ascii="宋体" w:hAnsi="宋体" w:cs="仿宋_GB2312"/>
          <w:color w:val="auto"/>
          <w:sz w:val="24"/>
        </w:rPr>
      </w:pPr>
      <w:r>
        <w:rPr>
          <w:rFonts w:hint="eastAsia" w:ascii="宋体" w:hAnsi="宋体" w:cs="仿宋_GB2312"/>
          <w:color w:val="auto"/>
          <w:sz w:val="24"/>
        </w:rPr>
        <w:t>2.不同供应商委托同一单位或者个人办理竞标事宜；</w:t>
      </w:r>
    </w:p>
    <w:p w14:paraId="4E7CAC2F">
      <w:pPr>
        <w:spacing w:line="360" w:lineRule="auto"/>
        <w:ind w:firstLine="480" w:firstLineChars="200"/>
        <w:contextualSpacing/>
        <w:rPr>
          <w:rFonts w:ascii="宋体" w:hAnsi="宋体" w:cs="仿宋_GB2312"/>
          <w:color w:val="auto"/>
          <w:sz w:val="24"/>
        </w:rPr>
      </w:pPr>
      <w:r>
        <w:rPr>
          <w:rFonts w:hint="eastAsia" w:ascii="宋体" w:hAnsi="宋体" w:cs="仿宋_GB2312"/>
          <w:color w:val="auto"/>
          <w:sz w:val="24"/>
        </w:rPr>
        <w:t>3.不同供应商的响应文件载明的项目管理员为同一个人；</w:t>
      </w:r>
    </w:p>
    <w:p w14:paraId="0625A3B2">
      <w:pPr>
        <w:spacing w:line="360" w:lineRule="auto"/>
        <w:ind w:firstLine="480" w:firstLineChars="200"/>
        <w:contextualSpacing/>
        <w:rPr>
          <w:rFonts w:ascii="宋体" w:hAnsi="宋体" w:cs="仿宋_GB2312"/>
          <w:color w:val="auto"/>
          <w:sz w:val="24"/>
        </w:rPr>
      </w:pPr>
      <w:r>
        <w:rPr>
          <w:rFonts w:hint="eastAsia" w:ascii="宋体" w:hAnsi="宋体" w:cs="仿宋_GB2312"/>
          <w:color w:val="auto"/>
          <w:sz w:val="24"/>
        </w:rPr>
        <w:t>4.不</w:t>
      </w:r>
      <w:r>
        <w:rPr>
          <w:rFonts w:hint="eastAsia" w:ascii="宋体" w:hAnsi="宋体" w:cs="仿宋_GB2312"/>
          <w:color w:val="auto"/>
          <w:spacing w:val="-6"/>
          <w:sz w:val="24"/>
        </w:rPr>
        <w:t>同供应商的响应文件异常一致或者</w:t>
      </w:r>
      <w:r>
        <w:rPr>
          <w:rFonts w:hint="eastAsia" w:ascii="宋体" w:hAnsi="宋体" w:cs="仿宋_GB2312"/>
          <w:color w:val="auto"/>
          <w:spacing w:val="-6"/>
          <w:sz w:val="24"/>
          <w:lang w:eastAsia="zh-CN"/>
        </w:rPr>
        <w:t>磋商报价</w:t>
      </w:r>
      <w:r>
        <w:rPr>
          <w:rFonts w:hint="eastAsia" w:ascii="宋体" w:hAnsi="宋体" w:cs="仿宋_GB2312"/>
          <w:color w:val="auto"/>
          <w:spacing w:val="-6"/>
          <w:sz w:val="24"/>
        </w:rPr>
        <w:t>呈规律性差异；</w:t>
      </w:r>
    </w:p>
    <w:p w14:paraId="76C7018A">
      <w:pPr>
        <w:spacing w:line="360" w:lineRule="auto"/>
        <w:ind w:firstLine="480" w:firstLineChars="200"/>
        <w:contextualSpacing/>
        <w:rPr>
          <w:rFonts w:ascii="宋体" w:hAnsi="宋体" w:cs="仿宋_GB2312"/>
          <w:color w:val="auto"/>
          <w:sz w:val="24"/>
        </w:rPr>
      </w:pPr>
      <w:r>
        <w:rPr>
          <w:rFonts w:hint="eastAsia" w:ascii="宋体" w:hAnsi="宋体" w:cs="仿宋_GB2312"/>
          <w:color w:val="auto"/>
          <w:sz w:val="24"/>
        </w:rPr>
        <w:t>5.不同供应商的响应文件相互混装；</w:t>
      </w:r>
    </w:p>
    <w:p w14:paraId="388488AC">
      <w:pPr>
        <w:spacing w:line="360" w:lineRule="auto"/>
        <w:ind w:firstLine="480" w:firstLineChars="200"/>
        <w:contextualSpacing/>
        <w:rPr>
          <w:rFonts w:ascii="宋体" w:hAnsi="宋体" w:cs="仿宋_GB2312"/>
          <w:color w:val="auto"/>
          <w:sz w:val="24"/>
        </w:rPr>
      </w:pPr>
      <w:r>
        <w:rPr>
          <w:rFonts w:hint="eastAsia" w:ascii="宋体" w:hAnsi="宋体" w:cs="仿宋_GB2312"/>
          <w:color w:val="auto"/>
          <w:sz w:val="24"/>
        </w:rPr>
        <w:t>6.不同供应商的磋商保证金从同一单位或者个人账户转出。</w:t>
      </w:r>
    </w:p>
    <w:p w14:paraId="4BAD6C80">
      <w:pPr>
        <w:spacing w:line="360" w:lineRule="auto"/>
        <w:ind w:firstLine="482" w:firstLineChars="200"/>
        <w:contextualSpacing/>
        <w:rPr>
          <w:rFonts w:ascii="宋体" w:hAnsi="宋体" w:cs="仿宋_GB2312"/>
          <w:b/>
          <w:bCs/>
          <w:color w:val="auto"/>
          <w:sz w:val="24"/>
        </w:rPr>
      </w:pPr>
      <w:r>
        <w:rPr>
          <w:rFonts w:hint="eastAsia" w:ascii="宋体" w:hAnsi="宋体" w:cs="仿宋_GB2312"/>
          <w:b/>
          <w:bCs/>
          <w:color w:val="auto"/>
          <w:sz w:val="24"/>
        </w:rPr>
        <w:t>二、我方承诺无下列恶意串通的情形：</w:t>
      </w:r>
    </w:p>
    <w:p w14:paraId="1B3698FC">
      <w:pPr>
        <w:spacing w:line="360" w:lineRule="auto"/>
        <w:ind w:firstLine="480" w:firstLineChars="200"/>
        <w:contextualSpacing/>
        <w:rPr>
          <w:rFonts w:ascii="宋体" w:hAnsi="宋体" w:cs="仿宋_GB2312"/>
          <w:color w:val="auto"/>
          <w:sz w:val="24"/>
        </w:rPr>
      </w:pPr>
      <w:r>
        <w:rPr>
          <w:rFonts w:hint="eastAsia" w:ascii="宋体" w:hAnsi="宋体" w:cs="仿宋_GB2312"/>
          <w:color w:val="auto"/>
          <w:sz w:val="24"/>
        </w:rPr>
        <w:t>1.供应商直接或者间接从采购人或者采购代理机构处获得其他供应商的相关信息并修改其响应文件；</w:t>
      </w:r>
    </w:p>
    <w:p w14:paraId="5BE3EC1E">
      <w:pPr>
        <w:spacing w:line="360" w:lineRule="auto"/>
        <w:ind w:firstLine="480" w:firstLineChars="200"/>
        <w:contextualSpacing/>
        <w:rPr>
          <w:rFonts w:ascii="宋体" w:hAnsi="宋体" w:cs="仿宋_GB2312"/>
          <w:color w:val="auto"/>
          <w:sz w:val="24"/>
        </w:rPr>
      </w:pPr>
      <w:r>
        <w:rPr>
          <w:rFonts w:hint="eastAsia" w:ascii="宋体" w:hAnsi="宋体" w:cs="仿宋_GB2312"/>
          <w:color w:val="auto"/>
          <w:sz w:val="24"/>
        </w:rPr>
        <w:t>2.供应商按照采购人或者采购代理机构的授意撤换、修改响应文件；</w:t>
      </w:r>
    </w:p>
    <w:p w14:paraId="6BBA4345">
      <w:pPr>
        <w:spacing w:line="360" w:lineRule="auto"/>
        <w:ind w:firstLine="480" w:firstLineChars="200"/>
        <w:contextualSpacing/>
        <w:rPr>
          <w:rFonts w:ascii="宋体" w:hAnsi="宋体" w:cs="仿宋_GB2312"/>
          <w:color w:val="auto"/>
          <w:sz w:val="24"/>
        </w:rPr>
      </w:pPr>
      <w:r>
        <w:rPr>
          <w:rFonts w:hint="eastAsia" w:ascii="宋体" w:hAnsi="宋体" w:cs="仿宋_GB2312"/>
          <w:color w:val="auto"/>
          <w:sz w:val="24"/>
        </w:rPr>
        <w:t>3.供</w:t>
      </w:r>
      <w:r>
        <w:rPr>
          <w:rFonts w:hint="eastAsia" w:ascii="宋体" w:hAnsi="宋体" w:cs="仿宋_GB2312"/>
          <w:color w:val="auto"/>
          <w:spacing w:val="-6"/>
          <w:sz w:val="24"/>
        </w:rPr>
        <w:t>应商之间协商报价、技术方案等响应文件的实质性内容；</w:t>
      </w:r>
    </w:p>
    <w:p w14:paraId="5DAABFF0">
      <w:pPr>
        <w:spacing w:line="360" w:lineRule="auto"/>
        <w:ind w:firstLine="480" w:firstLineChars="200"/>
        <w:contextualSpacing/>
        <w:rPr>
          <w:rFonts w:ascii="宋体" w:hAnsi="宋体" w:cs="仿宋_GB2312"/>
          <w:color w:val="auto"/>
          <w:sz w:val="24"/>
        </w:rPr>
      </w:pPr>
      <w:r>
        <w:rPr>
          <w:rFonts w:hint="eastAsia" w:ascii="宋体" w:hAnsi="宋体" w:cs="仿宋_GB2312"/>
          <w:color w:val="auto"/>
          <w:sz w:val="24"/>
        </w:rPr>
        <w:t>4.属于同一集团、协会、商会等组织成员的供应商按照该组织要求协同参加政府采购活动；</w:t>
      </w:r>
    </w:p>
    <w:p w14:paraId="62C77FED">
      <w:pPr>
        <w:spacing w:line="360" w:lineRule="auto"/>
        <w:ind w:firstLine="480" w:firstLineChars="200"/>
        <w:contextualSpacing/>
        <w:rPr>
          <w:rFonts w:ascii="宋体" w:hAnsi="宋体" w:cs="仿宋_GB2312"/>
          <w:color w:val="auto"/>
          <w:sz w:val="24"/>
        </w:rPr>
      </w:pPr>
      <w:r>
        <w:rPr>
          <w:rFonts w:hint="eastAsia" w:ascii="宋体" w:hAnsi="宋体" w:cs="仿宋_GB2312"/>
          <w:color w:val="auto"/>
          <w:sz w:val="24"/>
        </w:rPr>
        <w:t>5.供应商之间事先约定一致抬高或者压低</w:t>
      </w:r>
      <w:r>
        <w:rPr>
          <w:rFonts w:hint="eastAsia" w:ascii="宋体" w:hAnsi="宋体" w:cs="仿宋_GB2312"/>
          <w:color w:val="auto"/>
          <w:sz w:val="24"/>
          <w:lang w:eastAsia="zh-CN"/>
        </w:rPr>
        <w:t>磋商报价</w:t>
      </w:r>
      <w:r>
        <w:rPr>
          <w:rFonts w:hint="eastAsia" w:ascii="宋体" w:hAnsi="宋体" w:cs="仿宋_GB2312"/>
          <w:color w:val="auto"/>
          <w:sz w:val="24"/>
        </w:rPr>
        <w:t>，或者在竞争性磋商项目中事先约定轮流以高价位或者低价位成交，或者事先约定由某一特定供应商成交，然后再参加竞标；</w:t>
      </w:r>
    </w:p>
    <w:p w14:paraId="321119B7">
      <w:pPr>
        <w:spacing w:line="360" w:lineRule="auto"/>
        <w:ind w:firstLine="480" w:firstLineChars="200"/>
        <w:contextualSpacing/>
        <w:rPr>
          <w:rFonts w:ascii="宋体" w:hAnsi="宋体" w:cs="仿宋_GB2312"/>
          <w:color w:val="auto"/>
          <w:sz w:val="24"/>
        </w:rPr>
      </w:pPr>
      <w:r>
        <w:rPr>
          <w:rFonts w:hint="eastAsia" w:ascii="宋体" w:hAnsi="宋体" w:cs="仿宋_GB2312"/>
          <w:color w:val="auto"/>
          <w:sz w:val="24"/>
        </w:rPr>
        <w:t>6.供应商之间商定部分供应商放弃参加政府采购活动或者放弃成交；</w:t>
      </w:r>
    </w:p>
    <w:p w14:paraId="4FF9C0E0">
      <w:pPr>
        <w:spacing w:line="360" w:lineRule="auto"/>
        <w:ind w:firstLine="480" w:firstLineChars="200"/>
        <w:contextualSpacing/>
        <w:rPr>
          <w:rFonts w:ascii="宋体" w:hAnsi="宋体" w:cs="仿宋_GB2312"/>
          <w:color w:val="auto"/>
          <w:sz w:val="24"/>
        </w:rPr>
      </w:pPr>
      <w:r>
        <w:rPr>
          <w:rFonts w:hint="eastAsia" w:ascii="宋体" w:hAnsi="宋体" w:cs="仿宋_GB2312"/>
          <w:color w:val="auto"/>
          <w:sz w:val="24"/>
        </w:rPr>
        <w:t>7.供应商与采购人或者采购代理机构之间、供应商相互之间，为</w:t>
      </w:r>
      <w:r>
        <w:rPr>
          <w:rFonts w:hint="eastAsia" w:ascii="宋体" w:hAnsi="宋体" w:cs="仿宋_GB2312"/>
          <w:color w:val="auto"/>
          <w:spacing w:val="-6"/>
          <w:sz w:val="24"/>
        </w:rPr>
        <w:t>谋求特定供应商成交或者排斥其他供应商的其他串通行为。</w:t>
      </w:r>
    </w:p>
    <w:p w14:paraId="404A81FC">
      <w:pPr>
        <w:spacing w:line="360" w:lineRule="auto"/>
        <w:ind w:firstLine="480" w:firstLineChars="200"/>
        <w:contextualSpacing/>
        <w:rPr>
          <w:rFonts w:ascii="宋体" w:hAnsi="宋体" w:cs="仿宋_GB2312"/>
          <w:color w:val="auto"/>
          <w:sz w:val="24"/>
        </w:rPr>
      </w:pPr>
    </w:p>
    <w:p w14:paraId="6600F059">
      <w:pPr>
        <w:spacing w:line="360" w:lineRule="auto"/>
        <w:ind w:firstLine="482" w:firstLineChars="200"/>
        <w:contextualSpacing/>
        <w:rPr>
          <w:rFonts w:ascii="宋体" w:hAnsi="宋体" w:cs="仿宋_GB2312"/>
          <w:b/>
          <w:bCs/>
          <w:color w:val="auto"/>
          <w:sz w:val="24"/>
        </w:rPr>
      </w:pPr>
      <w:r>
        <w:rPr>
          <w:rFonts w:hint="eastAsia" w:ascii="宋体" w:hAnsi="宋体" w:cs="仿宋_GB2312"/>
          <w:b/>
          <w:bCs/>
          <w:color w:val="auto"/>
          <w:sz w:val="24"/>
        </w:rPr>
        <w:t>以上情形一经核查属实，我方愿意承担一切后果，并不再寻求任何旨在减轻或者免除法律责任的辩解。</w:t>
      </w:r>
    </w:p>
    <w:p w14:paraId="52D8E13F">
      <w:pPr>
        <w:spacing w:line="360" w:lineRule="auto"/>
        <w:contextualSpacing/>
        <w:rPr>
          <w:rFonts w:ascii="宋体" w:hAnsi="宋体" w:cs="仿宋_GB2312"/>
          <w:color w:val="auto"/>
          <w:sz w:val="24"/>
        </w:rPr>
      </w:pPr>
    </w:p>
    <w:p w14:paraId="5A23289A">
      <w:pPr>
        <w:spacing w:line="360" w:lineRule="auto"/>
        <w:ind w:firstLine="3600" w:firstLineChars="1500"/>
        <w:contextualSpacing/>
        <w:rPr>
          <w:rFonts w:ascii="宋体" w:hAnsi="宋体" w:cs="仿宋_GB2312"/>
          <w:color w:val="auto"/>
          <w:sz w:val="24"/>
        </w:rPr>
      </w:pPr>
      <w:r>
        <w:rPr>
          <w:rFonts w:hint="eastAsia" w:ascii="宋体" w:hAnsi="宋体" w:cs="仿宋_GB2312"/>
          <w:color w:val="auto"/>
          <w:sz w:val="24"/>
        </w:rPr>
        <w:t>供应商</w:t>
      </w:r>
      <w:r>
        <w:rPr>
          <w:rFonts w:hint="eastAsia" w:ascii="宋体" w:hAnsi="宋体" w:cs="仿宋_GB2312"/>
          <w:color w:val="auto"/>
          <w:sz w:val="24"/>
          <w:lang w:eastAsia="zh-CN"/>
        </w:rPr>
        <w:t>名称（</w:t>
      </w:r>
      <w:r>
        <w:rPr>
          <w:rFonts w:hint="eastAsia" w:ascii="宋体" w:hAnsi="宋体" w:cs="仿宋_GB2312"/>
          <w:color w:val="auto"/>
          <w:sz w:val="24"/>
        </w:rPr>
        <w:t>电子签章</w:t>
      </w:r>
      <w:r>
        <w:rPr>
          <w:rFonts w:hint="eastAsia" w:ascii="宋体" w:hAnsi="宋体" w:cs="仿宋_GB2312"/>
          <w:color w:val="auto"/>
          <w:sz w:val="24"/>
          <w:lang w:eastAsia="zh-CN"/>
        </w:rPr>
        <w:t>）</w:t>
      </w:r>
      <w:r>
        <w:rPr>
          <w:rFonts w:hint="eastAsia" w:ascii="宋体" w:hAnsi="宋体" w:cs="仿宋_GB2312"/>
          <w:color w:val="auto"/>
          <w:sz w:val="24"/>
        </w:rPr>
        <w:t>：</w:t>
      </w:r>
    </w:p>
    <w:p w14:paraId="70B8B054">
      <w:pPr>
        <w:spacing w:line="360" w:lineRule="auto"/>
        <w:ind w:firstLine="480" w:firstLineChars="200"/>
        <w:contextualSpacing/>
        <w:jc w:val="center"/>
        <w:rPr>
          <w:rFonts w:ascii="仿宋_GB2312" w:hAnsi="仿宋_GB2312" w:eastAsia="仿宋_GB2312" w:cs="仿宋_GB2312"/>
          <w:color w:val="auto"/>
          <w:sz w:val="32"/>
          <w:szCs w:val="32"/>
        </w:rPr>
      </w:pPr>
      <w:r>
        <w:rPr>
          <w:rFonts w:hint="eastAsia" w:ascii="宋体" w:hAnsi="宋体" w:cs="仿宋_GB2312"/>
          <w:color w:val="auto"/>
          <w:sz w:val="24"/>
        </w:rPr>
        <w:t xml:space="preserve">                               年   月   日</w:t>
      </w:r>
    </w:p>
    <w:p w14:paraId="521AACCC">
      <w:pPr>
        <w:spacing w:line="360" w:lineRule="auto"/>
        <w:contextualSpacing/>
        <w:jc w:val="center"/>
        <w:rPr>
          <w:rFonts w:ascii="宋体" w:hAnsi="宋体"/>
          <w:color w:val="auto"/>
          <w:szCs w:val="21"/>
        </w:rPr>
      </w:pPr>
      <w:r>
        <w:rPr>
          <w:rFonts w:hint="eastAsia" w:ascii="方正小标宋简体" w:hAnsi="方正小标宋简体" w:eastAsia="方正小标宋简体" w:cs="方正小标宋简体"/>
          <w:bCs/>
          <w:color w:val="auto"/>
          <w:sz w:val="44"/>
          <w:szCs w:val="44"/>
        </w:rPr>
        <w:br w:type="page"/>
      </w:r>
      <w:r>
        <w:rPr>
          <w:rFonts w:ascii="宋体" w:hAnsi="宋体"/>
          <w:color w:val="auto"/>
          <w:szCs w:val="21"/>
        </w:rPr>
        <w:t xml:space="preserve"> </w:t>
      </w:r>
    </w:p>
    <w:p w14:paraId="25EE9268">
      <w:pPr>
        <w:spacing w:before="240" w:beforeLines="100" w:after="120" w:afterLines="50" w:line="520" w:lineRule="exact"/>
        <w:ind w:left="540"/>
        <w:jc w:val="center"/>
        <w:rPr>
          <w:rFonts w:ascii="仿宋_GB2312" w:hAnsi="仿宋_GB2312" w:eastAsia="仿宋_GB2312" w:cs="仿宋_GB2312"/>
          <w:color w:val="auto"/>
          <w:sz w:val="32"/>
          <w:szCs w:val="32"/>
        </w:rPr>
      </w:pPr>
      <w:r>
        <w:rPr>
          <w:rFonts w:hint="eastAsia" w:ascii="方正小标宋简体" w:hAnsi="方正小标宋简体" w:eastAsia="方正小标宋简体" w:cs="方正小标宋简体"/>
          <w:bCs/>
          <w:color w:val="auto"/>
          <w:sz w:val="44"/>
          <w:szCs w:val="44"/>
        </w:rPr>
        <w:t>法定代表人证明书</w:t>
      </w:r>
    </w:p>
    <w:p w14:paraId="151CEAE9">
      <w:pPr>
        <w:spacing w:line="520" w:lineRule="exact"/>
        <w:ind w:left="540"/>
        <w:rPr>
          <w:rFonts w:ascii="仿宋_GB2312" w:hAnsi="仿宋_GB2312" w:eastAsia="仿宋_GB2312" w:cs="仿宋_GB2312"/>
          <w:color w:val="auto"/>
          <w:sz w:val="32"/>
          <w:szCs w:val="32"/>
        </w:rPr>
      </w:pPr>
    </w:p>
    <w:p w14:paraId="51C19CEF">
      <w:pPr>
        <w:spacing w:line="360" w:lineRule="auto"/>
        <w:ind w:left="540"/>
        <w:contextualSpacing/>
        <w:rPr>
          <w:rFonts w:ascii="宋体" w:hAnsi="宋体" w:cs="仿宋_GB2312"/>
          <w:color w:val="auto"/>
          <w:sz w:val="24"/>
        </w:rPr>
      </w:pPr>
      <w:r>
        <w:rPr>
          <w:rFonts w:hint="eastAsia" w:ascii="宋体" w:hAnsi="宋体" w:cs="仿宋_GB2312"/>
          <w:color w:val="auto"/>
          <w:sz w:val="24"/>
        </w:rPr>
        <w:t>供应商名称：</w:t>
      </w:r>
      <w:r>
        <w:rPr>
          <w:rFonts w:hint="eastAsia" w:ascii="宋体" w:hAnsi="宋体" w:cs="仿宋_GB2312"/>
          <w:color w:val="auto"/>
          <w:sz w:val="24"/>
          <w:u w:val="single"/>
        </w:rPr>
        <w:t xml:space="preserve">                                                 </w:t>
      </w:r>
    </w:p>
    <w:p w14:paraId="617FD046">
      <w:pPr>
        <w:spacing w:line="360" w:lineRule="auto"/>
        <w:ind w:left="540"/>
        <w:contextualSpacing/>
        <w:rPr>
          <w:rFonts w:ascii="宋体" w:hAnsi="宋体" w:cs="仿宋_GB2312"/>
          <w:color w:val="auto"/>
          <w:sz w:val="24"/>
        </w:rPr>
      </w:pPr>
      <w:r>
        <w:rPr>
          <w:rFonts w:hint="eastAsia" w:ascii="宋体" w:hAnsi="宋体" w:cs="仿宋_GB2312"/>
          <w:color w:val="auto"/>
          <w:sz w:val="24"/>
        </w:rPr>
        <w:t>地    址：</w:t>
      </w:r>
      <w:r>
        <w:rPr>
          <w:rFonts w:hint="eastAsia" w:ascii="宋体" w:hAnsi="宋体" w:cs="仿宋_GB2312"/>
          <w:color w:val="auto"/>
          <w:sz w:val="24"/>
          <w:u w:val="single"/>
        </w:rPr>
        <w:t xml:space="preserve">                                                   </w:t>
      </w:r>
    </w:p>
    <w:p w14:paraId="71FB3CED">
      <w:pPr>
        <w:spacing w:line="360" w:lineRule="auto"/>
        <w:ind w:left="540"/>
        <w:contextualSpacing/>
        <w:rPr>
          <w:rFonts w:ascii="宋体" w:hAnsi="宋体" w:cs="仿宋_GB2312"/>
          <w:color w:val="auto"/>
          <w:sz w:val="24"/>
        </w:rPr>
      </w:pPr>
      <w:r>
        <w:rPr>
          <w:rFonts w:hint="eastAsia" w:ascii="宋体" w:hAnsi="宋体" w:cs="仿宋_GB2312"/>
          <w:color w:val="auto"/>
          <w:sz w:val="24"/>
        </w:rPr>
        <w:t>姓    名：</w:t>
      </w:r>
      <w:r>
        <w:rPr>
          <w:rFonts w:hint="eastAsia" w:ascii="宋体" w:hAnsi="宋体" w:cs="仿宋_GB2312"/>
          <w:color w:val="auto"/>
          <w:sz w:val="24"/>
          <w:u w:val="single"/>
        </w:rPr>
        <w:t xml:space="preserve">                </w:t>
      </w:r>
      <w:r>
        <w:rPr>
          <w:rFonts w:hint="eastAsia" w:ascii="宋体" w:hAnsi="宋体" w:cs="仿宋_GB2312"/>
          <w:color w:val="auto"/>
          <w:sz w:val="24"/>
        </w:rPr>
        <w:t>性     别：</w:t>
      </w:r>
      <w:r>
        <w:rPr>
          <w:rFonts w:hint="eastAsia" w:ascii="宋体" w:hAnsi="宋体" w:cs="仿宋_GB2312"/>
          <w:color w:val="auto"/>
          <w:sz w:val="24"/>
          <w:u w:val="single"/>
        </w:rPr>
        <w:t xml:space="preserve">                </w:t>
      </w:r>
    </w:p>
    <w:p w14:paraId="66D5C6C8">
      <w:pPr>
        <w:spacing w:line="360" w:lineRule="auto"/>
        <w:ind w:left="540"/>
        <w:contextualSpacing/>
        <w:rPr>
          <w:rFonts w:ascii="宋体" w:hAnsi="宋体" w:cs="仿宋_GB2312"/>
          <w:color w:val="auto"/>
          <w:sz w:val="24"/>
          <w:u w:val="single"/>
        </w:rPr>
      </w:pPr>
      <w:r>
        <w:rPr>
          <w:rFonts w:hint="eastAsia" w:ascii="宋体" w:hAnsi="宋体" w:cs="仿宋_GB2312"/>
          <w:color w:val="auto"/>
          <w:sz w:val="24"/>
        </w:rPr>
        <w:t>年    龄：</w:t>
      </w:r>
      <w:r>
        <w:rPr>
          <w:rFonts w:hint="eastAsia" w:ascii="宋体" w:hAnsi="宋体" w:cs="仿宋_GB2312"/>
          <w:color w:val="auto"/>
          <w:sz w:val="24"/>
          <w:u w:val="single"/>
        </w:rPr>
        <w:t xml:space="preserve">                </w:t>
      </w:r>
      <w:r>
        <w:rPr>
          <w:rFonts w:hint="eastAsia" w:ascii="宋体" w:hAnsi="宋体" w:cs="仿宋_GB2312"/>
          <w:color w:val="auto"/>
          <w:sz w:val="24"/>
        </w:rPr>
        <w:t>职     务：</w:t>
      </w:r>
      <w:r>
        <w:rPr>
          <w:rFonts w:hint="eastAsia" w:ascii="宋体" w:hAnsi="宋体" w:cs="仿宋_GB2312"/>
          <w:color w:val="auto"/>
          <w:sz w:val="24"/>
          <w:u w:val="single"/>
        </w:rPr>
        <w:t xml:space="preserve">                </w:t>
      </w:r>
    </w:p>
    <w:p w14:paraId="73C7395F">
      <w:pPr>
        <w:spacing w:line="360" w:lineRule="auto"/>
        <w:ind w:left="540"/>
        <w:contextualSpacing/>
        <w:rPr>
          <w:rFonts w:ascii="宋体" w:hAnsi="宋体" w:cs="仿宋_GB2312"/>
          <w:color w:val="auto"/>
          <w:sz w:val="24"/>
        </w:rPr>
      </w:pPr>
      <w:r>
        <w:rPr>
          <w:rFonts w:hint="eastAsia" w:ascii="宋体" w:hAnsi="宋体" w:cs="仿宋_GB2312"/>
          <w:color w:val="auto"/>
          <w:sz w:val="24"/>
        </w:rPr>
        <w:t>身份证号码：</w:t>
      </w:r>
      <w:r>
        <w:rPr>
          <w:rFonts w:hint="eastAsia" w:ascii="宋体" w:hAnsi="宋体" w:cs="仿宋_GB2312"/>
          <w:color w:val="auto"/>
          <w:sz w:val="24"/>
          <w:u w:val="single"/>
        </w:rPr>
        <w:t xml:space="preserve">                                        </w:t>
      </w:r>
    </w:p>
    <w:p w14:paraId="0BEB64C9">
      <w:pPr>
        <w:spacing w:line="360" w:lineRule="auto"/>
        <w:ind w:firstLine="480" w:firstLineChars="200"/>
        <w:contextualSpacing/>
        <w:rPr>
          <w:rFonts w:ascii="宋体" w:hAnsi="宋体" w:cs="仿宋_GB2312"/>
          <w:color w:val="auto"/>
          <w:sz w:val="24"/>
        </w:rPr>
      </w:pPr>
      <w:r>
        <w:rPr>
          <w:rFonts w:hint="eastAsia" w:ascii="宋体" w:hAnsi="宋体" w:cs="仿宋_GB2312"/>
          <w:color w:val="auto"/>
          <w:sz w:val="24"/>
        </w:rPr>
        <w:t>系</w:t>
      </w:r>
      <w:r>
        <w:rPr>
          <w:rFonts w:hint="eastAsia" w:ascii="宋体" w:hAnsi="宋体" w:cs="仿宋_GB2312"/>
          <w:color w:val="auto"/>
          <w:sz w:val="24"/>
          <w:u w:val="single"/>
        </w:rPr>
        <w:t>（供应商名称）</w:t>
      </w:r>
      <w:r>
        <w:rPr>
          <w:rFonts w:hint="eastAsia" w:ascii="宋体" w:hAnsi="宋体" w:cs="仿宋_GB2312"/>
          <w:color w:val="auto"/>
          <w:sz w:val="24"/>
        </w:rPr>
        <w:t>的法定代表人。</w:t>
      </w:r>
    </w:p>
    <w:p w14:paraId="4CAD3D71">
      <w:pPr>
        <w:spacing w:line="360" w:lineRule="auto"/>
        <w:ind w:left="540"/>
        <w:contextualSpacing/>
        <w:rPr>
          <w:rFonts w:ascii="宋体" w:hAnsi="宋体" w:cs="仿宋_GB2312"/>
          <w:color w:val="auto"/>
          <w:sz w:val="24"/>
        </w:rPr>
      </w:pPr>
      <w:r>
        <w:rPr>
          <w:rFonts w:hint="eastAsia" w:ascii="宋体" w:hAnsi="宋体" w:cs="仿宋_GB2312"/>
          <w:color w:val="auto"/>
          <w:sz w:val="24"/>
        </w:rPr>
        <w:t>特此证明。</w:t>
      </w:r>
    </w:p>
    <w:p w14:paraId="133F66A4">
      <w:pPr>
        <w:spacing w:line="360" w:lineRule="auto"/>
        <w:ind w:left="540"/>
        <w:contextualSpacing/>
        <w:rPr>
          <w:rFonts w:ascii="宋体" w:hAnsi="宋体" w:cs="仿宋_GB2312"/>
          <w:color w:val="auto"/>
          <w:sz w:val="24"/>
        </w:rPr>
      </w:pPr>
    </w:p>
    <w:p w14:paraId="70E798BE">
      <w:pPr>
        <w:spacing w:line="360" w:lineRule="auto"/>
        <w:ind w:left="540"/>
        <w:contextualSpacing/>
        <w:rPr>
          <w:rFonts w:ascii="宋体" w:hAnsi="宋体" w:cs="仿宋_GB2312"/>
          <w:color w:val="auto"/>
          <w:sz w:val="24"/>
        </w:rPr>
      </w:pPr>
    </w:p>
    <w:p w14:paraId="45654C27">
      <w:pPr>
        <w:spacing w:line="360" w:lineRule="auto"/>
        <w:ind w:left="540"/>
        <w:contextualSpacing/>
        <w:rPr>
          <w:rFonts w:ascii="宋体" w:hAnsi="宋体" w:cs="仿宋_GB2312"/>
          <w:color w:val="auto"/>
          <w:sz w:val="24"/>
        </w:rPr>
      </w:pPr>
    </w:p>
    <w:p w14:paraId="276D7299">
      <w:pPr>
        <w:spacing w:line="360" w:lineRule="auto"/>
        <w:ind w:left="540"/>
        <w:contextualSpacing/>
        <w:rPr>
          <w:rFonts w:ascii="宋体" w:hAnsi="宋体" w:cs="仿宋_GB2312"/>
          <w:color w:val="auto"/>
          <w:sz w:val="24"/>
        </w:rPr>
      </w:pPr>
      <w:r>
        <w:rPr>
          <w:rFonts w:hint="eastAsia" w:ascii="宋体" w:hAnsi="宋体" w:cs="仿宋_GB2312"/>
          <w:color w:val="auto"/>
          <w:sz w:val="24"/>
        </w:rPr>
        <w:t>附件：法定代表人有效身份证正反面复印件</w:t>
      </w:r>
    </w:p>
    <w:p w14:paraId="2C0C4E15">
      <w:pPr>
        <w:spacing w:line="360" w:lineRule="auto"/>
        <w:ind w:left="540"/>
        <w:contextualSpacing/>
        <w:jc w:val="right"/>
        <w:rPr>
          <w:rFonts w:ascii="宋体" w:hAnsi="宋体" w:cs="仿宋_GB2312"/>
          <w:color w:val="auto"/>
          <w:sz w:val="24"/>
        </w:rPr>
      </w:pPr>
    </w:p>
    <w:p w14:paraId="41BFD78B">
      <w:pPr>
        <w:rPr>
          <w:color w:val="auto"/>
          <w:sz w:val="24"/>
        </w:rPr>
      </w:pPr>
      <w:r>
        <w:rPr>
          <w:rFonts w:hint="eastAsia"/>
          <w:color w:val="auto"/>
          <w:sz w:val="24"/>
        </w:rPr>
        <w:t xml:space="preserve">                                  </w:t>
      </w:r>
      <w:r>
        <w:rPr>
          <w:rFonts w:hint="eastAsia" w:ascii="宋体" w:hAnsi="宋体" w:cs="仿宋_GB2312"/>
          <w:color w:val="auto"/>
          <w:sz w:val="24"/>
        </w:rPr>
        <w:t>供应商</w:t>
      </w:r>
      <w:r>
        <w:rPr>
          <w:rFonts w:hint="eastAsia" w:ascii="宋体" w:hAnsi="宋体" w:cs="仿宋_GB2312"/>
          <w:color w:val="auto"/>
          <w:sz w:val="24"/>
          <w:lang w:eastAsia="zh-CN"/>
        </w:rPr>
        <w:t>名称（</w:t>
      </w:r>
      <w:r>
        <w:rPr>
          <w:rFonts w:hint="eastAsia" w:ascii="宋体" w:hAnsi="宋体" w:cs="仿宋_GB2312"/>
          <w:color w:val="auto"/>
          <w:sz w:val="24"/>
        </w:rPr>
        <w:t>电子签章</w:t>
      </w:r>
      <w:r>
        <w:rPr>
          <w:rFonts w:hint="eastAsia" w:ascii="宋体" w:hAnsi="宋体" w:cs="仿宋_GB2312"/>
          <w:color w:val="auto"/>
          <w:sz w:val="24"/>
          <w:lang w:eastAsia="zh-CN"/>
        </w:rPr>
        <w:t>）</w:t>
      </w:r>
      <w:r>
        <w:rPr>
          <w:rFonts w:hint="eastAsia"/>
          <w:color w:val="auto"/>
          <w:sz w:val="24"/>
        </w:rPr>
        <w:t>：</w:t>
      </w:r>
      <w:r>
        <w:rPr>
          <w:rFonts w:hint="eastAsia"/>
          <w:color w:val="auto"/>
          <w:sz w:val="24"/>
          <w:u w:val="single"/>
          <w:lang w:val="en-US" w:eastAsia="zh-CN"/>
        </w:rPr>
        <w:t xml:space="preserve">        </w:t>
      </w:r>
      <w:r>
        <w:rPr>
          <w:rFonts w:hint="eastAsia"/>
          <w:color w:val="auto"/>
          <w:sz w:val="24"/>
        </w:rPr>
        <w:t xml:space="preserve">               </w:t>
      </w:r>
    </w:p>
    <w:p w14:paraId="38E60B55">
      <w:pPr>
        <w:spacing w:line="360" w:lineRule="auto"/>
        <w:ind w:firstLine="4080" w:firstLineChars="1700"/>
        <w:contextualSpacing/>
        <w:rPr>
          <w:rFonts w:ascii="宋体" w:hAnsi="宋体" w:cs="仿宋_GB2312"/>
          <w:color w:val="auto"/>
          <w:sz w:val="24"/>
        </w:rPr>
      </w:pPr>
      <w:r>
        <w:rPr>
          <w:rFonts w:hint="eastAsia" w:ascii="宋体" w:hAnsi="宋体" w:cs="仿宋_GB2312"/>
          <w:color w:val="auto"/>
          <w:sz w:val="24"/>
          <w:u w:val="single"/>
        </w:rPr>
        <w:t xml:space="preserve">     </w:t>
      </w:r>
      <w:r>
        <w:rPr>
          <w:rFonts w:hint="eastAsia" w:ascii="宋体" w:hAnsi="宋体" w:cs="仿宋_GB2312"/>
          <w:color w:val="auto"/>
          <w:sz w:val="24"/>
        </w:rPr>
        <w:t>年</w:t>
      </w:r>
      <w:r>
        <w:rPr>
          <w:rFonts w:hint="eastAsia" w:ascii="宋体" w:hAnsi="宋体" w:cs="仿宋_GB2312"/>
          <w:color w:val="auto"/>
          <w:sz w:val="24"/>
          <w:u w:val="single"/>
        </w:rPr>
        <w:t xml:space="preserve">     </w:t>
      </w:r>
      <w:r>
        <w:rPr>
          <w:rFonts w:hint="eastAsia" w:ascii="宋体" w:hAnsi="宋体" w:cs="仿宋_GB2312"/>
          <w:color w:val="auto"/>
          <w:sz w:val="24"/>
        </w:rPr>
        <w:t>月</w:t>
      </w:r>
      <w:r>
        <w:rPr>
          <w:rFonts w:hint="eastAsia" w:ascii="宋体" w:hAnsi="宋体" w:cs="仿宋_GB2312"/>
          <w:color w:val="auto"/>
          <w:sz w:val="24"/>
          <w:u w:val="single"/>
        </w:rPr>
        <w:t xml:space="preserve">     </w:t>
      </w:r>
      <w:r>
        <w:rPr>
          <w:rFonts w:hint="eastAsia" w:ascii="宋体" w:hAnsi="宋体" w:cs="仿宋_GB2312"/>
          <w:color w:val="auto"/>
          <w:sz w:val="24"/>
        </w:rPr>
        <w:t>日</w:t>
      </w:r>
    </w:p>
    <w:p w14:paraId="73048105">
      <w:pPr>
        <w:spacing w:line="360" w:lineRule="auto"/>
        <w:contextualSpacing/>
        <w:jc w:val="center"/>
        <w:rPr>
          <w:rFonts w:ascii="宋体" w:hAnsi="宋体" w:cs="仿宋_GB2312"/>
          <w:b/>
          <w:color w:val="auto"/>
          <w:sz w:val="24"/>
        </w:rPr>
      </w:pPr>
    </w:p>
    <w:p w14:paraId="78024C98">
      <w:pPr>
        <w:spacing w:line="360" w:lineRule="auto"/>
        <w:contextualSpacing/>
        <w:jc w:val="left"/>
        <w:rPr>
          <w:rFonts w:ascii="宋体" w:hAnsi="宋体" w:cs="仿宋_GB2312"/>
          <w:color w:val="auto"/>
          <w:sz w:val="24"/>
        </w:rPr>
      </w:pPr>
    </w:p>
    <w:p w14:paraId="41FDE444">
      <w:pPr>
        <w:spacing w:line="360" w:lineRule="auto"/>
        <w:contextualSpacing/>
        <w:jc w:val="left"/>
        <w:rPr>
          <w:rFonts w:ascii="宋体" w:hAnsi="宋体" w:cs="仿宋_GB2312"/>
          <w:color w:val="auto"/>
          <w:sz w:val="24"/>
        </w:rPr>
      </w:pPr>
      <w:r>
        <w:rPr>
          <w:rFonts w:hint="eastAsia" w:ascii="宋体" w:hAnsi="宋体" w:cs="仿宋_GB2312"/>
          <w:color w:val="auto"/>
          <w:sz w:val="24"/>
        </w:rPr>
        <w:t>注：自然人竞标的无需提供，联合体竞标的只需牵头人出具。</w:t>
      </w:r>
    </w:p>
    <w:p w14:paraId="6E5847C1">
      <w:pPr>
        <w:adjustRightInd w:val="0"/>
        <w:snapToGrid w:val="0"/>
        <w:spacing w:line="300" w:lineRule="auto"/>
        <w:jc w:val="left"/>
        <w:rPr>
          <w:rFonts w:ascii="宋体" w:hAnsi="宋体"/>
          <w:b/>
          <w:color w:val="auto"/>
          <w:szCs w:val="21"/>
        </w:rPr>
      </w:pPr>
    </w:p>
    <w:p w14:paraId="60F3D884">
      <w:pPr>
        <w:spacing w:line="500" w:lineRule="exact"/>
        <w:jc w:val="center"/>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br w:type="page"/>
      </w:r>
      <w:r>
        <w:rPr>
          <w:rFonts w:ascii="方正小标宋简体" w:hAnsi="方正小标宋简体" w:eastAsia="方正小标宋简体" w:cs="方正小标宋简体"/>
          <w:color w:val="auto"/>
          <w:sz w:val="44"/>
          <w:szCs w:val="44"/>
        </w:rPr>
        <w:t xml:space="preserve"> </w:t>
      </w:r>
    </w:p>
    <w:p w14:paraId="46319F1D">
      <w:pPr>
        <w:spacing w:line="520" w:lineRule="exact"/>
        <w:jc w:val="center"/>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授权委托书（非联合体竞标格式）</w:t>
      </w:r>
    </w:p>
    <w:p w14:paraId="52163E64">
      <w:pPr>
        <w:spacing w:line="520" w:lineRule="exact"/>
        <w:jc w:val="center"/>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（如有委托时）</w:t>
      </w:r>
    </w:p>
    <w:p w14:paraId="2B6E8F3B">
      <w:pPr>
        <w:spacing w:line="520" w:lineRule="exact"/>
        <w:rPr>
          <w:rFonts w:ascii="仿宋_GB2312" w:hAnsi="仿宋_GB2312" w:eastAsia="仿宋_GB2312" w:cs="仿宋_GB2312"/>
          <w:color w:val="auto"/>
          <w:sz w:val="32"/>
          <w:szCs w:val="32"/>
        </w:rPr>
      </w:pPr>
    </w:p>
    <w:p w14:paraId="60A74472">
      <w:pPr>
        <w:spacing w:line="360" w:lineRule="auto"/>
        <w:contextualSpacing/>
        <w:rPr>
          <w:rFonts w:ascii="宋体" w:hAnsi="宋体" w:cs="仿宋_GB2312"/>
          <w:color w:val="auto"/>
          <w:sz w:val="24"/>
        </w:rPr>
      </w:pPr>
      <w:r>
        <w:rPr>
          <w:rFonts w:hint="eastAsia" w:ascii="宋体" w:hAnsi="宋体" w:cs="仿宋_GB2312"/>
          <w:color w:val="auto"/>
          <w:sz w:val="24"/>
        </w:rPr>
        <w:t>致：</w:t>
      </w:r>
      <w:r>
        <w:rPr>
          <w:rFonts w:hint="eastAsia" w:ascii="宋体" w:hAnsi="宋体" w:cs="仿宋_GB2312"/>
          <w:color w:val="auto"/>
          <w:sz w:val="24"/>
          <w:u w:val="single"/>
        </w:rPr>
        <w:t>（采购人名称）</w:t>
      </w:r>
      <w:r>
        <w:rPr>
          <w:rFonts w:hint="eastAsia" w:ascii="宋体" w:hAnsi="宋体" w:cs="仿宋_GB2312"/>
          <w:color w:val="auto"/>
          <w:sz w:val="24"/>
        </w:rPr>
        <w:t>：</w:t>
      </w:r>
    </w:p>
    <w:p w14:paraId="11F226C9">
      <w:pPr>
        <w:spacing w:line="360" w:lineRule="auto"/>
        <w:ind w:firstLine="480" w:firstLineChars="200"/>
        <w:contextualSpacing/>
        <w:rPr>
          <w:rFonts w:ascii="宋体" w:hAnsi="宋体" w:cs="仿宋_GB2312"/>
          <w:color w:val="auto"/>
          <w:sz w:val="24"/>
        </w:rPr>
      </w:pPr>
      <w:r>
        <w:rPr>
          <w:rFonts w:hint="eastAsia" w:ascii="宋体" w:hAnsi="宋体" w:cs="仿宋_GB2312"/>
          <w:color w:val="auto"/>
          <w:sz w:val="24"/>
        </w:rPr>
        <w:t>我</w:t>
      </w:r>
      <w:r>
        <w:rPr>
          <w:rFonts w:hint="eastAsia" w:ascii="宋体" w:hAnsi="宋体" w:cs="仿宋_GB2312"/>
          <w:color w:val="auto"/>
          <w:sz w:val="24"/>
          <w:u w:val="single"/>
        </w:rPr>
        <w:t xml:space="preserve">  （姓名）  </w:t>
      </w:r>
      <w:r>
        <w:rPr>
          <w:rFonts w:hint="eastAsia" w:ascii="宋体" w:hAnsi="宋体" w:cs="仿宋_GB2312"/>
          <w:color w:val="auto"/>
          <w:sz w:val="24"/>
        </w:rPr>
        <w:t>系</w:t>
      </w:r>
      <w:r>
        <w:rPr>
          <w:rFonts w:hint="eastAsia" w:ascii="宋体" w:hAnsi="宋体" w:cs="仿宋_GB2312"/>
          <w:color w:val="auto"/>
          <w:sz w:val="24"/>
          <w:u w:val="single"/>
        </w:rPr>
        <w:t xml:space="preserve">  （供应商名称）  </w:t>
      </w:r>
      <w:r>
        <w:rPr>
          <w:rFonts w:hint="eastAsia" w:ascii="宋体" w:hAnsi="宋体" w:cs="仿宋_GB2312"/>
          <w:color w:val="auto"/>
          <w:sz w:val="24"/>
        </w:rPr>
        <w:t>的（</w:t>
      </w:r>
      <w:r>
        <w:rPr>
          <w:rFonts w:hint="eastAsia" w:ascii="宋体" w:hAnsi="宋体" w:cs="仿宋_GB2312"/>
          <w:color w:val="auto"/>
          <w:sz w:val="24"/>
          <w:u w:val="single"/>
        </w:rPr>
        <w:t>□法定代表人/□负责人/□自然人本人</w:t>
      </w:r>
      <w:r>
        <w:rPr>
          <w:rFonts w:hint="eastAsia" w:ascii="宋体" w:hAnsi="宋体" w:cs="仿宋_GB2312"/>
          <w:color w:val="auto"/>
          <w:sz w:val="24"/>
        </w:rPr>
        <w:t>），现授权</w:t>
      </w:r>
      <w:r>
        <w:rPr>
          <w:rFonts w:hint="eastAsia" w:ascii="宋体" w:hAnsi="宋体" w:cs="仿宋_GB2312"/>
          <w:color w:val="auto"/>
          <w:sz w:val="24"/>
          <w:u w:val="single"/>
        </w:rPr>
        <w:t xml:space="preserve"> （姓名） </w:t>
      </w:r>
      <w:r>
        <w:rPr>
          <w:rFonts w:hint="eastAsia" w:ascii="宋体" w:hAnsi="宋体" w:cs="仿宋_GB2312"/>
          <w:color w:val="auto"/>
          <w:sz w:val="24"/>
        </w:rPr>
        <w:t>以我方的名义参加</w:t>
      </w:r>
      <w:r>
        <w:rPr>
          <w:rFonts w:hint="eastAsia" w:ascii="宋体" w:hAnsi="宋体" w:cs="仿宋_GB2312"/>
          <w:color w:val="auto"/>
          <w:sz w:val="24"/>
          <w:u w:val="single"/>
        </w:rPr>
        <w:t xml:space="preserve">              </w:t>
      </w:r>
      <w:r>
        <w:rPr>
          <w:rFonts w:hint="eastAsia" w:ascii="宋体" w:hAnsi="宋体" w:cs="仿宋_GB2312"/>
          <w:color w:val="auto"/>
          <w:sz w:val="24"/>
        </w:rPr>
        <w:t>项目的竞标活动，并代表我方全权办理针对上述项目的所有采购程序和环节的具体事务和签署相关文件。</w:t>
      </w:r>
    </w:p>
    <w:p w14:paraId="63C43019">
      <w:pPr>
        <w:spacing w:line="360" w:lineRule="auto"/>
        <w:contextualSpacing/>
        <w:rPr>
          <w:rFonts w:ascii="宋体" w:hAnsi="宋体" w:cs="仿宋_GB2312"/>
          <w:color w:val="auto"/>
          <w:sz w:val="24"/>
        </w:rPr>
      </w:pPr>
      <w:r>
        <w:rPr>
          <w:rFonts w:hint="eastAsia" w:ascii="宋体" w:hAnsi="宋体" w:cs="仿宋_GB2312"/>
          <w:color w:val="auto"/>
          <w:sz w:val="24"/>
        </w:rPr>
        <w:t xml:space="preserve">    我方对委托代理人的签字</w:t>
      </w:r>
      <w:r>
        <w:rPr>
          <w:rFonts w:hint="eastAsia" w:ascii="宋体" w:hAnsi="宋体"/>
          <w:color w:val="auto"/>
          <w:sz w:val="24"/>
        </w:rPr>
        <w:t>或者电子签名</w:t>
      </w:r>
      <w:r>
        <w:rPr>
          <w:rFonts w:hint="eastAsia" w:ascii="宋体" w:hAnsi="宋体" w:cs="仿宋_GB2312"/>
          <w:color w:val="auto"/>
          <w:sz w:val="24"/>
        </w:rPr>
        <w:t>事项负全部责任。</w:t>
      </w:r>
    </w:p>
    <w:p w14:paraId="7E4A990D">
      <w:pPr>
        <w:spacing w:line="360" w:lineRule="auto"/>
        <w:ind w:firstLine="480" w:firstLineChars="200"/>
        <w:contextualSpacing/>
        <w:rPr>
          <w:rFonts w:ascii="宋体" w:hAnsi="宋体" w:cs="仿宋_GB2312"/>
          <w:color w:val="auto"/>
          <w:sz w:val="24"/>
        </w:rPr>
      </w:pPr>
      <w:r>
        <w:rPr>
          <w:rFonts w:hint="eastAsia" w:ascii="宋体" w:hAnsi="宋体" w:cs="仿宋_GB2312"/>
          <w:color w:val="auto"/>
          <w:sz w:val="24"/>
        </w:rPr>
        <w:t>本授权书自签署之日起生效，在撤销授权的书面通知以前，本授权书一直有效。委托代理人在授权书有效期内签署的所有文件不因授权的撤销而失效。</w:t>
      </w:r>
    </w:p>
    <w:p w14:paraId="0954D261">
      <w:pPr>
        <w:spacing w:line="360" w:lineRule="auto"/>
        <w:ind w:firstLine="480" w:firstLineChars="200"/>
        <w:contextualSpacing/>
        <w:rPr>
          <w:rFonts w:ascii="宋体" w:hAnsi="宋体" w:cs="仿宋_GB2312"/>
          <w:color w:val="auto"/>
          <w:sz w:val="24"/>
        </w:rPr>
      </w:pPr>
      <w:r>
        <w:rPr>
          <w:rFonts w:hint="eastAsia" w:ascii="宋体" w:hAnsi="宋体" w:cs="仿宋_GB2312"/>
          <w:color w:val="auto"/>
          <w:sz w:val="24"/>
        </w:rPr>
        <w:t>委托代理人无转委托权，特此委托。</w:t>
      </w:r>
    </w:p>
    <w:p w14:paraId="47293A2C">
      <w:pPr>
        <w:spacing w:line="360" w:lineRule="auto"/>
        <w:ind w:firstLine="480" w:firstLineChars="200"/>
        <w:contextualSpacing/>
        <w:rPr>
          <w:rFonts w:ascii="宋体" w:hAnsi="宋体" w:cs="仿宋_GB2312"/>
          <w:color w:val="auto"/>
          <w:sz w:val="24"/>
        </w:rPr>
      </w:pPr>
      <w:r>
        <w:rPr>
          <w:rFonts w:hint="eastAsia" w:ascii="宋体" w:hAnsi="宋体" w:cs="仿宋_GB2312"/>
          <w:color w:val="auto"/>
          <w:sz w:val="24"/>
        </w:rPr>
        <w:t>附：法定代表人身份证明书及委托代理人有效身份证正反面复印件</w:t>
      </w:r>
    </w:p>
    <w:p w14:paraId="37892701">
      <w:pPr>
        <w:spacing w:line="360" w:lineRule="auto"/>
        <w:contextualSpacing/>
        <w:rPr>
          <w:rFonts w:ascii="宋体" w:hAnsi="宋体" w:cs="仿宋_GB2312"/>
          <w:color w:val="auto"/>
          <w:sz w:val="24"/>
        </w:rPr>
      </w:pPr>
    </w:p>
    <w:p w14:paraId="3EA749DC">
      <w:pPr>
        <w:spacing w:line="360" w:lineRule="auto"/>
        <w:contextualSpacing/>
        <w:rPr>
          <w:rFonts w:ascii="宋体" w:hAnsi="宋体" w:cs="仿宋_GB2312"/>
          <w:color w:val="auto"/>
          <w:sz w:val="24"/>
        </w:rPr>
      </w:pPr>
      <w:r>
        <w:rPr>
          <w:rFonts w:hint="eastAsia" w:ascii="宋体" w:hAnsi="宋体" w:cs="仿宋_GB2312"/>
          <w:color w:val="auto"/>
          <w:sz w:val="24"/>
        </w:rPr>
        <w:t>委托代理人</w:t>
      </w:r>
      <w:r>
        <w:rPr>
          <w:rFonts w:hint="eastAsia" w:ascii="宋体" w:hAnsi="宋体"/>
          <w:color w:val="auto"/>
          <w:sz w:val="24"/>
        </w:rPr>
        <w:t>签字</w:t>
      </w:r>
      <w:r>
        <w:rPr>
          <w:rFonts w:hint="eastAsia" w:ascii="宋体" w:hAnsi="宋体" w:cs="仿宋_GB2312"/>
          <w:color w:val="auto"/>
          <w:sz w:val="24"/>
        </w:rPr>
        <w:t>（</w:t>
      </w:r>
      <w:r>
        <w:rPr>
          <w:rFonts w:hint="eastAsia" w:ascii="宋体" w:hAnsi="宋体"/>
          <w:color w:val="auto"/>
          <w:sz w:val="24"/>
        </w:rPr>
        <w:t>或者电子签名</w:t>
      </w:r>
      <w:r>
        <w:rPr>
          <w:rFonts w:hint="eastAsia" w:ascii="宋体" w:hAnsi="宋体" w:cs="仿宋_GB2312"/>
          <w:color w:val="auto"/>
          <w:sz w:val="24"/>
        </w:rPr>
        <w:t xml:space="preserve">）：     法定代表人签字（或者盖章或者电子签名）：                    </w:t>
      </w:r>
    </w:p>
    <w:p w14:paraId="657D7682">
      <w:pPr>
        <w:spacing w:line="360" w:lineRule="auto"/>
        <w:contextualSpacing/>
        <w:rPr>
          <w:rFonts w:ascii="宋体" w:hAnsi="宋体" w:cs="仿宋_GB2312"/>
          <w:color w:val="auto"/>
          <w:sz w:val="24"/>
        </w:rPr>
      </w:pPr>
      <w:r>
        <w:rPr>
          <w:rFonts w:hint="eastAsia" w:ascii="宋体" w:hAnsi="宋体" w:cs="仿宋_GB2312"/>
          <w:color w:val="auto"/>
          <w:sz w:val="24"/>
        </w:rPr>
        <w:t xml:space="preserve">委托代理人身份证号码：                              </w:t>
      </w:r>
    </w:p>
    <w:p w14:paraId="6B04AEEE">
      <w:pPr>
        <w:spacing w:line="360" w:lineRule="auto"/>
        <w:contextualSpacing/>
        <w:rPr>
          <w:rFonts w:ascii="宋体" w:hAnsi="宋体" w:cs="仿宋_GB2312"/>
          <w:color w:val="auto"/>
          <w:sz w:val="24"/>
        </w:rPr>
      </w:pPr>
      <w:r>
        <w:rPr>
          <w:rFonts w:hint="eastAsia" w:ascii="宋体" w:hAnsi="宋体" w:cs="仿宋_GB2312"/>
          <w:color w:val="auto"/>
          <w:sz w:val="24"/>
        </w:rPr>
        <w:t xml:space="preserve">                                </w:t>
      </w:r>
    </w:p>
    <w:p w14:paraId="2B5CCEFF">
      <w:pPr>
        <w:spacing w:line="360" w:lineRule="auto"/>
        <w:contextualSpacing/>
        <w:rPr>
          <w:rFonts w:ascii="宋体" w:hAnsi="宋体" w:cs="仿宋_GB2312"/>
          <w:color w:val="auto"/>
          <w:sz w:val="24"/>
        </w:rPr>
      </w:pPr>
      <w:r>
        <w:rPr>
          <w:rFonts w:hint="eastAsia" w:ascii="宋体" w:hAnsi="宋体" w:cs="仿宋_GB2312"/>
          <w:color w:val="auto"/>
          <w:sz w:val="24"/>
        </w:rPr>
        <w:t xml:space="preserve">                         供应商</w:t>
      </w:r>
      <w:r>
        <w:rPr>
          <w:rFonts w:hint="eastAsia" w:ascii="宋体" w:hAnsi="宋体" w:cs="仿宋_GB2312"/>
          <w:color w:val="auto"/>
          <w:sz w:val="24"/>
          <w:lang w:eastAsia="zh-CN"/>
        </w:rPr>
        <w:t>名称（</w:t>
      </w:r>
      <w:r>
        <w:rPr>
          <w:rFonts w:hint="eastAsia" w:ascii="宋体" w:hAnsi="宋体" w:cs="仿宋_GB2312"/>
          <w:color w:val="auto"/>
          <w:sz w:val="24"/>
        </w:rPr>
        <w:t>电子签章</w:t>
      </w:r>
      <w:r>
        <w:rPr>
          <w:rFonts w:hint="eastAsia" w:ascii="宋体" w:hAnsi="宋体" w:cs="仿宋_GB2312"/>
          <w:color w:val="auto"/>
          <w:sz w:val="24"/>
          <w:lang w:eastAsia="zh-CN"/>
        </w:rPr>
        <w:t>）</w:t>
      </w:r>
      <w:r>
        <w:rPr>
          <w:rFonts w:hint="eastAsia" w:ascii="宋体" w:hAnsi="宋体" w:cs="仿宋_GB2312"/>
          <w:color w:val="auto"/>
          <w:sz w:val="24"/>
        </w:rPr>
        <w:t xml:space="preserve">：                      </w:t>
      </w:r>
    </w:p>
    <w:p w14:paraId="13F9FD58">
      <w:pPr>
        <w:spacing w:line="360" w:lineRule="auto"/>
        <w:contextualSpacing/>
        <w:rPr>
          <w:rFonts w:ascii="宋体" w:hAnsi="宋体" w:cs="仿宋_GB2312"/>
          <w:color w:val="auto"/>
          <w:sz w:val="24"/>
        </w:rPr>
      </w:pPr>
      <w:r>
        <w:rPr>
          <w:rFonts w:hint="eastAsia" w:ascii="宋体" w:hAnsi="宋体" w:cs="仿宋_GB2312"/>
          <w:color w:val="auto"/>
          <w:sz w:val="24"/>
        </w:rPr>
        <w:t xml:space="preserve">                                         年    月    日</w:t>
      </w:r>
    </w:p>
    <w:p w14:paraId="0736FCC1">
      <w:pPr>
        <w:spacing w:line="360" w:lineRule="auto"/>
        <w:contextualSpacing/>
        <w:rPr>
          <w:rFonts w:ascii="宋体" w:hAnsi="宋体" w:cs="仿宋_GB2312"/>
          <w:color w:val="auto"/>
          <w:sz w:val="24"/>
        </w:rPr>
      </w:pPr>
    </w:p>
    <w:p w14:paraId="0740A021">
      <w:pPr>
        <w:spacing w:line="360" w:lineRule="auto"/>
        <w:contextualSpacing/>
        <w:rPr>
          <w:rFonts w:ascii="宋体" w:hAnsi="宋体" w:cs="仿宋_GB2312"/>
          <w:color w:val="auto"/>
          <w:sz w:val="24"/>
        </w:rPr>
      </w:pPr>
      <w:r>
        <w:rPr>
          <w:rFonts w:hint="eastAsia" w:ascii="宋体" w:hAnsi="宋体" w:cs="仿宋_GB2312"/>
          <w:color w:val="auto"/>
          <w:sz w:val="24"/>
        </w:rPr>
        <w:t>注：1.法定代表人必须在授权委托书上签字（或者盖章</w:t>
      </w:r>
      <w:r>
        <w:rPr>
          <w:rFonts w:hint="eastAsia" w:ascii="宋体" w:hAnsi="宋体"/>
          <w:color w:val="auto"/>
          <w:sz w:val="24"/>
        </w:rPr>
        <w:t>或者电子签名</w:t>
      </w:r>
      <w:r>
        <w:rPr>
          <w:rFonts w:hint="eastAsia" w:ascii="宋体" w:hAnsi="宋体" w:cs="仿宋_GB2312"/>
          <w:color w:val="auto"/>
          <w:sz w:val="24"/>
        </w:rPr>
        <w:t>），委托代理人必须在授权委托书上签字（或者电子签名），</w:t>
      </w:r>
      <w:r>
        <w:rPr>
          <w:rFonts w:hint="eastAsia" w:ascii="宋体" w:hAnsi="宋体" w:cs="仿宋_GB2312"/>
          <w:b/>
          <w:color w:val="auto"/>
          <w:sz w:val="24"/>
        </w:rPr>
        <w:t>否则其响应文件按无效响应处理。</w:t>
      </w:r>
    </w:p>
    <w:p w14:paraId="60CE3331">
      <w:pPr>
        <w:spacing w:line="360" w:lineRule="auto"/>
        <w:ind w:firstLine="480" w:firstLineChars="200"/>
        <w:contextualSpacing/>
        <w:jc w:val="left"/>
        <w:rPr>
          <w:rFonts w:ascii="宋体" w:hAnsi="宋体" w:cs="仿宋_GB2312"/>
          <w:color w:val="auto"/>
          <w:sz w:val="24"/>
        </w:rPr>
      </w:pPr>
      <w:r>
        <w:rPr>
          <w:rFonts w:ascii="宋体" w:hAnsi="宋体" w:cs="仿宋_GB2312"/>
          <w:color w:val="auto"/>
          <w:sz w:val="24"/>
        </w:rPr>
        <w:t>2.</w:t>
      </w:r>
      <w:bookmarkStart w:id="89" w:name="_Hlk65853109"/>
      <w:bookmarkStart w:id="90" w:name="_Hlk65853542"/>
      <w:r>
        <w:rPr>
          <w:rFonts w:hint="eastAsia" w:ascii="宋体" w:hAnsi="宋体" w:cs="仿宋_GB2312"/>
          <w:color w:val="auto"/>
          <w:sz w:val="24"/>
        </w:rPr>
        <w:t>法人、其他组织竞标时“我方”是指“我单位”，自然人竞标时“我方”是指“本人”。</w:t>
      </w:r>
      <w:bookmarkEnd w:id="89"/>
    </w:p>
    <w:bookmarkEnd w:id="90"/>
    <w:p w14:paraId="5D65C615">
      <w:pPr>
        <w:spacing w:line="360" w:lineRule="auto"/>
        <w:ind w:firstLine="420" w:firstLineChars="200"/>
        <w:jc w:val="left"/>
        <w:rPr>
          <w:rFonts w:ascii="仿宋_GB2312" w:hAnsi="仿宋_GB2312" w:eastAsia="仿宋_GB2312" w:cs="仿宋_GB2312"/>
          <w:color w:val="auto"/>
          <w:szCs w:val="21"/>
        </w:rPr>
      </w:pPr>
    </w:p>
    <w:p w14:paraId="6CA679D2">
      <w:pPr>
        <w:spacing w:line="500" w:lineRule="exact"/>
        <w:jc w:val="center"/>
        <w:rPr>
          <w:rFonts w:ascii="方正小标宋简体" w:hAnsi="方正小标宋简体" w:eastAsia="方正小标宋简体" w:cs="方正小标宋简体"/>
          <w:color w:val="auto"/>
          <w:sz w:val="44"/>
          <w:szCs w:val="44"/>
        </w:rPr>
      </w:pPr>
      <w:r>
        <w:rPr>
          <w:rFonts w:ascii="仿宋_GB2312" w:hAnsi="仿宋_GB2312" w:eastAsia="仿宋_GB2312" w:cs="仿宋_GB2312"/>
          <w:color w:val="auto"/>
          <w:szCs w:val="21"/>
        </w:rPr>
        <w:br w:type="page"/>
      </w:r>
      <w:r>
        <w:rPr>
          <w:rFonts w:hint="eastAsia" w:ascii="方正小标宋简体" w:hAnsi="方正小标宋简体" w:eastAsia="方正小标宋简体" w:cs="方正小标宋简体"/>
          <w:color w:val="auto"/>
          <w:sz w:val="44"/>
          <w:szCs w:val="44"/>
        </w:rPr>
        <w:t>授权委托书（联合体竞标格式）</w:t>
      </w:r>
    </w:p>
    <w:p w14:paraId="1FFEFE16">
      <w:pPr>
        <w:spacing w:line="500" w:lineRule="exact"/>
        <w:jc w:val="center"/>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（如有委托时）</w:t>
      </w:r>
    </w:p>
    <w:p w14:paraId="470DE3AA">
      <w:pPr>
        <w:spacing w:line="500" w:lineRule="exact"/>
        <w:jc w:val="center"/>
        <w:rPr>
          <w:rFonts w:ascii="方正小标宋简体" w:hAnsi="方正小标宋简体" w:eastAsia="方正小标宋简体" w:cs="方正小标宋简体"/>
          <w:color w:val="auto"/>
          <w:sz w:val="44"/>
          <w:szCs w:val="44"/>
        </w:rPr>
      </w:pPr>
    </w:p>
    <w:p w14:paraId="065B1ABD">
      <w:pPr>
        <w:spacing w:line="500" w:lineRule="exact"/>
        <w:jc w:val="center"/>
        <w:rPr>
          <w:rFonts w:ascii="仿宋_GB2312" w:hAnsi="仿宋_GB2312" w:eastAsia="仿宋_GB2312" w:cs="仿宋_GB2312"/>
          <w:color w:val="auto"/>
          <w:sz w:val="32"/>
          <w:szCs w:val="32"/>
        </w:rPr>
      </w:pPr>
    </w:p>
    <w:p w14:paraId="41FD4207">
      <w:pPr>
        <w:spacing w:line="360" w:lineRule="auto"/>
        <w:ind w:firstLine="480" w:firstLineChars="200"/>
        <w:contextualSpacing/>
        <w:jc w:val="left"/>
        <w:rPr>
          <w:rFonts w:ascii="宋体" w:hAnsi="宋体" w:cs="仿宋_GB2312"/>
          <w:color w:val="auto"/>
          <w:sz w:val="24"/>
        </w:rPr>
      </w:pPr>
      <w:r>
        <w:rPr>
          <w:rFonts w:hint="eastAsia" w:ascii="宋体" w:hAnsi="宋体" w:cs="仿宋_GB2312"/>
          <w:color w:val="auto"/>
          <w:sz w:val="24"/>
        </w:rPr>
        <w:t>本授权委托书声明：根据</w:t>
      </w:r>
      <w:r>
        <w:rPr>
          <w:rFonts w:hint="eastAsia" w:ascii="宋体" w:hAnsi="宋体" w:cs="仿宋_GB2312"/>
          <w:color w:val="auto"/>
          <w:sz w:val="24"/>
          <w:u w:val="single"/>
        </w:rPr>
        <w:t xml:space="preserve">                </w:t>
      </w:r>
      <w:r>
        <w:rPr>
          <w:rFonts w:hint="eastAsia" w:ascii="宋体" w:hAnsi="宋体" w:cs="仿宋_GB2312"/>
          <w:color w:val="auto"/>
          <w:sz w:val="24"/>
        </w:rPr>
        <w:t>（牵头人名称）与</w:t>
      </w:r>
      <w:r>
        <w:rPr>
          <w:rFonts w:hint="eastAsia" w:ascii="宋体" w:hAnsi="宋体" w:cs="仿宋_GB2312"/>
          <w:color w:val="auto"/>
          <w:sz w:val="24"/>
          <w:u w:val="single"/>
        </w:rPr>
        <w:t xml:space="preserve">              </w:t>
      </w:r>
      <w:r>
        <w:rPr>
          <w:rFonts w:hint="eastAsia" w:ascii="宋体" w:hAnsi="宋体" w:cs="仿宋_GB2312"/>
          <w:color w:val="auto"/>
          <w:sz w:val="24"/>
        </w:rPr>
        <w:t>（联合体其他成员名称）签订的《联合体竞标协议书》的内容，</w:t>
      </w:r>
      <w:r>
        <w:rPr>
          <w:rFonts w:hint="eastAsia" w:ascii="宋体" w:hAnsi="宋体" w:cs="仿宋_GB2312"/>
          <w:color w:val="auto"/>
          <w:sz w:val="24"/>
          <w:u w:val="single"/>
        </w:rPr>
        <w:t xml:space="preserve">                       </w:t>
      </w:r>
      <w:r>
        <w:rPr>
          <w:rFonts w:hint="eastAsia" w:ascii="宋体" w:hAnsi="宋体" w:cs="仿宋_GB2312"/>
          <w:color w:val="auto"/>
          <w:sz w:val="24"/>
        </w:rPr>
        <w:t>（牵头人名称）的法定代表人</w:t>
      </w:r>
      <w:r>
        <w:rPr>
          <w:rFonts w:hint="eastAsia" w:ascii="宋体" w:hAnsi="宋体" w:cs="仿宋_GB2312"/>
          <w:color w:val="auto"/>
          <w:sz w:val="24"/>
          <w:u w:val="single"/>
        </w:rPr>
        <w:t xml:space="preserve">      </w:t>
      </w:r>
      <w:r>
        <w:rPr>
          <w:rFonts w:hint="eastAsia" w:ascii="宋体" w:hAnsi="宋体" w:cs="仿宋_GB2312"/>
          <w:color w:val="auto"/>
          <w:sz w:val="24"/>
        </w:rPr>
        <w:t>（姓名）现授权</w:t>
      </w:r>
      <w:r>
        <w:rPr>
          <w:rFonts w:hint="eastAsia" w:ascii="宋体" w:hAnsi="宋体" w:cs="仿宋_GB2312"/>
          <w:color w:val="auto"/>
          <w:sz w:val="24"/>
          <w:u w:val="single"/>
        </w:rPr>
        <w:t xml:space="preserve">      </w:t>
      </w:r>
      <w:r>
        <w:rPr>
          <w:rFonts w:hint="eastAsia" w:ascii="宋体" w:hAnsi="宋体" w:cs="仿宋_GB2312"/>
          <w:color w:val="auto"/>
          <w:sz w:val="24"/>
        </w:rPr>
        <w:t>（姓名）为联合委托代理人，并代表我方全权办理针对上述项目的所有采购程序和环节的具体事务和签署相关文件。</w:t>
      </w:r>
    </w:p>
    <w:p w14:paraId="6CB8E7D2">
      <w:pPr>
        <w:spacing w:line="360" w:lineRule="auto"/>
        <w:ind w:firstLine="480" w:firstLineChars="200"/>
        <w:contextualSpacing/>
        <w:rPr>
          <w:rFonts w:ascii="宋体" w:hAnsi="宋体" w:cs="仿宋_GB2312"/>
          <w:color w:val="auto"/>
          <w:sz w:val="24"/>
        </w:rPr>
      </w:pPr>
      <w:r>
        <w:rPr>
          <w:rFonts w:hint="eastAsia" w:ascii="宋体" w:hAnsi="宋体" w:cs="仿宋_GB2312"/>
          <w:color w:val="auto"/>
          <w:sz w:val="24"/>
        </w:rPr>
        <w:t>我方对委托代理人的</w:t>
      </w:r>
      <w:r>
        <w:rPr>
          <w:rFonts w:hint="eastAsia" w:ascii="宋体" w:hAnsi="宋体"/>
          <w:color w:val="auto"/>
          <w:sz w:val="24"/>
        </w:rPr>
        <w:t>签字或者电子签名</w:t>
      </w:r>
      <w:r>
        <w:rPr>
          <w:rFonts w:hint="eastAsia" w:ascii="宋体" w:hAnsi="宋体" w:cs="仿宋_GB2312"/>
          <w:color w:val="auto"/>
          <w:sz w:val="24"/>
        </w:rPr>
        <w:t>事项负全部责任。</w:t>
      </w:r>
    </w:p>
    <w:p w14:paraId="6EE3BC4D">
      <w:pPr>
        <w:spacing w:line="360" w:lineRule="auto"/>
        <w:ind w:firstLine="480" w:firstLineChars="200"/>
        <w:contextualSpacing/>
        <w:rPr>
          <w:rFonts w:ascii="宋体" w:hAnsi="宋体" w:cs="仿宋_GB2312"/>
          <w:color w:val="auto"/>
          <w:sz w:val="24"/>
        </w:rPr>
      </w:pPr>
      <w:r>
        <w:rPr>
          <w:rFonts w:hint="eastAsia" w:ascii="宋体" w:hAnsi="宋体" w:cs="仿宋_GB2312"/>
          <w:color w:val="auto"/>
          <w:sz w:val="24"/>
        </w:rPr>
        <w:t>本授权书自签署之日起生效，在撤销授权的书面通知以前，本授权书一直有效。委托代理人在授权书有效期内签署的所有文件不因授权的撤销而失效。</w:t>
      </w:r>
    </w:p>
    <w:p w14:paraId="50662892">
      <w:pPr>
        <w:spacing w:line="360" w:lineRule="auto"/>
        <w:ind w:firstLine="480" w:firstLineChars="200"/>
        <w:contextualSpacing/>
        <w:rPr>
          <w:rFonts w:ascii="宋体" w:hAnsi="宋体" w:cs="仿宋_GB2312"/>
          <w:color w:val="auto"/>
          <w:sz w:val="24"/>
        </w:rPr>
      </w:pPr>
      <w:r>
        <w:rPr>
          <w:rFonts w:hint="eastAsia" w:ascii="宋体" w:hAnsi="宋体" w:cs="仿宋_GB2312"/>
          <w:color w:val="auto"/>
          <w:sz w:val="24"/>
        </w:rPr>
        <w:t>委托代理人无转委托权，特此委托。</w:t>
      </w:r>
    </w:p>
    <w:p w14:paraId="1DE035D7">
      <w:pPr>
        <w:spacing w:line="360" w:lineRule="auto"/>
        <w:contextualSpacing/>
        <w:rPr>
          <w:rFonts w:ascii="宋体" w:hAnsi="宋体" w:cs="仿宋_GB2312"/>
          <w:color w:val="auto"/>
          <w:sz w:val="24"/>
        </w:rPr>
      </w:pPr>
      <w:r>
        <w:rPr>
          <w:rFonts w:hint="eastAsia" w:ascii="宋体" w:hAnsi="宋体" w:cs="仿宋_GB2312"/>
          <w:color w:val="auto"/>
          <w:sz w:val="24"/>
        </w:rPr>
        <w:t xml:space="preserve">    附：法定代表人身份证明书及委托代理人有效身份证正反面复印件</w:t>
      </w:r>
    </w:p>
    <w:p w14:paraId="3A8A3CEF">
      <w:pPr>
        <w:spacing w:line="360" w:lineRule="auto"/>
        <w:ind w:firstLine="480" w:firstLineChars="200"/>
        <w:contextualSpacing/>
        <w:rPr>
          <w:rFonts w:ascii="宋体" w:hAnsi="宋体" w:cs="仿宋_GB2312"/>
          <w:color w:val="auto"/>
          <w:sz w:val="24"/>
        </w:rPr>
      </w:pPr>
      <w:r>
        <w:rPr>
          <w:rFonts w:hint="eastAsia" w:ascii="宋体" w:hAnsi="宋体" w:cs="仿宋_GB2312"/>
          <w:color w:val="auto"/>
          <w:sz w:val="24"/>
        </w:rPr>
        <w:t>牵头人法定代表人（签字或者盖章或者电子签名）：</w:t>
      </w:r>
    </w:p>
    <w:p w14:paraId="569FE8B9">
      <w:pPr>
        <w:spacing w:line="360" w:lineRule="auto"/>
        <w:ind w:firstLine="3120" w:firstLineChars="1300"/>
        <w:contextualSpacing/>
        <w:rPr>
          <w:rFonts w:ascii="宋体" w:hAnsi="宋体" w:cs="仿宋_GB2312"/>
          <w:color w:val="auto"/>
          <w:sz w:val="24"/>
        </w:rPr>
      </w:pPr>
      <w:r>
        <w:rPr>
          <w:rFonts w:hint="eastAsia" w:ascii="宋体" w:hAnsi="宋体" w:cs="仿宋_GB2312"/>
          <w:color w:val="auto"/>
          <w:sz w:val="24"/>
        </w:rPr>
        <w:t>牵头人公章（电子签章）：</w:t>
      </w:r>
    </w:p>
    <w:p w14:paraId="1EA8AB98">
      <w:pPr>
        <w:spacing w:line="360" w:lineRule="auto"/>
        <w:ind w:firstLine="3840" w:firstLineChars="1600"/>
        <w:contextualSpacing/>
        <w:rPr>
          <w:rFonts w:ascii="宋体" w:hAnsi="宋体" w:cs="仿宋_GB2312"/>
          <w:color w:val="auto"/>
          <w:sz w:val="24"/>
        </w:rPr>
      </w:pPr>
      <w:r>
        <w:rPr>
          <w:rFonts w:hint="eastAsia" w:ascii="宋体" w:hAnsi="宋体" w:cs="仿宋_GB2312"/>
          <w:color w:val="auto"/>
          <w:sz w:val="24"/>
        </w:rPr>
        <w:t>日期：    年   月   日</w:t>
      </w:r>
    </w:p>
    <w:p w14:paraId="5A9BEB85">
      <w:pPr>
        <w:spacing w:line="360" w:lineRule="auto"/>
        <w:contextualSpacing/>
        <w:rPr>
          <w:rFonts w:ascii="宋体" w:hAnsi="宋体" w:cs="仿宋_GB2312"/>
          <w:color w:val="auto"/>
          <w:sz w:val="24"/>
        </w:rPr>
      </w:pPr>
    </w:p>
    <w:p w14:paraId="34E65F10">
      <w:pPr>
        <w:spacing w:line="360" w:lineRule="auto"/>
        <w:ind w:firstLine="3120" w:firstLineChars="1300"/>
        <w:contextualSpacing/>
        <w:rPr>
          <w:rFonts w:ascii="宋体" w:hAnsi="宋体" w:cs="仿宋_GB2312"/>
          <w:color w:val="auto"/>
          <w:sz w:val="24"/>
        </w:rPr>
      </w:pPr>
      <w:r>
        <w:rPr>
          <w:rFonts w:hint="eastAsia" w:ascii="宋体" w:hAnsi="宋体" w:cs="仿宋_GB2312"/>
          <w:color w:val="auto"/>
          <w:sz w:val="24"/>
        </w:rPr>
        <w:t>被授权人（签字或者电子签名）：</w:t>
      </w:r>
    </w:p>
    <w:p w14:paraId="72425FE4">
      <w:pPr>
        <w:spacing w:line="360" w:lineRule="auto"/>
        <w:ind w:firstLine="3840" w:firstLineChars="1600"/>
        <w:contextualSpacing/>
        <w:rPr>
          <w:rFonts w:ascii="宋体" w:hAnsi="宋体" w:cs="仿宋_GB2312"/>
          <w:color w:val="auto"/>
          <w:sz w:val="24"/>
        </w:rPr>
      </w:pPr>
      <w:r>
        <w:rPr>
          <w:rFonts w:hint="eastAsia" w:ascii="宋体" w:hAnsi="宋体" w:cs="仿宋_GB2312"/>
          <w:color w:val="auto"/>
          <w:sz w:val="24"/>
        </w:rPr>
        <w:t>日期：    年   月   日</w:t>
      </w:r>
    </w:p>
    <w:p w14:paraId="549E0312">
      <w:pPr>
        <w:spacing w:line="360" w:lineRule="auto"/>
        <w:contextualSpacing/>
        <w:rPr>
          <w:rFonts w:ascii="宋体" w:hAnsi="宋体" w:cs="仿宋_GB2312"/>
          <w:color w:val="auto"/>
          <w:sz w:val="24"/>
        </w:rPr>
      </w:pPr>
    </w:p>
    <w:p w14:paraId="5A955D28">
      <w:pPr>
        <w:spacing w:line="360" w:lineRule="auto"/>
        <w:contextualSpacing/>
        <w:rPr>
          <w:rFonts w:ascii="宋体" w:hAnsi="宋体" w:cs="仿宋_GB2312"/>
          <w:color w:val="auto"/>
          <w:sz w:val="24"/>
        </w:rPr>
      </w:pPr>
      <w:r>
        <w:rPr>
          <w:rFonts w:hint="eastAsia" w:ascii="宋体" w:hAnsi="宋体" w:cs="仿宋_GB2312"/>
          <w:color w:val="auto"/>
          <w:sz w:val="24"/>
        </w:rPr>
        <w:t>注：1.法定代表人必须在授权委托书上签字（或者盖章</w:t>
      </w:r>
      <w:r>
        <w:rPr>
          <w:rFonts w:hint="eastAsia" w:ascii="宋体" w:hAnsi="宋体"/>
          <w:color w:val="auto"/>
          <w:sz w:val="24"/>
        </w:rPr>
        <w:t>或者电子签名</w:t>
      </w:r>
      <w:r>
        <w:rPr>
          <w:rFonts w:hint="eastAsia" w:ascii="宋体" w:hAnsi="宋体" w:cs="仿宋_GB2312"/>
          <w:color w:val="auto"/>
          <w:sz w:val="24"/>
        </w:rPr>
        <w:t>），委托代理人必须在授权委托书上签字（或者电子签名），</w:t>
      </w:r>
      <w:r>
        <w:rPr>
          <w:rFonts w:hint="eastAsia" w:ascii="宋体" w:hAnsi="宋体" w:cs="仿宋_GB2312"/>
          <w:b/>
          <w:color w:val="auto"/>
          <w:sz w:val="24"/>
        </w:rPr>
        <w:t>否则其响应文件按无效响应处理。</w:t>
      </w:r>
    </w:p>
    <w:p w14:paraId="1F8D8A16">
      <w:pPr>
        <w:spacing w:line="360" w:lineRule="auto"/>
        <w:ind w:firstLine="480" w:firstLineChars="200"/>
        <w:contextualSpacing/>
        <w:jc w:val="left"/>
        <w:rPr>
          <w:rFonts w:ascii="宋体" w:hAnsi="宋体" w:cs="仿宋_GB2312"/>
          <w:color w:val="auto"/>
          <w:sz w:val="24"/>
        </w:rPr>
      </w:pPr>
      <w:r>
        <w:rPr>
          <w:rFonts w:ascii="宋体" w:hAnsi="宋体" w:cs="仿宋_GB2312"/>
          <w:color w:val="auto"/>
          <w:sz w:val="24"/>
        </w:rPr>
        <w:t>2.</w:t>
      </w:r>
      <w:r>
        <w:rPr>
          <w:rFonts w:hint="eastAsia" w:ascii="宋体" w:hAnsi="宋体" w:cs="仿宋_GB2312"/>
          <w:color w:val="auto"/>
          <w:sz w:val="24"/>
        </w:rPr>
        <w:t>法人、其他组织竞标时“我方”是指“我单位”，自然人竞标时“我方”是指“本人”。</w:t>
      </w:r>
    </w:p>
    <w:p w14:paraId="083D01FE">
      <w:pPr>
        <w:spacing w:line="500" w:lineRule="exact"/>
        <w:jc w:val="center"/>
        <w:rPr>
          <w:rFonts w:hint="eastAsia" w:ascii="方正小标宋简体" w:hAnsi="方正小标宋简体" w:eastAsia="方正小标宋简体" w:cs="方正小标宋简体"/>
          <w:bCs/>
          <w:color w:val="auto"/>
          <w:sz w:val="44"/>
          <w:szCs w:val="44"/>
          <w:lang w:eastAsia="zh-CN"/>
        </w:rPr>
      </w:pPr>
      <w:r>
        <w:rPr>
          <w:rFonts w:hint="eastAsia" w:ascii="仿宋_GB2312" w:hAnsi="仿宋_GB2312" w:eastAsia="仿宋_GB2312" w:cs="仿宋_GB2312"/>
          <w:color w:val="auto"/>
          <w:sz w:val="32"/>
          <w:szCs w:val="32"/>
        </w:rPr>
        <w:br w:type="page"/>
      </w:r>
      <w:r>
        <w:rPr>
          <w:rFonts w:hint="eastAsia" w:ascii="方正小标宋简体" w:hAnsi="方正小标宋简体" w:eastAsia="方正小标宋简体" w:cs="方正小标宋简体"/>
          <w:bCs/>
          <w:color w:val="auto"/>
          <w:sz w:val="44"/>
          <w:szCs w:val="44"/>
          <w:lang w:eastAsia="zh-CN"/>
        </w:rPr>
        <w:t>服务内容及要求响应表</w:t>
      </w:r>
    </w:p>
    <w:p w14:paraId="7B068441">
      <w:pPr>
        <w:spacing w:line="500" w:lineRule="exact"/>
        <w:jc w:val="center"/>
        <w:rPr>
          <w:rFonts w:hint="eastAsia" w:ascii="方正小标宋简体" w:hAnsi="方正小标宋简体" w:eastAsia="方正小标宋简体" w:cs="方正小标宋简体"/>
          <w:bCs/>
          <w:color w:val="auto"/>
          <w:sz w:val="44"/>
          <w:szCs w:val="44"/>
          <w:lang w:eastAsia="zh-CN"/>
        </w:rPr>
      </w:pPr>
    </w:p>
    <w:p w14:paraId="338AA91F">
      <w:pPr>
        <w:spacing w:line="500" w:lineRule="exact"/>
        <w:jc w:val="both"/>
        <w:rPr>
          <w:rFonts w:hint="default" w:ascii="方正小标宋简体" w:hAnsi="方正小标宋简体" w:eastAsia="方正小标宋简体" w:cs="方正小标宋简体"/>
          <w:b w:val="0"/>
          <w:bCs/>
          <w:color w:val="auto"/>
          <w:sz w:val="28"/>
          <w:szCs w:val="28"/>
          <w:u w:val="single"/>
          <w:lang w:val="en-US" w:eastAsia="zh-CN"/>
        </w:rPr>
      </w:pPr>
      <w:r>
        <w:rPr>
          <w:rFonts w:hint="eastAsia" w:ascii="方正小标宋简体" w:hAnsi="方正小标宋简体" w:eastAsia="方正小标宋简体" w:cs="方正小标宋简体"/>
          <w:b w:val="0"/>
          <w:bCs/>
          <w:color w:val="auto"/>
          <w:sz w:val="28"/>
          <w:szCs w:val="28"/>
          <w:lang w:eastAsia="zh-CN"/>
        </w:rPr>
        <w:t>项目编号：</w:t>
      </w:r>
      <w:r>
        <w:rPr>
          <w:rFonts w:hint="eastAsia" w:ascii="方正小标宋简体" w:hAnsi="方正小标宋简体" w:eastAsia="方正小标宋简体" w:cs="方正小标宋简体"/>
          <w:b w:val="0"/>
          <w:bCs/>
          <w:color w:val="auto"/>
          <w:sz w:val="28"/>
          <w:szCs w:val="28"/>
          <w:u w:val="single"/>
          <w:lang w:val="en-US" w:eastAsia="zh-CN"/>
        </w:rPr>
        <w:t xml:space="preserve">                     </w:t>
      </w:r>
    </w:p>
    <w:p w14:paraId="67A2CFCA">
      <w:pPr>
        <w:spacing w:line="500" w:lineRule="exact"/>
        <w:jc w:val="both"/>
        <w:rPr>
          <w:rFonts w:hint="eastAsia" w:ascii="方正小标宋简体" w:hAnsi="方正小标宋简体" w:eastAsia="方正小标宋简体" w:cs="方正小标宋简体"/>
          <w:b w:val="0"/>
          <w:bCs/>
          <w:color w:val="auto"/>
          <w:sz w:val="40"/>
          <w:szCs w:val="40"/>
          <w:lang w:eastAsia="zh-CN"/>
        </w:rPr>
      </w:pPr>
      <w:r>
        <w:rPr>
          <w:rFonts w:hint="eastAsia" w:ascii="方正小标宋简体" w:hAnsi="方正小标宋简体" w:eastAsia="方正小标宋简体" w:cs="方正小标宋简体"/>
          <w:b w:val="0"/>
          <w:bCs/>
          <w:color w:val="auto"/>
          <w:sz w:val="28"/>
          <w:szCs w:val="28"/>
          <w:lang w:eastAsia="zh-CN"/>
        </w:rPr>
        <w:t>项目名称：</w:t>
      </w:r>
      <w:r>
        <w:rPr>
          <w:rFonts w:hint="eastAsia" w:ascii="方正小标宋简体" w:hAnsi="方正小标宋简体" w:eastAsia="方正小标宋简体" w:cs="方正小标宋简体"/>
          <w:b w:val="0"/>
          <w:bCs/>
          <w:color w:val="auto"/>
          <w:sz w:val="28"/>
          <w:szCs w:val="28"/>
          <w:u w:val="single"/>
          <w:lang w:val="en-US" w:eastAsia="zh-CN"/>
        </w:rPr>
        <w:t xml:space="preserve">                     </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8"/>
        <w:gridCol w:w="3639"/>
        <w:gridCol w:w="3009"/>
        <w:gridCol w:w="1122"/>
      </w:tblGrid>
      <w:tr w14:paraId="5612A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4" w:type="dxa"/>
            <w:vAlign w:val="center"/>
          </w:tcPr>
          <w:p w14:paraId="2A0BE53D">
            <w:pPr>
              <w:spacing w:line="500" w:lineRule="exact"/>
              <w:jc w:val="center"/>
              <w:rPr>
                <w:rFonts w:hint="eastAsia" w:ascii="宋体" w:hAnsi="宋体" w:eastAsia="宋体" w:cs="宋体"/>
                <w:b w:val="0"/>
                <w:bCs/>
                <w:color w:val="auto"/>
                <w:sz w:val="28"/>
                <w:szCs w:val="28"/>
                <w:vertAlign w:val="baseline"/>
                <w:lang w:eastAsia="zh-CN"/>
              </w:rPr>
            </w:pPr>
            <w:r>
              <w:rPr>
                <w:rFonts w:hint="eastAsia" w:ascii="宋体" w:hAnsi="宋体" w:eastAsia="宋体" w:cs="宋体"/>
                <w:b w:val="0"/>
                <w:bCs/>
                <w:color w:val="auto"/>
                <w:sz w:val="28"/>
                <w:szCs w:val="28"/>
                <w:vertAlign w:val="baseline"/>
                <w:lang w:eastAsia="zh-CN"/>
              </w:rPr>
              <w:t>采购标的名称</w:t>
            </w:r>
          </w:p>
        </w:tc>
        <w:tc>
          <w:tcPr>
            <w:tcW w:w="3705" w:type="dxa"/>
            <w:vAlign w:val="center"/>
          </w:tcPr>
          <w:p w14:paraId="1DCB6FF9">
            <w:pPr>
              <w:spacing w:line="500" w:lineRule="exact"/>
              <w:jc w:val="center"/>
              <w:rPr>
                <w:rFonts w:hint="eastAsia" w:ascii="宋体" w:hAnsi="宋体" w:eastAsia="宋体" w:cs="宋体"/>
                <w:b w:val="0"/>
                <w:bCs/>
                <w:color w:val="auto"/>
                <w:sz w:val="28"/>
                <w:szCs w:val="28"/>
                <w:vertAlign w:val="baseline"/>
                <w:lang w:eastAsia="zh-CN"/>
              </w:rPr>
            </w:pPr>
            <w:r>
              <w:rPr>
                <w:rFonts w:hint="eastAsia" w:ascii="宋体" w:hAnsi="宋体" w:eastAsia="宋体" w:cs="宋体"/>
                <w:b w:val="0"/>
                <w:bCs/>
                <w:color w:val="auto"/>
                <w:sz w:val="28"/>
                <w:szCs w:val="28"/>
                <w:vertAlign w:val="baseline"/>
                <w:lang w:eastAsia="zh-CN"/>
              </w:rPr>
              <w:t>竞争性磋商文件第三章采购需求的“服务内容及要求”</w:t>
            </w:r>
          </w:p>
        </w:tc>
        <w:tc>
          <w:tcPr>
            <w:tcW w:w="3060" w:type="dxa"/>
            <w:vAlign w:val="center"/>
          </w:tcPr>
          <w:p w14:paraId="2A1456CA">
            <w:pPr>
              <w:spacing w:line="500" w:lineRule="exact"/>
              <w:jc w:val="center"/>
              <w:rPr>
                <w:rFonts w:hint="eastAsia" w:ascii="宋体" w:hAnsi="宋体" w:eastAsia="宋体" w:cs="宋体"/>
                <w:b w:val="0"/>
                <w:bCs/>
                <w:color w:val="auto"/>
                <w:sz w:val="28"/>
                <w:szCs w:val="28"/>
                <w:vertAlign w:val="baseline"/>
                <w:lang w:eastAsia="zh-CN"/>
              </w:rPr>
            </w:pPr>
            <w:r>
              <w:rPr>
                <w:rFonts w:hint="eastAsia" w:ascii="宋体" w:hAnsi="宋体" w:eastAsia="宋体" w:cs="宋体"/>
                <w:b w:val="0"/>
                <w:bCs/>
                <w:color w:val="auto"/>
                <w:sz w:val="28"/>
                <w:szCs w:val="28"/>
                <w:vertAlign w:val="baseline"/>
                <w:lang w:eastAsia="zh-CN"/>
              </w:rPr>
              <w:t>供应商对应“服务内容及要求”的详细承诺</w:t>
            </w:r>
          </w:p>
        </w:tc>
        <w:tc>
          <w:tcPr>
            <w:tcW w:w="1136" w:type="dxa"/>
            <w:vAlign w:val="center"/>
          </w:tcPr>
          <w:p w14:paraId="47EFCD88">
            <w:pPr>
              <w:spacing w:line="500" w:lineRule="exact"/>
              <w:jc w:val="center"/>
              <w:rPr>
                <w:rFonts w:hint="eastAsia" w:ascii="宋体" w:hAnsi="宋体" w:eastAsia="宋体" w:cs="宋体"/>
                <w:b w:val="0"/>
                <w:bCs/>
                <w:color w:val="auto"/>
                <w:sz w:val="28"/>
                <w:szCs w:val="28"/>
                <w:vertAlign w:val="baseline"/>
                <w:lang w:eastAsia="zh-CN"/>
              </w:rPr>
            </w:pPr>
            <w:r>
              <w:rPr>
                <w:rFonts w:hint="eastAsia" w:ascii="宋体" w:hAnsi="宋体" w:eastAsia="宋体" w:cs="宋体"/>
                <w:b w:val="0"/>
                <w:bCs/>
                <w:color w:val="auto"/>
                <w:sz w:val="28"/>
                <w:szCs w:val="28"/>
                <w:vertAlign w:val="baseline"/>
                <w:lang w:eastAsia="zh-CN"/>
              </w:rPr>
              <w:t>偏离说明</w:t>
            </w:r>
          </w:p>
        </w:tc>
      </w:tr>
      <w:tr w14:paraId="64345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5" w:hRule="atLeast"/>
        </w:trPr>
        <w:tc>
          <w:tcPr>
            <w:tcW w:w="1194" w:type="dxa"/>
          </w:tcPr>
          <w:p w14:paraId="250A59D8">
            <w:pPr>
              <w:spacing w:line="500" w:lineRule="exact"/>
              <w:jc w:val="center"/>
              <w:rPr>
                <w:rFonts w:hint="eastAsia" w:ascii="方正小标宋简体" w:hAnsi="方正小标宋简体" w:eastAsia="方正小标宋简体" w:cs="方正小标宋简体"/>
                <w:bCs/>
                <w:color w:val="auto"/>
                <w:sz w:val="44"/>
                <w:szCs w:val="44"/>
                <w:vertAlign w:val="baseline"/>
                <w:lang w:eastAsia="zh-CN"/>
              </w:rPr>
            </w:pPr>
          </w:p>
        </w:tc>
        <w:tc>
          <w:tcPr>
            <w:tcW w:w="3705" w:type="dxa"/>
          </w:tcPr>
          <w:p w14:paraId="34F7D9E1">
            <w:pPr>
              <w:spacing w:line="500" w:lineRule="exact"/>
              <w:jc w:val="center"/>
              <w:rPr>
                <w:rFonts w:hint="eastAsia" w:ascii="方正小标宋简体" w:hAnsi="方正小标宋简体" w:eastAsia="方正小标宋简体" w:cs="方正小标宋简体"/>
                <w:bCs/>
                <w:color w:val="auto"/>
                <w:sz w:val="44"/>
                <w:szCs w:val="44"/>
                <w:vertAlign w:val="baseline"/>
                <w:lang w:eastAsia="zh-CN"/>
              </w:rPr>
            </w:pPr>
          </w:p>
        </w:tc>
        <w:tc>
          <w:tcPr>
            <w:tcW w:w="3060" w:type="dxa"/>
          </w:tcPr>
          <w:p w14:paraId="28989505">
            <w:pPr>
              <w:spacing w:line="500" w:lineRule="exact"/>
              <w:jc w:val="center"/>
              <w:rPr>
                <w:rFonts w:hint="eastAsia" w:ascii="方正小标宋简体" w:hAnsi="方正小标宋简体" w:eastAsia="方正小标宋简体" w:cs="方正小标宋简体"/>
                <w:bCs/>
                <w:color w:val="auto"/>
                <w:sz w:val="44"/>
                <w:szCs w:val="44"/>
                <w:vertAlign w:val="baseline"/>
                <w:lang w:eastAsia="zh-CN"/>
              </w:rPr>
            </w:pPr>
          </w:p>
        </w:tc>
        <w:tc>
          <w:tcPr>
            <w:tcW w:w="1136" w:type="dxa"/>
          </w:tcPr>
          <w:p w14:paraId="594AEEB6">
            <w:pPr>
              <w:spacing w:line="500" w:lineRule="exact"/>
              <w:jc w:val="center"/>
              <w:rPr>
                <w:rFonts w:hint="eastAsia" w:ascii="方正小标宋简体" w:hAnsi="方正小标宋简体" w:eastAsia="方正小标宋简体" w:cs="方正小标宋简体"/>
                <w:bCs/>
                <w:color w:val="auto"/>
                <w:sz w:val="44"/>
                <w:szCs w:val="44"/>
                <w:vertAlign w:val="baseline"/>
                <w:lang w:eastAsia="zh-CN"/>
              </w:rPr>
            </w:pPr>
          </w:p>
        </w:tc>
      </w:tr>
    </w:tbl>
    <w:p w14:paraId="7BE1C099">
      <w:pPr>
        <w:spacing w:line="500" w:lineRule="exact"/>
        <w:jc w:val="center"/>
        <w:rPr>
          <w:rFonts w:hint="eastAsia" w:ascii="方正小标宋简体" w:hAnsi="方正小标宋简体" w:eastAsia="方正小标宋简体" w:cs="方正小标宋简体"/>
          <w:bCs/>
          <w:color w:val="auto"/>
          <w:sz w:val="44"/>
          <w:szCs w:val="44"/>
          <w:lang w:eastAsia="zh-CN"/>
        </w:rPr>
      </w:pPr>
    </w:p>
    <w:p w14:paraId="1DA0F735">
      <w:pPr>
        <w:spacing w:line="500" w:lineRule="exact"/>
        <w:jc w:val="center"/>
        <w:rPr>
          <w:rFonts w:hint="eastAsia" w:ascii="方正小标宋简体" w:hAnsi="方正小标宋简体" w:eastAsia="方正小标宋简体" w:cs="方正小标宋简体"/>
          <w:bCs/>
          <w:color w:val="auto"/>
          <w:sz w:val="44"/>
          <w:szCs w:val="44"/>
          <w:lang w:eastAsia="zh-CN"/>
        </w:rPr>
      </w:pPr>
    </w:p>
    <w:p w14:paraId="74655E6C">
      <w:pPr>
        <w:pStyle w:val="14"/>
        <w:spacing w:after="0" w:line="360" w:lineRule="auto"/>
        <w:contextualSpacing/>
        <w:rPr>
          <w:rFonts w:hint="eastAsia" w:ascii="宋体" w:hAnsi="宋体"/>
          <w:color w:val="auto"/>
          <w:kern w:val="0"/>
          <w:sz w:val="24"/>
          <w:szCs w:val="24"/>
        </w:rPr>
      </w:pPr>
      <w:r>
        <w:rPr>
          <w:rFonts w:hint="eastAsia" w:ascii="宋体" w:hAnsi="宋体"/>
          <w:color w:val="auto"/>
          <w:kern w:val="0"/>
          <w:sz w:val="24"/>
          <w:szCs w:val="24"/>
        </w:rPr>
        <w:t>注：</w:t>
      </w:r>
    </w:p>
    <w:p w14:paraId="2FDB939B">
      <w:pPr>
        <w:pStyle w:val="14"/>
        <w:spacing w:after="0" w:line="360" w:lineRule="auto"/>
        <w:contextualSpacing/>
        <w:rPr>
          <w:rFonts w:ascii="宋体" w:hAnsi="宋体"/>
          <w:color w:val="auto"/>
          <w:kern w:val="0"/>
          <w:sz w:val="24"/>
          <w:szCs w:val="24"/>
        </w:rPr>
      </w:pPr>
      <w:r>
        <w:rPr>
          <w:rFonts w:hint="eastAsia" w:ascii="宋体" w:hAnsi="宋体"/>
          <w:color w:val="auto"/>
          <w:kern w:val="0"/>
          <w:sz w:val="24"/>
          <w:szCs w:val="24"/>
          <w:lang w:val="en-US" w:eastAsia="zh-CN"/>
        </w:rPr>
        <w:t>1.供应商</w:t>
      </w:r>
      <w:r>
        <w:rPr>
          <w:rFonts w:hint="eastAsia" w:ascii="宋体" w:hAnsi="宋体"/>
          <w:color w:val="auto"/>
          <w:kern w:val="0"/>
          <w:sz w:val="24"/>
          <w:szCs w:val="24"/>
        </w:rPr>
        <w:t>应对照磋商文件“第三章 采购需求”中的</w:t>
      </w:r>
      <w:r>
        <w:rPr>
          <w:rFonts w:hint="eastAsia" w:ascii="宋体" w:hAnsi="宋体"/>
          <w:color w:val="auto"/>
          <w:kern w:val="0"/>
          <w:sz w:val="24"/>
          <w:szCs w:val="24"/>
          <w:lang w:eastAsia="zh-CN"/>
        </w:rPr>
        <w:t>服务内容及要求</w:t>
      </w:r>
      <w:r>
        <w:rPr>
          <w:rFonts w:hint="eastAsia" w:ascii="宋体" w:hAnsi="宋体"/>
          <w:color w:val="auto"/>
          <w:kern w:val="0"/>
          <w:sz w:val="24"/>
          <w:szCs w:val="24"/>
        </w:rPr>
        <w:t>逐条作出明确响应</w:t>
      </w:r>
      <w:r>
        <w:rPr>
          <w:rFonts w:hint="eastAsia" w:ascii="宋体" w:hAnsi="宋体"/>
          <w:color w:val="auto"/>
          <w:kern w:val="0"/>
          <w:sz w:val="24"/>
          <w:szCs w:val="24"/>
          <w:lang w:eastAsia="zh-CN"/>
        </w:rPr>
        <w:t>，并作出偏离说明</w:t>
      </w:r>
      <w:r>
        <w:rPr>
          <w:rFonts w:hint="eastAsia" w:ascii="宋体" w:hAnsi="宋体"/>
          <w:color w:val="auto"/>
          <w:kern w:val="0"/>
          <w:sz w:val="24"/>
          <w:szCs w:val="24"/>
        </w:rPr>
        <w:t>。</w:t>
      </w:r>
    </w:p>
    <w:p w14:paraId="20B50F98">
      <w:pPr>
        <w:spacing w:line="360" w:lineRule="auto"/>
        <w:ind w:right="-817" w:rightChars="-389"/>
        <w:contextualSpacing/>
        <w:rPr>
          <w:rFonts w:hint="eastAsia" w:ascii="宋体" w:hAnsi="宋体" w:cs="仿宋_GB2312"/>
          <w:color w:val="auto"/>
          <w:sz w:val="24"/>
          <w:lang w:val="en-US" w:eastAsia="zh-CN"/>
        </w:rPr>
      </w:pPr>
      <w:r>
        <w:rPr>
          <w:rFonts w:hint="eastAsia" w:ascii="宋体" w:hAnsi="宋体" w:cs="仿宋_GB2312"/>
          <w:color w:val="auto"/>
          <w:sz w:val="24"/>
          <w:lang w:val="en-US" w:eastAsia="zh-CN"/>
        </w:rPr>
        <w:t>2.供应商应根据自身的承诺，对照磋商文件要求，在“偏离说明”中注明“正偏离”</w:t>
      </w:r>
    </w:p>
    <w:p w14:paraId="301CEAEA">
      <w:pPr>
        <w:spacing w:line="360" w:lineRule="auto"/>
        <w:ind w:right="-817" w:rightChars="-389"/>
        <w:contextualSpacing/>
        <w:rPr>
          <w:rFonts w:hint="default" w:ascii="宋体" w:hAnsi="宋体" w:eastAsia="宋体" w:cs="仿宋_GB2312"/>
          <w:color w:val="auto"/>
          <w:sz w:val="24"/>
          <w:lang w:val="en-US" w:eastAsia="zh-CN"/>
        </w:rPr>
      </w:pPr>
      <w:r>
        <w:rPr>
          <w:rFonts w:hint="eastAsia" w:ascii="宋体" w:hAnsi="宋体" w:cs="仿宋_GB2312"/>
          <w:color w:val="auto"/>
          <w:sz w:val="24"/>
          <w:lang w:val="en-US" w:eastAsia="zh-CN"/>
        </w:rPr>
        <w:t>“负偏离”或者“无偏离”。既不属于“正偏离”也不属于“负偏离”即为“无偏离”。</w:t>
      </w:r>
    </w:p>
    <w:p w14:paraId="143A0FAB">
      <w:pPr>
        <w:spacing w:line="360" w:lineRule="auto"/>
        <w:ind w:right="-817" w:rightChars="-389"/>
        <w:contextualSpacing/>
        <w:jc w:val="center"/>
        <w:rPr>
          <w:rFonts w:hint="eastAsia" w:ascii="宋体" w:hAnsi="宋体" w:cs="仿宋_GB2312"/>
          <w:color w:val="auto"/>
          <w:sz w:val="24"/>
        </w:rPr>
      </w:pPr>
    </w:p>
    <w:p w14:paraId="4E7B914F">
      <w:pPr>
        <w:spacing w:line="360" w:lineRule="auto"/>
        <w:ind w:right="-817" w:rightChars="-389"/>
        <w:contextualSpacing/>
        <w:jc w:val="center"/>
        <w:rPr>
          <w:rFonts w:hint="eastAsia" w:ascii="宋体" w:hAnsi="宋体" w:cs="仿宋_GB2312"/>
          <w:color w:val="auto"/>
          <w:sz w:val="24"/>
        </w:rPr>
      </w:pPr>
    </w:p>
    <w:p w14:paraId="10C7578E">
      <w:pPr>
        <w:spacing w:line="360" w:lineRule="auto"/>
        <w:ind w:right="-817" w:rightChars="-389"/>
        <w:contextualSpacing/>
        <w:jc w:val="center"/>
        <w:rPr>
          <w:rFonts w:ascii="宋体" w:hAnsi="宋体" w:cs="仿宋_GB2312"/>
          <w:color w:val="auto"/>
          <w:sz w:val="24"/>
        </w:rPr>
      </w:pPr>
      <w:r>
        <w:rPr>
          <w:rFonts w:hint="eastAsia" w:ascii="宋体" w:hAnsi="宋体" w:cs="仿宋_GB2312"/>
          <w:color w:val="auto"/>
          <w:sz w:val="24"/>
        </w:rPr>
        <w:t>法定代表人或者委托代理人签字（或者电子签名）：</w:t>
      </w:r>
    </w:p>
    <w:p w14:paraId="2FD3CEB8">
      <w:pPr>
        <w:spacing w:line="360" w:lineRule="auto"/>
        <w:ind w:right="-817" w:rightChars="-389" w:firstLine="2880" w:firstLineChars="1200"/>
        <w:contextualSpacing/>
        <w:rPr>
          <w:rFonts w:ascii="宋体" w:hAnsi="宋体" w:cs="仿宋_GB2312"/>
          <w:color w:val="auto"/>
          <w:sz w:val="24"/>
        </w:rPr>
      </w:pPr>
      <w:r>
        <w:rPr>
          <w:rFonts w:hint="eastAsia" w:ascii="宋体" w:hAnsi="宋体" w:cs="仿宋_GB2312"/>
          <w:color w:val="auto"/>
          <w:sz w:val="24"/>
        </w:rPr>
        <w:t xml:space="preserve">供应商电子签章：      </w:t>
      </w:r>
    </w:p>
    <w:p w14:paraId="522329A8">
      <w:pPr>
        <w:spacing w:line="360" w:lineRule="auto"/>
        <w:ind w:right="-817" w:rightChars="-389" w:firstLine="4080" w:firstLineChars="1700"/>
        <w:contextualSpacing/>
        <w:rPr>
          <w:rFonts w:ascii="仿宋_GB2312" w:hAnsi="仿宋_GB2312" w:eastAsia="仿宋_GB2312" w:cs="仿宋_GB2312"/>
          <w:b/>
          <w:color w:val="auto"/>
          <w:sz w:val="32"/>
          <w:szCs w:val="32"/>
        </w:rPr>
      </w:pPr>
      <w:r>
        <w:rPr>
          <w:rFonts w:hint="eastAsia" w:ascii="宋体" w:hAnsi="宋体" w:cs="仿宋_GB2312"/>
          <w:color w:val="auto"/>
          <w:sz w:val="24"/>
        </w:rPr>
        <w:t>日期：   年   月   日</w:t>
      </w:r>
    </w:p>
    <w:p w14:paraId="378B51D1">
      <w:pPr>
        <w:spacing w:line="500" w:lineRule="exact"/>
        <w:jc w:val="center"/>
        <w:rPr>
          <w:rFonts w:hint="eastAsia" w:ascii="方正小标宋简体" w:hAnsi="方正小标宋简体" w:eastAsia="方正小标宋简体" w:cs="方正小标宋简体"/>
          <w:bCs/>
          <w:color w:val="auto"/>
          <w:sz w:val="44"/>
          <w:szCs w:val="44"/>
          <w:lang w:eastAsia="zh-CN"/>
        </w:rPr>
      </w:pPr>
    </w:p>
    <w:p w14:paraId="0E35011A">
      <w:pPr>
        <w:spacing w:line="500" w:lineRule="exact"/>
        <w:jc w:val="center"/>
        <w:rPr>
          <w:rFonts w:hint="eastAsia" w:ascii="方正小标宋简体" w:hAnsi="方正小标宋简体" w:eastAsia="方正小标宋简体" w:cs="方正小标宋简体"/>
          <w:bCs/>
          <w:color w:val="auto"/>
          <w:sz w:val="44"/>
          <w:szCs w:val="44"/>
          <w:lang w:eastAsia="zh-CN"/>
        </w:rPr>
      </w:pPr>
    </w:p>
    <w:p w14:paraId="20759258">
      <w:pPr>
        <w:spacing w:line="500" w:lineRule="exact"/>
        <w:jc w:val="center"/>
        <w:rPr>
          <w:rFonts w:hint="eastAsia" w:ascii="方正小标宋简体" w:hAnsi="方正小标宋简体" w:eastAsia="方正小标宋简体" w:cs="方正小标宋简体"/>
          <w:bCs/>
          <w:color w:val="auto"/>
          <w:sz w:val="44"/>
          <w:szCs w:val="44"/>
          <w:lang w:eastAsia="zh-CN"/>
        </w:rPr>
      </w:pPr>
    </w:p>
    <w:p w14:paraId="24A7355D">
      <w:pPr>
        <w:spacing w:line="500" w:lineRule="exact"/>
        <w:jc w:val="center"/>
        <w:rPr>
          <w:rFonts w:hint="eastAsia" w:ascii="方正小标宋简体" w:hAnsi="方正小标宋简体" w:eastAsia="方正小标宋简体" w:cs="方正小标宋简体"/>
          <w:bCs/>
          <w:color w:val="auto"/>
          <w:sz w:val="44"/>
          <w:szCs w:val="44"/>
          <w:lang w:eastAsia="zh-CN"/>
        </w:rPr>
      </w:pPr>
    </w:p>
    <w:p w14:paraId="0BC6DC44">
      <w:pPr>
        <w:spacing w:line="500" w:lineRule="exact"/>
        <w:jc w:val="center"/>
        <w:rPr>
          <w:rFonts w:hint="eastAsia" w:ascii="方正小标宋简体" w:hAnsi="方正小标宋简体" w:eastAsia="方正小标宋简体" w:cs="方正小标宋简体"/>
          <w:bCs/>
          <w:color w:val="auto"/>
          <w:sz w:val="44"/>
          <w:szCs w:val="44"/>
          <w:lang w:eastAsia="zh-CN"/>
        </w:rPr>
      </w:pPr>
      <w:r>
        <w:rPr>
          <w:rFonts w:hint="eastAsia" w:ascii="方正小标宋简体" w:hAnsi="方正小标宋简体" w:eastAsia="方正小标宋简体" w:cs="方正小标宋简体"/>
          <w:bCs/>
          <w:color w:val="auto"/>
          <w:sz w:val="44"/>
          <w:szCs w:val="44"/>
          <w:lang w:eastAsia="zh-CN"/>
        </w:rPr>
        <w:t>商务要求响应表</w:t>
      </w:r>
    </w:p>
    <w:p w14:paraId="7E560119">
      <w:pPr>
        <w:spacing w:line="500" w:lineRule="exact"/>
        <w:jc w:val="both"/>
        <w:rPr>
          <w:rFonts w:hint="default" w:ascii="方正小标宋简体" w:hAnsi="方正小标宋简体" w:eastAsia="方正小标宋简体" w:cs="方正小标宋简体"/>
          <w:b w:val="0"/>
          <w:bCs/>
          <w:color w:val="auto"/>
          <w:sz w:val="28"/>
          <w:szCs w:val="28"/>
          <w:u w:val="single"/>
          <w:lang w:val="en-US" w:eastAsia="zh-CN"/>
        </w:rPr>
      </w:pPr>
      <w:r>
        <w:rPr>
          <w:rFonts w:hint="eastAsia" w:ascii="方正小标宋简体" w:hAnsi="方正小标宋简体" w:eastAsia="方正小标宋简体" w:cs="方正小标宋简体"/>
          <w:b w:val="0"/>
          <w:bCs/>
          <w:color w:val="auto"/>
          <w:sz w:val="28"/>
          <w:szCs w:val="28"/>
          <w:lang w:eastAsia="zh-CN"/>
        </w:rPr>
        <w:t>项目编号：</w:t>
      </w:r>
      <w:r>
        <w:rPr>
          <w:rFonts w:hint="eastAsia" w:ascii="方正小标宋简体" w:hAnsi="方正小标宋简体" w:eastAsia="方正小标宋简体" w:cs="方正小标宋简体"/>
          <w:b w:val="0"/>
          <w:bCs/>
          <w:color w:val="auto"/>
          <w:sz w:val="28"/>
          <w:szCs w:val="28"/>
          <w:u w:val="single"/>
          <w:lang w:val="en-US" w:eastAsia="zh-CN"/>
        </w:rPr>
        <w:t xml:space="preserve">                     </w:t>
      </w:r>
    </w:p>
    <w:p w14:paraId="3ABAE4B2">
      <w:pPr>
        <w:spacing w:line="500" w:lineRule="exact"/>
        <w:jc w:val="both"/>
        <w:rPr>
          <w:rFonts w:hint="eastAsia" w:ascii="方正小标宋简体" w:hAnsi="方正小标宋简体" w:eastAsia="方正小标宋简体" w:cs="方正小标宋简体"/>
          <w:b w:val="0"/>
          <w:bCs/>
          <w:color w:val="auto"/>
          <w:sz w:val="40"/>
          <w:szCs w:val="40"/>
          <w:lang w:eastAsia="zh-CN"/>
        </w:rPr>
      </w:pPr>
      <w:r>
        <w:rPr>
          <w:rFonts w:hint="eastAsia" w:ascii="方正小标宋简体" w:hAnsi="方正小标宋简体" w:eastAsia="方正小标宋简体" w:cs="方正小标宋简体"/>
          <w:b w:val="0"/>
          <w:bCs/>
          <w:color w:val="auto"/>
          <w:sz w:val="28"/>
          <w:szCs w:val="28"/>
          <w:lang w:eastAsia="zh-CN"/>
        </w:rPr>
        <w:t>项目名称：</w:t>
      </w:r>
      <w:r>
        <w:rPr>
          <w:rFonts w:hint="eastAsia" w:ascii="方正小标宋简体" w:hAnsi="方正小标宋简体" w:eastAsia="方正小标宋简体" w:cs="方正小标宋简体"/>
          <w:b w:val="0"/>
          <w:bCs/>
          <w:color w:val="auto"/>
          <w:sz w:val="28"/>
          <w:szCs w:val="28"/>
          <w:u w:val="single"/>
          <w:lang w:val="en-US" w:eastAsia="zh-CN"/>
        </w:rPr>
        <w:t xml:space="preserve">                     </w:t>
      </w:r>
    </w:p>
    <w:p w14:paraId="5873B706">
      <w:pPr>
        <w:spacing w:line="500" w:lineRule="exact"/>
        <w:jc w:val="center"/>
        <w:rPr>
          <w:rFonts w:hint="eastAsia" w:ascii="方正小标宋简体" w:hAnsi="方正小标宋简体" w:eastAsia="方正小标宋简体" w:cs="方正小标宋简体"/>
          <w:bCs/>
          <w:color w:val="auto"/>
          <w:sz w:val="44"/>
          <w:szCs w:val="44"/>
          <w:lang w:eastAsia="zh-CN"/>
        </w:rPr>
      </w:pPr>
    </w:p>
    <w:tbl>
      <w:tblPr>
        <w:tblStyle w:val="28"/>
        <w:tblW w:w="486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8"/>
        <w:gridCol w:w="3358"/>
        <w:gridCol w:w="2627"/>
        <w:gridCol w:w="1371"/>
      </w:tblGrid>
      <w:tr w14:paraId="2FF67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779" w:type="pct"/>
            <w:tcBorders>
              <w:top w:val="single" w:color="auto" w:sz="4" w:space="0"/>
              <w:left w:val="single" w:color="auto" w:sz="4" w:space="0"/>
              <w:bottom w:val="single" w:color="auto" w:sz="4" w:space="0"/>
              <w:right w:val="single" w:color="auto" w:sz="4" w:space="0"/>
            </w:tcBorders>
            <w:vAlign w:val="center"/>
          </w:tcPr>
          <w:p w14:paraId="0E87394A">
            <w:pPr>
              <w:snapToGrid w:val="0"/>
              <w:spacing w:before="50"/>
              <w:jc w:val="center"/>
              <w:rPr>
                <w:rFonts w:hint="eastAsia" w:ascii="宋体" w:hAnsi="宋体" w:eastAsia="宋体" w:cs="Times New Roman"/>
                <w:color w:val="auto"/>
                <w:sz w:val="24"/>
                <w:lang w:eastAsia="zh-CN"/>
              </w:rPr>
            </w:pPr>
            <w:r>
              <w:rPr>
                <w:rFonts w:hint="eastAsia" w:ascii="宋体" w:hAnsi="宋体" w:eastAsia="宋体" w:cs="Times New Roman"/>
                <w:color w:val="auto"/>
                <w:sz w:val="24"/>
                <w:lang w:eastAsia="zh-CN"/>
              </w:rPr>
              <w:t>项目</w:t>
            </w:r>
          </w:p>
        </w:tc>
        <w:tc>
          <w:tcPr>
            <w:tcW w:w="1926" w:type="pct"/>
            <w:tcBorders>
              <w:top w:val="single" w:color="auto" w:sz="4" w:space="0"/>
              <w:left w:val="single" w:color="auto" w:sz="4" w:space="0"/>
              <w:bottom w:val="single" w:color="auto" w:sz="4" w:space="0"/>
              <w:right w:val="single" w:color="auto" w:sz="4" w:space="0"/>
            </w:tcBorders>
            <w:vAlign w:val="center"/>
          </w:tcPr>
          <w:p w14:paraId="2CAD5DA7">
            <w:pPr>
              <w:snapToGrid w:val="0"/>
              <w:spacing w:before="50"/>
              <w:jc w:val="center"/>
              <w:rPr>
                <w:rFonts w:hint="eastAsia" w:ascii="宋体" w:hAnsi="宋体" w:eastAsia="宋体" w:cs="Times New Roman"/>
                <w:color w:val="auto"/>
                <w:sz w:val="24"/>
                <w:lang w:eastAsia="zh-CN"/>
              </w:rPr>
            </w:pPr>
            <w:r>
              <w:rPr>
                <w:rFonts w:hint="eastAsia" w:ascii="宋体" w:hAnsi="宋体" w:eastAsia="宋体" w:cs="Times New Roman"/>
                <w:color w:val="auto"/>
                <w:sz w:val="24"/>
                <w:lang w:eastAsia="zh-CN"/>
              </w:rPr>
              <w:t>竞争性磋商文件第三章采购需求的“商务要求”</w:t>
            </w:r>
          </w:p>
        </w:tc>
        <w:tc>
          <w:tcPr>
            <w:tcW w:w="1507" w:type="pct"/>
            <w:tcBorders>
              <w:top w:val="single" w:color="auto" w:sz="4" w:space="0"/>
              <w:left w:val="single" w:color="auto" w:sz="4" w:space="0"/>
              <w:bottom w:val="single" w:color="auto" w:sz="4" w:space="0"/>
              <w:right w:val="single" w:color="auto" w:sz="4" w:space="0"/>
            </w:tcBorders>
            <w:vAlign w:val="center"/>
          </w:tcPr>
          <w:p w14:paraId="2357233C">
            <w:pPr>
              <w:snapToGrid w:val="0"/>
              <w:spacing w:before="50"/>
              <w:jc w:val="center"/>
              <w:rPr>
                <w:rFonts w:hint="eastAsia" w:ascii="宋体" w:hAnsi="宋体" w:eastAsia="宋体" w:cs="Times New Roman"/>
                <w:color w:val="auto"/>
                <w:sz w:val="24"/>
                <w:lang w:eastAsia="zh-CN"/>
              </w:rPr>
            </w:pPr>
            <w:r>
              <w:rPr>
                <w:rFonts w:hint="eastAsia" w:ascii="宋体" w:hAnsi="宋体" w:eastAsia="宋体" w:cs="Times New Roman"/>
                <w:color w:val="auto"/>
                <w:sz w:val="24"/>
                <w:lang w:eastAsia="zh-CN"/>
              </w:rPr>
              <w:t>对应“商务要求”，供应商的详细承诺</w:t>
            </w:r>
          </w:p>
        </w:tc>
        <w:tc>
          <w:tcPr>
            <w:tcW w:w="786" w:type="pct"/>
            <w:tcBorders>
              <w:top w:val="single" w:color="auto" w:sz="4" w:space="0"/>
              <w:left w:val="single" w:color="auto" w:sz="4" w:space="0"/>
              <w:bottom w:val="single" w:color="auto" w:sz="4" w:space="0"/>
              <w:right w:val="single" w:color="auto" w:sz="4" w:space="0"/>
            </w:tcBorders>
            <w:vAlign w:val="center"/>
          </w:tcPr>
          <w:p w14:paraId="6E070523">
            <w:pPr>
              <w:snapToGrid w:val="0"/>
              <w:spacing w:before="50"/>
              <w:jc w:val="center"/>
              <w:rPr>
                <w:rFonts w:hint="eastAsia" w:ascii="宋体" w:hAnsi="宋体" w:eastAsia="宋体" w:cs="Times New Roman"/>
                <w:color w:val="auto"/>
                <w:sz w:val="24"/>
                <w:lang w:eastAsia="zh-CN"/>
              </w:rPr>
            </w:pPr>
            <w:r>
              <w:rPr>
                <w:rFonts w:hint="eastAsia" w:ascii="宋体" w:hAnsi="宋体" w:eastAsia="宋体" w:cs="Times New Roman"/>
                <w:color w:val="auto"/>
                <w:sz w:val="24"/>
                <w:lang w:eastAsia="zh-CN"/>
              </w:rPr>
              <w:t>偏离说明</w:t>
            </w:r>
          </w:p>
        </w:tc>
      </w:tr>
      <w:tr w14:paraId="7AFD7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779" w:type="pct"/>
            <w:tcBorders>
              <w:top w:val="single" w:color="auto" w:sz="4" w:space="0"/>
              <w:left w:val="single" w:color="auto" w:sz="4" w:space="0"/>
              <w:bottom w:val="single" w:color="auto" w:sz="4" w:space="0"/>
              <w:right w:val="single" w:color="auto" w:sz="4" w:space="0"/>
            </w:tcBorders>
            <w:vAlign w:val="center"/>
          </w:tcPr>
          <w:p w14:paraId="3EEB653A">
            <w:pPr>
              <w:snapToGrid w:val="0"/>
              <w:spacing w:before="50"/>
              <w:jc w:val="center"/>
              <w:rPr>
                <w:rFonts w:ascii="宋体" w:hAnsi="宋体"/>
                <w:color w:val="auto"/>
                <w:sz w:val="24"/>
              </w:rPr>
            </w:pPr>
          </w:p>
        </w:tc>
        <w:tc>
          <w:tcPr>
            <w:tcW w:w="1926" w:type="pct"/>
            <w:tcBorders>
              <w:top w:val="single" w:color="auto" w:sz="4" w:space="0"/>
              <w:left w:val="single" w:color="auto" w:sz="4" w:space="0"/>
              <w:bottom w:val="single" w:color="auto" w:sz="4" w:space="0"/>
              <w:right w:val="single" w:color="auto" w:sz="4" w:space="0"/>
            </w:tcBorders>
            <w:vAlign w:val="center"/>
          </w:tcPr>
          <w:p w14:paraId="2084F96B">
            <w:pPr>
              <w:snapToGrid w:val="0"/>
              <w:spacing w:before="50"/>
              <w:jc w:val="center"/>
              <w:rPr>
                <w:rFonts w:ascii="宋体" w:hAnsi="宋体"/>
                <w:color w:val="auto"/>
                <w:sz w:val="24"/>
              </w:rPr>
            </w:pPr>
          </w:p>
        </w:tc>
        <w:tc>
          <w:tcPr>
            <w:tcW w:w="1507" w:type="pct"/>
            <w:tcBorders>
              <w:top w:val="single" w:color="auto" w:sz="4" w:space="0"/>
              <w:left w:val="single" w:color="auto" w:sz="4" w:space="0"/>
              <w:bottom w:val="single" w:color="auto" w:sz="4" w:space="0"/>
              <w:right w:val="single" w:color="auto" w:sz="4" w:space="0"/>
            </w:tcBorders>
            <w:vAlign w:val="center"/>
          </w:tcPr>
          <w:p w14:paraId="47009118">
            <w:pPr>
              <w:snapToGrid w:val="0"/>
              <w:spacing w:before="50"/>
              <w:jc w:val="center"/>
              <w:rPr>
                <w:rFonts w:ascii="宋体" w:hAnsi="宋体"/>
                <w:color w:val="auto"/>
                <w:sz w:val="24"/>
              </w:rPr>
            </w:pPr>
          </w:p>
        </w:tc>
        <w:tc>
          <w:tcPr>
            <w:tcW w:w="786" w:type="pct"/>
            <w:tcBorders>
              <w:top w:val="single" w:color="auto" w:sz="4" w:space="0"/>
              <w:left w:val="single" w:color="auto" w:sz="4" w:space="0"/>
              <w:bottom w:val="single" w:color="auto" w:sz="4" w:space="0"/>
              <w:right w:val="single" w:color="auto" w:sz="4" w:space="0"/>
            </w:tcBorders>
            <w:vAlign w:val="center"/>
          </w:tcPr>
          <w:p w14:paraId="7F4C124C">
            <w:pPr>
              <w:snapToGrid w:val="0"/>
              <w:spacing w:before="50"/>
              <w:jc w:val="center"/>
              <w:rPr>
                <w:rFonts w:ascii="宋体" w:hAnsi="宋体"/>
                <w:color w:val="auto"/>
                <w:sz w:val="24"/>
              </w:rPr>
            </w:pPr>
          </w:p>
        </w:tc>
      </w:tr>
      <w:tr w14:paraId="4198B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779" w:type="pct"/>
            <w:tcBorders>
              <w:top w:val="single" w:color="auto" w:sz="4" w:space="0"/>
              <w:left w:val="single" w:color="auto" w:sz="4" w:space="0"/>
              <w:bottom w:val="single" w:color="auto" w:sz="4" w:space="0"/>
              <w:right w:val="single" w:color="auto" w:sz="4" w:space="0"/>
            </w:tcBorders>
            <w:vAlign w:val="center"/>
          </w:tcPr>
          <w:p w14:paraId="3F2AE5BB">
            <w:pPr>
              <w:snapToGrid w:val="0"/>
              <w:spacing w:before="50"/>
              <w:jc w:val="center"/>
              <w:rPr>
                <w:rFonts w:ascii="宋体" w:hAnsi="宋体"/>
                <w:color w:val="auto"/>
                <w:sz w:val="24"/>
              </w:rPr>
            </w:pPr>
          </w:p>
        </w:tc>
        <w:tc>
          <w:tcPr>
            <w:tcW w:w="1926" w:type="pct"/>
            <w:tcBorders>
              <w:top w:val="single" w:color="auto" w:sz="4" w:space="0"/>
              <w:left w:val="single" w:color="auto" w:sz="4" w:space="0"/>
              <w:bottom w:val="single" w:color="auto" w:sz="4" w:space="0"/>
              <w:right w:val="single" w:color="auto" w:sz="4" w:space="0"/>
            </w:tcBorders>
            <w:vAlign w:val="center"/>
          </w:tcPr>
          <w:p w14:paraId="78A9BBB4">
            <w:pPr>
              <w:snapToGrid w:val="0"/>
              <w:spacing w:before="50"/>
              <w:jc w:val="center"/>
              <w:rPr>
                <w:rFonts w:ascii="宋体" w:hAnsi="宋体"/>
                <w:color w:val="auto"/>
                <w:sz w:val="24"/>
              </w:rPr>
            </w:pPr>
          </w:p>
        </w:tc>
        <w:tc>
          <w:tcPr>
            <w:tcW w:w="1507" w:type="pct"/>
            <w:tcBorders>
              <w:top w:val="single" w:color="auto" w:sz="4" w:space="0"/>
              <w:left w:val="single" w:color="auto" w:sz="4" w:space="0"/>
              <w:bottom w:val="single" w:color="auto" w:sz="4" w:space="0"/>
              <w:right w:val="single" w:color="auto" w:sz="4" w:space="0"/>
            </w:tcBorders>
            <w:vAlign w:val="center"/>
          </w:tcPr>
          <w:p w14:paraId="57C3118E">
            <w:pPr>
              <w:snapToGrid w:val="0"/>
              <w:spacing w:before="50"/>
              <w:jc w:val="center"/>
              <w:rPr>
                <w:rFonts w:ascii="宋体" w:hAnsi="宋体"/>
                <w:color w:val="auto"/>
                <w:sz w:val="24"/>
              </w:rPr>
            </w:pPr>
          </w:p>
        </w:tc>
        <w:tc>
          <w:tcPr>
            <w:tcW w:w="786" w:type="pct"/>
            <w:tcBorders>
              <w:top w:val="single" w:color="auto" w:sz="4" w:space="0"/>
              <w:left w:val="single" w:color="auto" w:sz="4" w:space="0"/>
              <w:bottom w:val="single" w:color="auto" w:sz="4" w:space="0"/>
              <w:right w:val="single" w:color="auto" w:sz="4" w:space="0"/>
            </w:tcBorders>
            <w:vAlign w:val="center"/>
          </w:tcPr>
          <w:p w14:paraId="1AC86819">
            <w:pPr>
              <w:snapToGrid w:val="0"/>
              <w:spacing w:before="50"/>
              <w:jc w:val="center"/>
              <w:rPr>
                <w:rFonts w:ascii="宋体" w:hAnsi="宋体"/>
                <w:color w:val="auto"/>
                <w:sz w:val="24"/>
              </w:rPr>
            </w:pPr>
          </w:p>
        </w:tc>
      </w:tr>
      <w:tr w14:paraId="5AE5F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779" w:type="pct"/>
            <w:tcBorders>
              <w:top w:val="single" w:color="auto" w:sz="4" w:space="0"/>
              <w:left w:val="single" w:color="auto" w:sz="4" w:space="0"/>
              <w:bottom w:val="single" w:color="auto" w:sz="4" w:space="0"/>
              <w:right w:val="single" w:color="auto" w:sz="4" w:space="0"/>
            </w:tcBorders>
            <w:vAlign w:val="center"/>
          </w:tcPr>
          <w:p w14:paraId="522747CE">
            <w:pPr>
              <w:snapToGrid w:val="0"/>
              <w:spacing w:before="50"/>
              <w:jc w:val="center"/>
              <w:rPr>
                <w:rFonts w:ascii="宋体" w:hAnsi="宋体"/>
                <w:color w:val="auto"/>
                <w:sz w:val="24"/>
              </w:rPr>
            </w:pPr>
          </w:p>
        </w:tc>
        <w:tc>
          <w:tcPr>
            <w:tcW w:w="1926" w:type="pct"/>
            <w:tcBorders>
              <w:top w:val="single" w:color="auto" w:sz="4" w:space="0"/>
              <w:left w:val="single" w:color="auto" w:sz="4" w:space="0"/>
              <w:bottom w:val="single" w:color="auto" w:sz="4" w:space="0"/>
              <w:right w:val="single" w:color="auto" w:sz="4" w:space="0"/>
            </w:tcBorders>
            <w:vAlign w:val="center"/>
          </w:tcPr>
          <w:p w14:paraId="0BD59B06">
            <w:pPr>
              <w:snapToGrid w:val="0"/>
              <w:spacing w:before="50"/>
              <w:jc w:val="center"/>
              <w:rPr>
                <w:rFonts w:ascii="宋体" w:hAnsi="宋体"/>
                <w:color w:val="auto"/>
                <w:sz w:val="24"/>
              </w:rPr>
            </w:pPr>
          </w:p>
        </w:tc>
        <w:tc>
          <w:tcPr>
            <w:tcW w:w="1507" w:type="pct"/>
            <w:tcBorders>
              <w:top w:val="single" w:color="auto" w:sz="4" w:space="0"/>
              <w:left w:val="single" w:color="auto" w:sz="4" w:space="0"/>
              <w:bottom w:val="single" w:color="auto" w:sz="4" w:space="0"/>
              <w:right w:val="single" w:color="auto" w:sz="4" w:space="0"/>
            </w:tcBorders>
            <w:vAlign w:val="center"/>
          </w:tcPr>
          <w:p w14:paraId="05A3DA79">
            <w:pPr>
              <w:snapToGrid w:val="0"/>
              <w:spacing w:before="50"/>
              <w:jc w:val="center"/>
              <w:rPr>
                <w:rFonts w:ascii="宋体" w:hAnsi="宋体"/>
                <w:color w:val="auto"/>
                <w:sz w:val="24"/>
              </w:rPr>
            </w:pPr>
          </w:p>
        </w:tc>
        <w:tc>
          <w:tcPr>
            <w:tcW w:w="786" w:type="pct"/>
            <w:tcBorders>
              <w:top w:val="single" w:color="auto" w:sz="4" w:space="0"/>
              <w:left w:val="single" w:color="auto" w:sz="4" w:space="0"/>
              <w:bottom w:val="single" w:color="auto" w:sz="4" w:space="0"/>
              <w:right w:val="single" w:color="auto" w:sz="4" w:space="0"/>
            </w:tcBorders>
            <w:vAlign w:val="center"/>
          </w:tcPr>
          <w:p w14:paraId="165B1F12">
            <w:pPr>
              <w:snapToGrid w:val="0"/>
              <w:spacing w:before="50"/>
              <w:jc w:val="center"/>
              <w:rPr>
                <w:rFonts w:ascii="宋体" w:hAnsi="宋体"/>
                <w:color w:val="auto"/>
                <w:sz w:val="24"/>
              </w:rPr>
            </w:pPr>
          </w:p>
        </w:tc>
      </w:tr>
      <w:tr w14:paraId="445E8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779" w:type="pct"/>
            <w:tcBorders>
              <w:top w:val="single" w:color="auto" w:sz="4" w:space="0"/>
              <w:left w:val="single" w:color="auto" w:sz="4" w:space="0"/>
              <w:bottom w:val="single" w:color="auto" w:sz="4" w:space="0"/>
              <w:right w:val="single" w:color="auto" w:sz="4" w:space="0"/>
            </w:tcBorders>
            <w:vAlign w:val="center"/>
          </w:tcPr>
          <w:p w14:paraId="0C966935">
            <w:pPr>
              <w:snapToGrid w:val="0"/>
              <w:spacing w:before="50"/>
              <w:jc w:val="center"/>
              <w:rPr>
                <w:rFonts w:ascii="宋体" w:hAnsi="宋体"/>
                <w:color w:val="auto"/>
                <w:sz w:val="24"/>
              </w:rPr>
            </w:pPr>
          </w:p>
        </w:tc>
        <w:tc>
          <w:tcPr>
            <w:tcW w:w="1926" w:type="pct"/>
            <w:tcBorders>
              <w:top w:val="single" w:color="auto" w:sz="4" w:space="0"/>
              <w:left w:val="single" w:color="auto" w:sz="4" w:space="0"/>
              <w:bottom w:val="single" w:color="auto" w:sz="4" w:space="0"/>
              <w:right w:val="single" w:color="auto" w:sz="4" w:space="0"/>
            </w:tcBorders>
            <w:vAlign w:val="center"/>
          </w:tcPr>
          <w:p w14:paraId="2DAFD843">
            <w:pPr>
              <w:snapToGrid w:val="0"/>
              <w:spacing w:before="50"/>
              <w:jc w:val="center"/>
              <w:rPr>
                <w:rFonts w:ascii="宋体" w:hAnsi="宋体"/>
                <w:color w:val="auto"/>
                <w:sz w:val="24"/>
              </w:rPr>
            </w:pPr>
          </w:p>
        </w:tc>
        <w:tc>
          <w:tcPr>
            <w:tcW w:w="1507" w:type="pct"/>
            <w:tcBorders>
              <w:top w:val="single" w:color="auto" w:sz="4" w:space="0"/>
              <w:left w:val="single" w:color="auto" w:sz="4" w:space="0"/>
              <w:bottom w:val="single" w:color="auto" w:sz="4" w:space="0"/>
              <w:right w:val="single" w:color="auto" w:sz="4" w:space="0"/>
            </w:tcBorders>
            <w:vAlign w:val="center"/>
          </w:tcPr>
          <w:p w14:paraId="3FC795AA">
            <w:pPr>
              <w:snapToGrid w:val="0"/>
              <w:spacing w:before="50"/>
              <w:jc w:val="center"/>
              <w:rPr>
                <w:rFonts w:ascii="宋体" w:hAnsi="宋体"/>
                <w:color w:val="auto"/>
                <w:sz w:val="24"/>
              </w:rPr>
            </w:pPr>
          </w:p>
        </w:tc>
        <w:tc>
          <w:tcPr>
            <w:tcW w:w="786" w:type="pct"/>
            <w:tcBorders>
              <w:top w:val="single" w:color="auto" w:sz="4" w:space="0"/>
              <w:left w:val="single" w:color="auto" w:sz="4" w:space="0"/>
              <w:bottom w:val="single" w:color="auto" w:sz="4" w:space="0"/>
              <w:right w:val="single" w:color="auto" w:sz="4" w:space="0"/>
            </w:tcBorders>
            <w:vAlign w:val="center"/>
          </w:tcPr>
          <w:p w14:paraId="6FFE1E27">
            <w:pPr>
              <w:snapToGrid w:val="0"/>
              <w:spacing w:before="50"/>
              <w:jc w:val="center"/>
              <w:rPr>
                <w:rFonts w:ascii="宋体" w:hAnsi="宋体"/>
                <w:color w:val="auto"/>
                <w:sz w:val="24"/>
              </w:rPr>
            </w:pPr>
          </w:p>
        </w:tc>
      </w:tr>
      <w:tr w14:paraId="34C8F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779" w:type="pct"/>
            <w:tcBorders>
              <w:top w:val="single" w:color="auto" w:sz="4" w:space="0"/>
              <w:left w:val="single" w:color="auto" w:sz="4" w:space="0"/>
              <w:bottom w:val="single" w:color="auto" w:sz="4" w:space="0"/>
              <w:right w:val="single" w:color="auto" w:sz="4" w:space="0"/>
            </w:tcBorders>
            <w:vAlign w:val="center"/>
          </w:tcPr>
          <w:p w14:paraId="3B17F39E">
            <w:pPr>
              <w:snapToGrid w:val="0"/>
              <w:spacing w:before="50"/>
              <w:jc w:val="center"/>
              <w:rPr>
                <w:rFonts w:ascii="宋体" w:hAnsi="宋体"/>
                <w:color w:val="auto"/>
                <w:sz w:val="24"/>
              </w:rPr>
            </w:pPr>
          </w:p>
        </w:tc>
        <w:tc>
          <w:tcPr>
            <w:tcW w:w="1926" w:type="pct"/>
            <w:tcBorders>
              <w:top w:val="single" w:color="auto" w:sz="4" w:space="0"/>
              <w:left w:val="single" w:color="auto" w:sz="4" w:space="0"/>
              <w:bottom w:val="single" w:color="auto" w:sz="4" w:space="0"/>
              <w:right w:val="single" w:color="auto" w:sz="4" w:space="0"/>
            </w:tcBorders>
            <w:vAlign w:val="center"/>
          </w:tcPr>
          <w:p w14:paraId="1808EECD">
            <w:pPr>
              <w:snapToGrid w:val="0"/>
              <w:spacing w:before="50"/>
              <w:jc w:val="center"/>
              <w:rPr>
                <w:rFonts w:ascii="宋体" w:hAnsi="宋体"/>
                <w:color w:val="auto"/>
                <w:sz w:val="24"/>
              </w:rPr>
            </w:pPr>
          </w:p>
        </w:tc>
        <w:tc>
          <w:tcPr>
            <w:tcW w:w="1507" w:type="pct"/>
            <w:tcBorders>
              <w:top w:val="single" w:color="auto" w:sz="4" w:space="0"/>
              <w:left w:val="single" w:color="auto" w:sz="4" w:space="0"/>
              <w:bottom w:val="single" w:color="auto" w:sz="4" w:space="0"/>
              <w:right w:val="single" w:color="auto" w:sz="4" w:space="0"/>
            </w:tcBorders>
            <w:vAlign w:val="center"/>
          </w:tcPr>
          <w:p w14:paraId="531374A9">
            <w:pPr>
              <w:snapToGrid w:val="0"/>
              <w:spacing w:before="50"/>
              <w:jc w:val="center"/>
              <w:rPr>
                <w:rFonts w:ascii="宋体" w:hAnsi="宋体"/>
                <w:color w:val="auto"/>
                <w:sz w:val="24"/>
              </w:rPr>
            </w:pPr>
          </w:p>
        </w:tc>
        <w:tc>
          <w:tcPr>
            <w:tcW w:w="786" w:type="pct"/>
            <w:tcBorders>
              <w:top w:val="single" w:color="auto" w:sz="4" w:space="0"/>
              <w:left w:val="single" w:color="auto" w:sz="4" w:space="0"/>
              <w:bottom w:val="single" w:color="auto" w:sz="4" w:space="0"/>
              <w:right w:val="single" w:color="auto" w:sz="4" w:space="0"/>
            </w:tcBorders>
            <w:vAlign w:val="center"/>
          </w:tcPr>
          <w:p w14:paraId="241947A7">
            <w:pPr>
              <w:snapToGrid w:val="0"/>
              <w:spacing w:before="50"/>
              <w:jc w:val="center"/>
              <w:rPr>
                <w:rFonts w:ascii="宋体" w:hAnsi="宋体"/>
                <w:color w:val="auto"/>
                <w:sz w:val="24"/>
              </w:rPr>
            </w:pPr>
          </w:p>
        </w:tc>
      </w:tr>
      <w:tr w14:paraId="7BD2A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779" w:type="pct"/>
            <w:tcBorders>
              <w:top w:val="single" w:color="auto" w:sz="4" w:space="0"/>
              <w:left w:val="single" w:color="auto" w:sz="4" w:space="0"/>
              <w:bottom w:val="single" w:color="auto" w:sz="4" w:space="0"/>
              <w:right w:val="single" w:color="auto" w:sz="4" w:space="0"/>
            </w:tcBorders>
            <w:vAlign w:val="center"/>
          </w:tcPr>
          <w:p w14:paraId="3C5E7381">
            <w:pPr>
              <w:snapToGrid w:val="0"/>
              <w:spacing w:before="50"/>
              <w:jc w:val="center"/>
              <w:rPr>
                <w:rFonts w:ascii="宋体" w:hAnsi="宋体"/>
                <w:color w:val="auto"/>
                <w:sz w:val="24"/>
              </w:rPr>
            </w:pPr>
          </w:p>
        </w:tc>
        <w:tc>
          <w:tcPr>
            <w:tcW w:w="1926" w:type="pct"/>
            <w:tcBorders>
              <w:top w:val="single" w:color="auto" w:sz="4" w:space="0"/>
              <w:left w:val="single" w:color="auto" w:sz="4" w:space="0"/>
              <w:bottom w:val="single" w:color="auto" w:sz="4" w:space="0"/>
              <w:right w:val="single" w:color="auto" w:sz="4" w:space="0"/>
            </w:tcBorders>
            <w:vAlign w:val="center"/>
          </w:tcPr>
          <w:p w14:paraId="6DCEF103">
            <w:pPr>
              <w:snapToGrid w:val="0"/>
              <w:spacing w:before="50"/>
              <w:jc w:val="center"/>
              <w:rPr>
                <w:rFonts w:ascii="宋体" w:hAnsi="宋体"/>
                <w:color w:val="auto"/>
                <w:sz w:val="24"/>
              </w:rPr>
            </w:pPr>
          </w:p>
        </w:tc>
        <w:tc>
          <w:tcPr>
            <w:tcW w:w="1507" w:type="pct"/>
            <w:tcBorders>
              <w:top w:val="single" w:color="auto" w:sz="4" w:space="0"/>
              <w:left w:val="single" w:color="auto" w:sz="4" w:space="0"/>
              <w:bottom w:val="single" w:color="auto" w:sz="4" w:space="0"/>
              <w:right w:val="single" w:color="auto" w:sz="4" w:space="0"/>
            </w:tcBorders>
            <w:vAlign w:val="center"/>
          </w:tcPr>
          <w:p w14:paraId="504B5A8B">
            <w:pPr>
              <w:snapToGrid w:val="0"/>
              <w:spacing w:before="50"/>
              <w:jc w:val="center"/>
              <w:rPr>
                <w:rFonts w:ascii="宋体" w:hAnsi="宋体"/>
                <w:color w:val="auto"/>
                <w:sz w:val="24"/>
              </w:rPr>
            </w:pPr>
          </w:p>
        </w:tc>
        <w:tc>
          <w:tcPr>
            <w:tcW w:w="786" w:type="pct"/>
            <w:tcBorders>
              <w:top w:val="single" w:color="auto" w:sz="4" w:space="0"/>
              <w:left w:val="single" w:color="auto" w:sz="4" w:space="0"/>
              <w:bottom w:val="single" w:color="auto" w:sz="4" w:space="0"/>
              <w:right w:val="single" w:color="auto" w:sz="4" w:space="0"/>
            </w:tcBorders>
            <w:vAlign w:val="center"/>
          </w:tcPr>
          <w:p w14:paraId="4CCAF6EE">
            <w:pPr>
              <w:snapToGrid w:val="0"/>
              <w:spacing w:before="50"/>
              <w:jc w:val="center"/>
              <w:rPr>
                <w:rFonts w:ascii="宋体" w:hAnsi="宋体"/>
                <w:color w:val="auto"/>
                <w:sz w:val="24"/>
              </w:rPr>
            </w:pPr>
          </w:p>
        </w:tc>
      </w:tr>
    </w:tbl>
    <w:p w14:paraId="71FA4308">
      <w:pPr>
        <w:pStyle w:val="14"/>
        <w:spacing w:after="0" w:line="360" w:lineRule="auto"/>
        <w:contextualSpacing/>
        <w:rPr>
          <w:rFonts w:ascii="宋体" w:hAnsi="宋体"/>
          <w:color w:val="auto"/>
          <w:kern w:val="0"/>
          <w:sz w:val="24"/>
          <w:szCs w:val="24"/>
        </w:rPr>
      </w:pPr>
    </w:p>
    <w:p w14:paraId="386C062A">
      <w:pPr>
        <w:pStyle w:val="14"/>
        <w:spacing w:after="0" w:line="360" w:lineRule="auto"/>
        <w:contextualSpacing/>
        <w:rPr>
          <w:rFonts w:hint="eastAsia" w:ascii="宋体" w:hAnsi="宋体"/>
          <w:color w:val="auto"/>
          <w:kern w:val="0"/>
          <w:sz w:val="24"/>
          <w:szCs w:val="24"/>
        </w:rPr>
      </w:pPr>
      <w:r>
        <w:rPr>
          <w:rFonts w:hint="eastAsia" w:ascii="宋体" w:hAnsi="宋体"/>
          <w:color w:val="auto"/>
          <w:kern w:val="0"/>
          <w:sz w:val="24"/>
          <w:szCs w:val="24"/>
        </w:rPr>
        <w:t>注：</w:t>
      </w:r>
    </w:p>
    <w:p w14:paraId="0125C2A5">
      <w:pPr>
        <w:pStyle w:val="14"/>
        <w:spacing w:after="0" w:line="360" w:lineRule="auto"/>
        <w:contextualSpacing/>
        <w:rPr>
          <w:rFonts w:ascii="宋体" w:hAnsi="宋体"/>
          <w:color w:val="auto"/>
          <w:kern w:val="0"/>
          <w:sz w:val="24"/>
          <w:szCs w:val="24"/>
        </w:rPr>
      </w:pPr>
      <w:r>
        <w:rPr>
          <w:rFonts w:hint="eastAsia" w:ascii="宋体" w:hAnsi="宋体"/>
          <w:color w:val="auto"/>
          <w:kern w:val="0"/>
          <w:sz w:val="24"/>
          <w:szCs w:val="24"/>
          <w:lang w:val="en-US" w:eastAsia="zh-CN"/>
        </w:rPr>
        <w:t>1.供应商</w:t>
      </w:r>
      <w:r>
        <w:rPr>
          <w:rFonts w:hint="eastAsia" w:ascii="宋体" w:hAnsi="宋体"/>
          <w:color w:val="auto"/>
          <w:kern w:val="0"/>
          <w:sz w:val="24"/>
          <w:szCs w:val="24"/>
        </w:rPr>
        <w:t>应对照磋商文件“第三章 采购需求”中的</w:t>
      </w:r>
      <w:r>
        <w:rPr>
          <w:rFonts w:hint="eastAsia" w:ascii="宋体" w:hAnsi="宋体"/>
          <w:color w:val="auto"/>
          <w:kern w:val="0"/>
          <w:sz w:val="24"/>
          <w:szCs w:val="24"/>
          <w:lang w:eastAsia="zh-CN"/>
        </w:rPr>
        <w:t>商务要求</w:t>
      </w:r>
      <w:r>
        <w:rPr>
          <w:rFonts w:hint="eastAsia" w:ascii="宋体" w:hAnsi="宋体"/>
          <w:color w:val="auto"/>
          <w:kern w:val="0"/>
          <w:sz w:val="24"/>
          <w:szCs w:val="24"/>
        </w:rPr>
        <w:t>逐条作出明确响应</w:t>
      </w:r>
      <w:r>
        <w:rPr>
          <w:rFonts w:hint="eastAsia" w:ascii="宋体" w:hAnsi="宋体"/>
          <w:color w:val="auto"/>
          <w:kern w:val="0"/>
          <w:sz w:val="24"/>
          <w:szCs w:val="24"/>
          <w:lang w:eastAsia="zh-CN"/>
        </w:rPr>
        <w:t>，并作出偏离说明</w:t>
      </w:r>
      <w:r>
        <w:rPr>
          <w:rFonts w:hint="eastAsia" w:ascii="宋体" w:hAnsi="宋体"/>
          <w:color w:val="auto"/>
          <w:kern w:val="0"/>
          <w:sz w:val="24"/>
          <w:szCs w:val="24"/>
        </w:rPr>
        <w:t>。</w:t>
      </w:r>
    </w:p>
    <w:p w14:paraId="13E2BABB">
      <w:pPr>
        <w:spacing w:line="360" w:lineRule="auto"/>
        <w:ind w:right="-817" w:rightChars="-389"/>
        <w:contextualSpacing/>
        <w:rPr>
          <w:rFonts w:hint="eastAsia" w:ascii="宋体" w:hAnsi="宋体" w:cs="仿宋_GB2312"/>
          <w:color w:val="auto"/>
          <w:sz w:val="24"/>
          <w:lang w:val="en-US" w:eastAsia="zh-CN"/>
        </w:rPr>
      </w:pPr>
      <w:r>
        <w:rPr>
          <w:rFonts w:hint="eastAsia" w:ascii="宋体" w:hAnsi="宋体" w:cs="仿宋_GB2312"/>
          <w:color w:val="auto"/>
          <w:sz w:val="24"/>
          <w:lang w:val="en-US" w:eastAsia="zh-CN"/>
        </w:rPr>
        <w:t>2.供应商应根据自身的承诺，对照磋商文件要求，在“偏离说明”中注明“正偏离”</w:t>
      </w:r>
    </w:p>
    <w:p w14:paraId="3A948D6D">
      <w:pPr>
        <w:spacing w:line="360" w:lineRule="auto"/>
        <w:ind w:right="-817" w:rightChars="-389"/>
        <w:contextualSpacing/>
        <w:rPr>
          <w:rFonts w:hint="default" w:ascii="宋体" w:hAnsi="宋体" w:eastAsia="宋体" w:cs="仿宋_GB2312"/>
          <w:color w:val="auto"/>
          <w:sz w:val="24"/>
          <w:lang w:val="en-US" w:eastAsia="zh-CN"/>
        </w:rPr>
      </w:pPr>
      <w:r>
        <w:rPr>
          <w:rFonts w:hint="eastAsia" w:ascii="宋体" w:hAnsi="宋体" w:cs="仿宋_GB2312"/>
          <w:color w:val="auto"/>
          <w:sz w:val="24"/>
          <w:lang w:val="en-US" w:eastAsia="zh-CN"/>
        </w:rPr>
        <w:t>“负偏离”或者“无偏离”。既不属于“正偏离”也不属于“负偏离”即为“无偏离”。</w:t>
      </w:r>
    </w:p>
    <w:p w14:paraId="547406ED">
      <w:pPr>
        <w:spacing w:line="360" w:lineRule="auto"/>
        <w:ind w:right="-817" w:rightChars="-389"/>
        <w:contextualSpacing/>
        <w:rPr>
          <w:rFonts w:ascii="宋体" w:hAnsi="宋体" w:cs="仿宋_GB2312"/>
          <w:color w:val="auto"/>
          <w:sz w:val="24"/>
        </w:rPr>
      </w:pPr>
    </w:p>
    <w:p w14:paraId="11894FBC">
      <w:pPr>
        <w:spacing w:line="360" w:lineRule="auto"/>
        <w:ind w:right="-817" w:rightChars="-389"/>
        <w:contextualSpacing/>
        <w:jc w:val="center"/>
        <w:rPr>
          <w:rFonts w:ascii="宋体" w:hAnsi="宋体" w:cs="仿宋_GB2312"/>
          <w:color w:val="auto"/>
          <w:sz w:val="24"/>
        </w:rPr>
      </w:pPr>
      <w:r>
        <w:rPr>
          <w:rFonts w:hint="eastAsia" w:ascii="宋体" w:hAnsi="宋体" w:cs="仿宋_GB2312"/>
          <w:color w:val="auto"/>
          <w:sz w:val="24"/>
        </w:rPr>
        <w:t>法定代表人或者委托代理人签字（或者电子签名）：</w:t>
      </w:r>
    </w:p>
    <w:p w14:paraId="2273C0F8">
      <w:pPr>
        <w:spacing w:line="360" w:lineRule="auto"/>
        <w:ind w:right="-817" w:rightChars="-389" w:firstLine="2880" w:firstLineChars="1200"/>
        <w:contextualSpacing/>
        <w:rPr>
          <w:rFonts w:ascii="宋体" w:hAnsi="宋体" w:cs="仿宋_GB2312"/>
          <w:color w:val="auto"/>
          <w:sz w:val="24"/>
        </w:rPr>
      </w:pPr>
      <w:r>
        <w:rPr>
          <w:rFonts w:hint="eastAsia" w:ascii="宋体" w:hAnsi="宋体" w:cs="仿宋_GB2312"/>
          <w:color w:val="auto"/>
          <w:sz w:val="24"/>
        </w:rPr>
        <w:t xml:space="preserve">供应商电子签章：      </w:t>
      </w:r>
    </w:p>
    <w:p w14:paraId="6B5779E8">
      <w:pPr>
        <w:spacing w:line="360" w:lineRule="auto"/>
        <w:ind w:right="-817" w:rightChars="-389" w:firstLine="4080" w:firstLineChars="1700"/>
        <w:contextualSpacing/>
        <w:rPr>
          <w:rFonts w:ascii="仿宋_GB2312" w:hAnsi="仿宋_GB2312" w:eastAsia="仿宋_GB2312" w:cs="仿宋_GB2312"/>
          <w:b/>
          <w:color w:val="auto"/>
          <w:sz w:val="32"/>
          <w:szCs w:val="32"/>
        </w:rPr>
      </w:pPr>
      <w:r>
        <w:rPr>
          <w:rFonts w:hint="eastAsia" w:ascii="宋体" w:hAnsi="宋体" w:cs="仿宋_GB2312"/>
          <w:color w:val="auto"/>
          <w:sz w:val="24"/>
        </w:rPr>
        <w:t>日期：   年   月   日</w:t>
      </w:r>
    </w:p>
    <w:p w14:paraId="3E087867">
      <w:pPr>
        <w:adjustRightInd w:val="0"/>
        <w:snapToGrid w:val="0"/>
        <w:spacing w:line="520" w:lineRule="exact"/>
        <w:ind w:firstLine="7040" w:firstLineChars="1600"/>
        <w:jc w:val="center"/>
        <w:rPr>
          <w:rFonts w:ascii="方正小标宋简体" w:hAnsi="方正小标宋简体" w:eastAsia="方正小标宋简体" w:cs="方正小标宋简体"/>
          <w:bCs/>
          <w:color w:val="auto"/>
          <w:sz w:val="44"/>
          <w:szCs w:val="44"/>
        </w:rPr>
      </w:pPr>
    </w:p>
    <w:p w14:paraId="36033886">
      <w:pPr>
        <w:adjustRightInd w:val="0"/>
        <w:snapToGrid w:val="0"/>
        <w:spacing w:line="520" w:lineRule="exact"/>
        <w:ind w:firstLine="7040" w:firstLineChars="1600"/>
        <w:jc w:val="center"/>
        <w:rPr>
          <w:rFonts w:ascii="方正小标宋简体" w:hAnsi="方正小标宋简体" w:eastAsia="方正小标宋简体" w:cs="方正小标宋简体"/>
          <w:bCs/>
          <w:color w:val="auto"/>
          <w:sz w:val="44"/>
          <w:szCs w:val="44"/>
        </w:rPr>
      </w:pPr>
    </w:p>
    <w:p w14:paraId="255BFF47">
      <w:pPr>
        <w:adjustRightInd w:val="0"/>
        <w:snapToGrid w:val="0"/>
        <w:spacing w:line="300" w:lineRule="auto"/>
        <w:jc w:val="center"/>
        <w:rPr>
          <w:rFonts w:ascii="宋体" w:hAnsi="宋体" w:cs="仿宋_GB2312"/>
          <w:color w:val="auto"/>
          <w:sz w:val="24"/>
        </w:rPr>
      </w:pPr>
    </w:p>
    <w:p w14:paraId="3C57CA46">
      <w:pPr>
        <w:spacing w:line="500" w:lineRule="exact"/>
        <w:jc w:val="center"/>
        <w:rPr>
          <w:rFonts w:ascii="宋体" w:hAnsi="宋体"/>
          <w:b/>
          <w:bCs/>
          <w:color w:val="auto"/>
          <w:sz w:val="24"/>
        </w:rPr>
      </w:pPr>
      <w:r>
        <w:rPr>
          <w:rFonts w:hint="eastAsia" w:ascii="方正小标宋简体" w:hAnsi="方正小标宋简体" w:eastAsia="方正小标宋简体" w:cs="方正小标宋简体"/>
          <w:bCs/>
          <w:color w:val="auto"/>
          <w:sz w:val="44"/>
          <w:szCs w:val="44"/>
        </w:rPr>
        <w:t>项目实施方案</w:t>
      </w:r>
    </w:p>
    <w:p w14:paraId="69CD1931">
      <w:pPr>
        <w:spacing w:line="360" w:lineRule="auto"/>
        <w:contextualSpacing/>
        <w:jc w:val="left"/>
        <w:rPr>
          <w:rFonts w:ascii="宋体" w:hAnsi="宋体"/>
          <w:b/>
          <w:bCs/>
          <w:color w:val="auto"/>
          <w:sz w:val="24"/>
        </w:rPr>
      </w:pPr>
    </w:p>
    <w:p w14:paraId="1081A0EA">
      <w:pPr>
        <w:spacing w:line="360" w:lineRule="auto"/>
        <w:contextualSpacing/>
        <w:jc w:val="left"/>
        <w:rPr>
          <w:rFonts w:ascii="宋体" w:hAnsi="宋体"/>
          <w:b/>
          <w:bCs/>
          <w:color w:val="auto"/>
          <w:sz w:val="24"/>
        </w:rPr>
      </w:pPr>
    </w:p>
    <w:p w14:paraId="12A493DB">
      <w:pPr>
        <w:spacing w:line="360" w:lineRule="auto"/>
        <w:contextualSpacing/>
        <w:jc w:val="left"/>
        <w:rPr>
          <w:rFonts w:ascii="宋体" w:hAnsi="宋体"/>
          <w:b/>
          <w:bCs/>
          <w:color w:val="auto"/>
          <w:sz w:val="24"/>
        </w:rPr>
      </w:pPr>
      <w:r>
        <w:rPr>
          <w:rFonts w:hint="eastAsia" w:ascii="宋体" w:hAnsi="宋体"/>
          <w:b/>
          <w:bCs/>
          <w:color w:val="auto"/>
          <w:sz w:val="24"/>
        </w:rPr>
        <w:t>一、维保实施方案</w:t>
      </w:r>
    </w:p>
    <w:p w14:paraId="0D83802E">
      <w:pPr>
        <w:spacing w:line="360" w:lineRule="auto"/>
        <w:contextualSpacing/>
        <w:jc w:val="left"/>
        <w:rPr>
          <w:rFonts w:ascii="宋体" w:hAnsi="宋体"/>
          <w:b/>
          <w:bCs/>
          <w:color w:val="auto"/>
          <w:sz w:val="24"/>
        </w:rPr>
      </w:pPr>
      <w:r>
        <w:rPr>
          <w:rFonts w:hint="eastAsia" w:ascii="宋体" w:hAnsi="宋体"/>
          <w:b/>
          <w:bCs/>
          <w:color w:val="auto"/>
          <w:sz w:val="24"/>
        </w:rPr>
        <w:t>……</w:t>
      </w:r>
    </w:p>
    <w:p w14:paraId="27919908">
      <w:pPr>
        <w:spacing w:line="360" w:lineRule="auto"/>
        <w:contextualSpacing/>
        <w:jc w:val="left"/>
        <w:rPr>
          <w:rFonts w:ascii="宋体" w:hAnsi="宋体"/>
          <w:b/>
          <w:bCs/>
          <w:color w:val="auto"/>
          <w:sz w:val="24"/>
        </w:rPr>
      </w:pPr>
      <w:r>
        <w:rPr>
          <w:rFonts w:hint="eastAsia" w:ascii="宋体" w:hAnsi="宋体"/>
          <w:b/>
          <w:bCs/>
          <w:color w:val="auto"/>
          <w:sz w:val="24"/>
        </w:rPr>
        <w:t>二、服务计划</w:t>
      </w:r>
    </w:p>
    <w:p w14:paraId="3E6B6DA4">
      <w:pPr>
        <w:spacing w:line="360" w:lineRule="auto"/>
        <w:contextualSpacing/>
        <w:jc w:val="left"/>
        <w:rPr>
          <w:rFonts w:ascii="宋体" w:hAnsi="宋体"/>
          <w:b/>
          <w:bCs/>
          <w:color w:val="auto"/>
          <w:sz w:val="24"/>
        </w:rPr>
      </w:pPr>
      <w:r>
        <w:rPr>
          <w:rFonts w:hint="eastAsia" w:ascii="宋体" w:hAnsi="宋体"/>
          <w:b/>
          <w:bCs/>
          <w:color w:val="auto"/>
          <w:sz w:val="24"/>
        </w:rPr>
        <w:t>……</w:t>
      </w:r>
    </w:p>
    <w:p w14:paraId="40929F5B">
      <w:pPr>
        <w:spacing w:line="360" w:lineRule="auto"/>
        <w:contextualSpacing/>
        <w:jc w:val="left"/>
        <w:rPr>
          <w:rFonts w:ascii="宋体" w:hAnsi="宋体"/>
          <w:b/>
          <w:bCs/>
          <w:color w:val="auto"/>
          <w:sz w:val="24"/>
        </w:rPr>
      </w:pPr>
      <w:r>
        <w:rPr>
          <w:rFonts w:hint="eastAsia" w:ascii="宋体" w:hAnsi="宋体"/>
          <w:b/>
          <w:bCs/>
          <w:color w:val="auto"/>
          <w:sz w:val="24"/>
        </w:rPr>
        <w:t>三、各项服务流程</w:t>
      </w:r>
    </w:p>
    <w:p w14:paraId="4AF949A6">
      <w:pPr>
        <w:spacing w:line="360" w:lineRule="auto"/>
        <w:contextualSpacing/>
        <w:jc w:val="left"/>
        <w:rPr>
          <w:rFonts w:ascii="宋体" w:hAnsi="宋体"/>
          <w:b/>
          <w:bCs/>
          <w:color w:val="auto"/>
          <w:sz w:val="24"/>
        </w:rPr>
      </w:pPr>
      <w:r>
        <w:rPr>
          <w:rFonts w:hint="eastAsia" w:ascii="宋体" w:hAnsi="宋体"/>
          <w:b/>
          <w:bCs/>
          <w:color w:val="auto"/>
          <w:sz w:val="24"/>
        </w:rPr>
        <w:t>……</w:t>
      </w:r>
    </w:p>
    <w:p w14:paraId="15C5A0A0">
      <w:pPr>
        <w:spacing w:line="360" w:lineRule="auto"/>
        <w:contextualSpacing/>
        <w:jc w:val="left"/>
        <w:rPr>
          <w:rFonts w:ascii="宋体" w:hAnsi="宋体"/>
          <w:b/>
          <w:bCs/>
          <w:color w:val="auto"/>
          <w:sz w:val="24"/>
        </w:rPr>
      </w:pPr>
      <w:r>
        <w:rPr>
          <w:rFonts w:hint="eastAsia" w:ascii="宋体" w:hAnsi="宋体"/>
          <w:b/>
          <w:bCs/>
          <w:color w:val="auto"/>
          <w:sz w:val="24"/>
        </w:rPr>
        <w:t>四、应急处理措施</w:t>
      </w:r>
    </w:p>
    <w:p w14:paraId="089ED878">
      <w:pPr>
        <w:spacing w:line="360" w:lineRule="auto"/>
        <w:contextualSpacing/>
        <w:jc w:val="left"/>
        <w:rPr>
          <w:rFonts w:ascii="宋体" w:hAnsi="宋体"/>
          <w:b/>
          <w:bCs/>
          <w:color w:val="auto"/>
          <w:sz w:val="24"/>
        </w:rPr>
      </w:pPr>
      <w:r>
        <w:rPr>
          <w:rFonts w:hint="eastAsia" w:ascii="宋体" w:hAnsi="宋体"/>
          <w:b/>
          <w:bCs/>
          <w:color w:val="auto"/>
          <w:sz w:val="24"/>
        </w:rPr>
        <w:t>……</w:t>
      </w:r>
    </w:p>
    <w:p w14:paraId="3B98EC22">
      <w:pPr>
        <w:spacing w:line="360" w:lineRule="auto"/>
        <w:contextualSpacing/>
        <w:jc w:val="left"/>
        <w:rPr>
          <w:rFonts w:ascii="宋体" w:hAnsi="宋体"/>
          <w:b/>
          <w:bCs/>
          <w:color w:val="auto"/>
          <w:sz w:val="24"/>
        </w:rPr>
      </w:pPr>
    </w:p>
    <w:p w14:paraId="01AE70AC">
      <w:pPr>
        <w:spacing w:line="360" w:lineRule="auto"/>
        <w:contextualSpacing/>
        <w:jc w:val="left"/>
        <w:rPr>
          <w:rFonts w:ascii="宋体" w:hAnsi="宋体"/>
          <w:b/>
          <w:bCs/>
          <w:color w:val="auto"/>
          <w:sz w:val="24"/>
        </w:rPr>
      </w:pPr>
    </w:p>
    <w:p w14:paraId="01DB578D">
      <w:pPr>
        <w:spacing w:line="360" w:lineRule="auto"/>
        <w:ind w:right="-817" w:rightChars="-389"/>
        <w:contextualSpacing/>
        <w:jc w:val="center"/>
        <w:rPr>
          <w:rFonts w:ascii="宋体" w:hAnsi="宋体" w:cs="仿宋_GB2312"/>
          <w:color w:val="auto"/>
          <w:sz w:val="24"/>
        </w:rPr>
      </w:pPr>
      <w:r>
        <w:rPr>
          <w:rFonts w:hint="eastAsia" w:ascii="宋体" w:hAnsi="宋体" w:cs="仿宋_GB2312"/>
          <w:color w:val="auto"/>
          <w:sz w:val="24"/>
        </w:rPr>
        <w:t>法定代表人或者委托代理人（签字或者电子签名）：</w:t>
      </w:r>
    </w:p>
    <w:p w14:paraId="46EF3571">
      <w:pPr>
        <w:spacing w:line="360" w:lineRule="auto"/>
        <w:ind w:right="-817" w:rightChars="-389" w:firstLine="2880" w:firstLineChars="1200"/>
        <w:contextualSpacing/>
        <w:rPr>
          <w:rFonts w:ascii="宋体" w:hAnsi="宋体" w:cs="仿宋_GB2312"/>
          <w:color w:val="auto"/>
          <w:sz w:val="24"/>
        </w:rPr>
      </w:pPr>
      <w:r>
        <w:rPr>
          <w:rFonts w:hint="eastAsia" w:ascii="宋体" w:hAnsi="宋体" w:cs="宋体"/>
          <w:color w:val="auto"/>
          <w:sz w:val="24"/>
        </w:rPr>
        <w:t>供应商</w:t>
      </w:r>
      <w:r>
        <w:rPr>
          <w:rFonts w:hint="eastAsia" w:ascii="宋体" w:hAnsi="宋体" w:cs="宋体"/>
          <w:color w:val="auto"/>
          <w:sz w:val="24"/>
          <w:lang w:eastAsia="zh-CN"/>
        </w:rPr>
        <w:t>名称（</w:t>
      </w:r>
      <w:r>
        <w:rPr>
          <w:rFonts w:hint="eastAsia" w:ascii="宋体" w:hAnsi="宋体"/>
          <w:color w:val="auto"/>
          <w:sz w:val="24"/>
        </w:rPr>
        <w:t>电子签章</w:t>
      </w:r>
      <w:r>
        <w:rPr>
          <w:rFonts w:hint="eastAsia" w:ascii="宋体" w:hAnsi="宋体"/>
          <w:color w:val="auto"/>
          <w:sz w:val="24"/>
          <w:lang w:eastAsia="zh-CN"/>
        </w:rPr>
        <w:t>）</w:t>
      </w:r>
      <w:r>
        <w:rPr>
          <w:rFonts w:hint="eastAsia" w:ascii="宋体" w:hAnsi="宋体" w:cs="仿宋_GB2312"/>
          <w:color w:val="auto"/>
          <w:sz w:val="24"/>
        </w:rPr>
        <w:t xml:space="preserve">：      </w:t>
      </w:r>
    </w:p>
    <w:p w14:paraId="35A63C9E">
      <w:pPr>
        <w:spacing w:line="360" w:lineRule="auto"/>
        <w:ind w:right="480" w:firstLine="3840" w:firstLineChars="1600"/>
        <w:contextualSpacing/>
        <w:rPr>
          <w:rFonts w:ascii="宋体" w:hAnsi="宋体" w:cs="仿宋_GB2312"/>
          <w:color w:val="auto"/>
          <w:sz w:val="24"/>
        </w:rPr>
      </w:pPr>
      <w:r>
        <w:rPr>
          <w:rFonts w:hint="eastAsia" w:ascii="宋体" w:hAnsi="宋体" w:cs="仿宋_GB2312"/>
          <w:color w:val="auto"/>
          <w:sz w:val="24"/>
        </w:rPr>
        <w:t>日期：   年   月   日</w:t>
      </w:r>
    </w:p>
    <w:p w14:paraId="3F1E2D21">
      <w:pPr>
        <w:spacing w:line="360" w:lineRule="auto"/>
        <w:ind w:right="480" w:firstLine="3840" w:firstLineChars="1600"/>
        <w:contextualSpacing/>
        <w:rPr>
          <w:rFonts w:ascii="宋体" w:hAnsi="宋体" w:cs="仿宋_GB2312"/>
          <w:color w:val="auto"/>
          <w:sz w:val="24"/>
        </w:rPr>
      </w:pPr>
    </w:p>
    <w:p w14:paraId="5BB5D185">
      <w:pPr>
        <w:spacing w:line="360" w:lineRule="auto"/>
        <w:ind w:right="480" w:firstLine="7040" w:firstLineChars="1600"/>
        <w:contextualSpacing/>
        <w:rPr>
          <w:rFonts w:ascii="方正小标宋简体" w:hAnsi="方正小标宋简体" w:eastAsia="方正小标宋简体" w:cs="方正小标宋简体"/>
          <w:bCs/>
          <w:color w:val="auto"/>
          <w:sz w:val="44"/>
          <w:szCs w:val="44"/>
        </w:rPr>
      </w:pPr>
    </w:p>
    <w:p w14:paraId="75991234">
      <w:pPr>
        <w:spacing w:line="360" w:lineRule="auto"/>
        <w:ind w:right="480"/>
        <w:contextualSpacing/>
        <w:jc w:val="center"/>
        <w:rPr>
          <w:rFonts w:ascii="方正小标宋简体" w:hAnsi="方正小标宋简体" w:eastAsia="方正小标宋简体" w:cs="方正小标宋简体"/>
          <w:bCs/>
          <w:color w:val="auto"/>
          <w:sz w:val="44"/>
          <w:szCs w:val="44"/>
        </w:rPr>
      </w:pPr>
      <w:r>
        <w:rPr>
          <w:rFonts w:ascii="方正小标宋简体" w:hAnsi="方正小标宋简体" w:eastAsia="方正小标宋简体" w:cs="方正小标宋简体"/>
          <w:bCs/>
          <w:color w:val="auto"/>
          <w:sz w:val="44"/>
          <w:szCs w:val="44"/>
        </w:rPr>
        <w:br w:type="page"/>
      </w:r>
      <w:r>
        <w:rPr>
          <w:rFonts w:hint="eastAsia" w:ascii="方正小标宋简体" w:hAnsi="方正小标宋简体" w:eastAsia="方正小标宋简体" w:cs="方正小标宋简体"/>
          <w:bCs/>
          <w:color w:val="auto"/>
          <w:sz w:val="44"/>
          <w:szCs w:val="44"/>
        </w:rPr>
        <w:t>拟投入维护保养实施人员方案</w:t>
      </w:r>
    </w:p>
    <w:p w14:paraId="5BE3EED3">
      <w:pPr>
        <w:spacing w:line="300" w:lineRule="auto"/>
        <w:rPr>
          <w:rFonts w:ascii="宋体" w:hAnsi="宋体"/>
          <w:color w:val="auto"/>
          <w:szCs w:val="21"/>
        </w:rPr>
      </w:pPr>
    </w:p>
    <w:p w14:paraId="6FAE602A">
      <w:pPr>
        <w:spacing w:line="360" w:lineRule="auto"/>
        <w:contextualSpacing/>
        <w:jc w:val="left"/>
        <w:rPr>
          <w:rFonts w:ascii="宋体" w:hAnsi="宋体"/>
          <w:b/>
          <w:bCs/>
          <w:color w:val="auto"/>
          <w:sz w:val="24"/>
        </w:rPr>
      </w:pPr>
    </w:p>
    <w:p w14:paraId="6F1233FD">
      <w:pPr>
        <w:spacing w:line="360" w:lineRule="auto"/>
        <w:contextualSpacing/>
        <w:jc w:val="left"/>
        <w:rPr>
          <w:rFonts w:ascii="宋体" w:hAnsi="宋体"/>
          <w:b/>
          <w:bCs/>
          <w:color w:val="auto"/>
          <w:sz w:val="24"/>
        </w:rPr>
      </w:pPr>
      <w:r>
        <w:rPr>
          <w:rFonts w:hint="eastAsia" w:ascii="宋体" w:hAnsi="宋体"/>
          <w:b/>
          <w:bCs/>
          <w:color w:val="auto"/>
          <w:sz w:val="24"/>
        </w:rPr>
        <w:t>一、实施人员管理组织架构</w:t>
      </w:r>
    </w:p>
    <w:p w14:paraId="30611940">
      <w:pPr>
        <w:spacing w:line="360" w:lineRule="auto"/>
        <w:contextualSpacing/>
        <w:jc w:val="left"/>
        <w:rPr>
          <w:rFonts w:ascii="宋体" w:hAnsi="宋体"/>
          <w:b/>
          <w:bCs/>
          <w:color w:val="auto"/>
          <w:sz w:val="24"/>
        </w:rPr>
      </w:pPr>
      <w:r>
        <w:rPr>
          <w:rFonts w:hint="eastAsia" w:ascii="宋体" w:hAnsi="宋体"/>
          <w:b/>
          <w:bCs/>
          <w:color w:val="auto"/>
          <w:sz w:val="24"/>
        </w:rPr>
        <w:t>……</w:t>
      </w:r>
    </w:p>
    <w:p w14:paraId="2E3D7574">
      <w:pPr>
        <w:spacing w:line="360" w:lineRule="auto"/>
        <w:contextualSpacing/>
        <w:jc w:val="left"/>
        <w:rPr>
          <w:rFonts w:ascii="宋体" w:hAnsi="宋体"/>
          <w:b/>
          <w:bCs/>
          <w:color w:val="auto"/>
          <w:sz w:val="24"/>
        </w:rPr>
      </w:pPr>
      <w:r>
        <w:rPr>
          <w:rFonts w:hint="eastAsia" w:ascii="宋体" w:hAnsi="宋体"/>
          <w:b/>
          <w:bCs/>
          <w:color w:val="auto"/>
          <w:sz w:val="24"/>
        </w:rPr>
        <w:t>二、人员分工</w:t>
      </w:r>
    </w:p>
    <w:p w14:paraId="4B9D339B">
      <w:pPr>
        <w:spacing w:line="360" w:lineRule="auto"/>
        <w:contextualSpacing/>
        <w:jc w:val="left"/>
        <w:rPr>
          <w:rFonts w:ascii="宋体" w:hAnsi="宋体"/>
          <w:b/>
          <w:bCs/>
          <w:color w:val="auto"/>
          <w:sz w:val="24"/>
        </w:rPr>
      </w:pPr>
      <w:r>
        <w:rPr>
          <w:rFonts w:hint="eastAsia" w:ascii="宋体" w:hAnsi="宋体"/>
          <w:b/>
          <w:bCs/>
          <w:color w:val="auto"/>
          <w:sz w:val="24"/>
        </w:rPr>
        <w:t>……</w:t>
      </w:r>
    </w:p>
    <w:p w14:paraId="1C4FC1DD">
      <w:pPr>
        <w:spacing w:line="360" w:lineRule="auto"/>
        <w:contextualSpacing/>
        <w:jc w:val="left"/>
        <w:rPr>
          <w:rFonts w:ascii="宋体" w:hAnsi="宋体"/>
          <w:b/>
          <w:bCs/>
          <w:color w:val="auto"/>
          <w:sz w:val="24"/>
        </w:rPr>
      </w:pPr>
      <w:r>
        <w:rPr>
          <w:rFonts w:hint="eastAsia" w:ascii="宋体" w:hAnsi="宋体"/>
          <w:b/>
          <w:bCs/>
          <w:color w:val="auto"/>
          <w:sz w:val="24"/>
        </w:rPr>
        <w:t>三、应急维护人员调配方案</w:t>
      </w:r>
    </w:p>
    <w:p w14:paraId="52306E3D">
      <w:pPr>
        <w:spacing w:line="360" w:lineRule="auto"/>
        <w:contextualSpacing/>
        <w:jc w:val="left"/>
        <w:rPr>
          <w:rFonts w:ascii="宋体" w:hAnsi="宋体"/>
          <w:b/>
          <w:bCs/>
          <w:color w:val="auto"/>
          <w:sz w:val="24"/>
        </w:rPr>
      </w:pPr>
      <w:r>
        <w:rPr>
          <w:rFonts w:hint="eastAsia" w:ascii="宋体" w:hAnsi="宋体"/>
          <w:b/>
          <w:bCs/>
          <w:color w:val="auto"/>
          <w:sz w:val="24"/>
        </w:rPr>
        <w:t>……</w:t>
      </w:r>
    </w:p>
    <w:p w14:paraId="765EDAA7">
      <w:pPr>
        <w:spacing w:line="360" w:lineRule="auto"/>
        <w:contextualSpacing/>
        <w:jc w:val="left"/>
        <w:rPr>
          <w:rFonts w:ascii="宋体" w:hAnsi="宋体"/>
          <w:color w:val="auto"/>
          <w:sz w:val="24"/>
          <w:szCs w:val="20"/>
        </w:rPr>
      </w:pPr>
    </w:p>
    <w:p w14:paraId="3DFD3F76">
      <w:pPr>
        <w:spacing w:line="360" w:lineRule="auto"/>
        <w:contextualSpacing/>
        <w:jc w:val="left"/>
        <w:rPr>
          <w:rFonts w:ascii="宋体" w:hAnsi="宋体"/>
          <w:color w:val="auto"/>
          <w:sz w:val="24"/>
          <w:szCs w:val="20"/>
        </w:rPr>
      </w:pPr>
    </w:p>
    <w:p w14:paraId="4723A39D">
      <w:pPr>
        <w:spacing w:line="360" w:lineRule="auto"/>
        <w:ind w:right="-817" w:rightChars="-389"/>
        <w:contextualSpacing/>
        <w:jc w:val="center"/>
        <w:rPr>
          <w:rFonts w:ascii="宋体" w:hAnsi="宋体" w:cs="仿宋_GB2312"/>
          <w:color w:val="auto"/>
          <w:sz w:val="24"/>
        </w:rPr>
      </w:pPr>
      <w:r>
        <w:rPr>
          <w:rFonts w:hint="eastAsia" w:ascii="宋体" w:hAnsi="宋体" w:cs="仿宋_GB2312"/>
          <w:color w:val="auto"/>
          <w:sz w:val="24"/>
        </w:rPr>
        <w:t>法定代表人或者委托代理人（签字或者电子签名）：</w:t>
      </w:r>
    </w:p>
    <w:p w14:paraId="7EB94738">
      <w:pPr>
        <w:spacing w:line="360" w:lineRule="auto"/>
        <w:ind w:right="-817" w:rightChars="-389" w:firstLine="2880" w:firstLineChars="1200"/>
        <w:contextualSpacing/>
        <w:rPr>
          <w:rFonts w:ascii="宋体" w:hAnsi="宋体" w:cs="仿宋_GB2312"/>
          <w:color w:val="auto"/>
          <w:sz w:val="24"/>
        </w:rPr>
      </w:pPr>
      <w:r>
        <w:rPr>
          <w:rFonts w:hint="eastAsia" w:ascii="宋体" w:hAnsi="宋体" w:cs="宋体"/>
          <w:color w:val="auto"/>
          <w:sz w:val="24"/>
        </w:rPr>
        <w:t>供应商</w:t>
      </w:r>
      <w:r>
        <w:rPr>
          <w:rFonts w:hint="eastAsia" w:ascii="宋体" w:hAnsi="宋体" w:cs="宋体"/>
          <w:color w:val="auto"/>
          <w:sz w:val="24"/>
          <w:lang w:eastAsia="zh-CN"/>
        </w:rPr>
        <w:t>名称（</w:t>
      </w:r>
      <w:r>
        <w:rPr>
          <w:rFonts w:hint="eastAsia" w:ascii="宋体" w:hAnsi="宋体"/>
          <w:color w:val="auto"/>
          <w:sz w:val="24"/>
        </w:rPr>
        <w:t>电子签章</w:t>
      </w:r>
      <w:r>
        <w:rPr>
          <w:rFonts w:hint="eastAsia" w:ascii="宋体" w:hAnsi="宋体"/>
          <w:color w:val="auto"/>
          <w:sz w:val="24"/>
          <w:lang w:eastAsia="zh-CN"/>
        </w:rPr>
        <w:t>）</w:t>
      </w:r>
      <w:r>
        <w:rPr>
          <w:rFonts w:hint="eastAsia" w:ascii="宋体" w:hAnsi="宋体" w:cs="仿宋_GB2312"/>
          <w:color w:val="auto"/>
          <w:sz w:val="24"/>
        </w:rPr>
        <w:t xml:space="preserve">：       </w:t>
      </w:r>
    </w:p>
    <w:p w14:paraId="26798E5C">
      <w:pPr>
        <w:spacing w:line="360" w:lineRule="auto"/>
        <w:contextualSpacing/>
        <w:jc w:val="center"/>
        <w:rPr>
          <w:rFonts w:ascii="宋体" w:hAnsi="宋体"/>
          <w:color w:val="auto"/>
          <w:sz w:val="24"/>
          <w:szCs w:val="20"/>
        </w:rPr>
      </w:pPr>
      <w:r>
        <w:rPr>
          <w:rFonts w:hint="eastAsia" w:ascii="宋体" w:hAnsi="宋体" w:cs="仿宋_GB2312"/>
          <w:color w:val="auto"/>
          <w:sz w:val="24"/>
        </w:rPr>
        <w:t>日期：   年   月   日</w:t>
      </w:r>
    </w:p>
    <w:p w14:paraId="6BE213B6">
      <w:pPr>
        <w:adjustRightInd w:val="0"/>
        <w:snapToGrid w:val="0"/>
        <w:spacing w:line="520" w:lineRule="exact"/>
        <w:jc w:val="center"/>
        <w:rPr>
          <w:rFonts w:ascii="宋体" w:hAnsi="宋体"/>
          <w:b/>
          <w:bCs/>
          <w:color w:val="auto"/>
          <w:sz w:val="24"/>
        </w:rPr>
      </w:pPr>
    </w:p>
    <w:p w14:paraId="154EFC26">
      <w:pPr>
        <w:spacing w:line="360" w:lineRule="auto"/>
        <w:ind w:right="480"/>
        <w:contextualSpacing/>
        <w:jc w:val="center"/>
        <w:rPr>
          <w:rFonts w:ascii="方正小标宋简体" w:hAnsi="方正小标宋简体" w:eastAsia="方正小标宋简体" w:cs="方正小标宋简体"/>
          <w:bCs/>
          <w:color w:val="auto"/>
          <w:sz w:val="44"/>
          <w:szCs w:val="44"/>
        </w:rPr>
      </w:pPr>
    </w:p>
    <w:p w14:paraId="16287A15">
      <w:pPr>
        <w:spacing w:line="360" w:lineRule="auto"/>
        <w:ind w:right="480"/>
        <w:contextualSpacing/>
        <w:jc w:val="center"/>
        <w:rPr>
          <w:rFonts w:ascii="方正小标宋简体" w:hAnsi="方正小标宋简体" w:eastAsia="方正小标宋简体" w:cs="方正小标宋简体"/>
          <w:bCs/>
          <w:color w:val="auto"/>
          <w:sz w:val="44"/>
          <w:szCs w:val="44"/>
        </w:rPr>
      </w:pPr>
    </w:p>
    <w:p w14:paraId="0FF8BB42">
      <w:pPr>
        <w:spacing w:line="360" w:lineRule="auto"/>
        <w:ind w:right="480"/>
        <w:contextualSpacing/>
        <w:jc w:val="center"/>
        <w:rPr>
          <w:rFonts w:ascii="方正小标宋简体" w:hAnsi="方正小标宋简体" w:eastAsia="方正小标宋简体" w:cs="方正小标宋简体"/>
          <w:bCs/>
          <w:color w:val="auto"/>
          <w:sz w:val="44"/>
          <w:szCs w:val="44"/>
        </w:rPr>
      </w:pPr>
    </w:p>
    <w:p w14:paraId="48B8D513">
      <w:pPr>
        <w:spacing w:line="360" w:lineRule="auto"/>
        <w:ind w:right="480"/>
        <w:contextualSpacing/>
        <w:jc w:val="center"/>
        <w:rPr>
          <w:rFonts w:ascii="方正小标宋简体" w:hAnsi="方正小标宋简体" w:eastAsia="方正小标宋简体" w:cs="方正小标宋简体"/>
          <w:bCs/>
          <w:color w:val="auto"/>
          <w:sz w:val="44"/>
          <w:szCs w:val="44"/>
        </w:rPr>
      </w:pPr>
    </w:p>
    <w:p w14:paraId="33059C00">
      <w:pPr>
        <w:pStyle w:val="2"/>
        <w:rPr>
          <w:color w:val="auto"/>
        </w:rPr>
      </w:pPr>
    </w:p>
    <w:p w14:paraId="38620A87">
      <w:pPr>
        <w:spacing w:line="360" w:lineRule="auto"/>
        <w:ind w:right="480"/>
        <w:contextualSpacing/>
        <w:jc w:val="center"/>
        <w:rPr>
          <w:rFonts w:ascii="方正小标宋简体" w:hAnsi="方正小标宋简体" w:eastAsia="方正小标宋简体" w:cs="方正小标宋简体"/>
          <w:bCs/>
          <w:color w:val="auto"/>
          <w:sz w:val="44"/>
          <w:szCs w:val="44"/>
        </w:rPr>
      </w:pPr>
    </w:p>
    <w:p w14:paraId="0CD53445">
      <w:pPr>
        <w:spacing w:line="360" w:lineRule="auto"/>
        <w:ind w:right="480"/>
        <w:contextualSpacing/>
        <w:jc w:val="center"/>
        <w:rPr>
          <w:rFonts w:ascii="方正小标宋简体" w:hAnsi="方正小标宋简体" w:eastAsia="方正小标宋简体" w:cs="方正小标宋简体"/>
          <w:bCs/>
          <w:color w:val="auto"/>
          <w:sz w:val="44"/>
          <w:szCs w:val="44"/>
        </w:rPr>
      </w:pPr>
    </w:p>
    <w:p w14:paraId="189802A2">
      <w:pPr>
        <w:spacing w:line="360" w:lineRule="auto"/>
        <w:ind w:right="480"/>
        <w:contextualSpacing/>
        <w:jc w:val="center"/>
        <w:rPr>
          <w:rFonts w:ascii="方正小标宋简体" w:hAnsi="方正小标宋简体" w:eastAsia="方正小标宋简体" w:cs="方正小标宋简体"/>
          <w:bCs/>
          <w:color w:val="auto"/>
          <w:sz w:val="44"/>
          <w:szCs w:val="44"/>
        </w:rPr>
      </w:pPr>
      <w:r>
        <w:rPr>
          <w:rFonts w:hint="eastAsia" w:ascii="方正小标宋简体" w:hAnsi="方正小标宋简体" w:eastAsia="方正小标宋简体" w:cs="方正小标宋简体"/>
          <w:bCs/>
          <w:color w:val="auto"/>
          <w:sz w:val="44"/>
          <w:szCs w:val="44"/>
        </w:rPr>
        <w:t>培训方案</w:t>
      </w:r>
    </w:p>
    <w:p w14:paraId="379CA7BD">
      <w:pPr>
        <w:spacing w:line="300" w:lineRule="auto"/>
        <w:rPr>
          <w:rFonts w:ascii="宋体" w:hAnsi="宋体"/>
          <w:color w:val="auto"/>
          <w:szCs w:val="21"/>
        </w:rPr>
      </w:pPr>
    </w:p>
    <w:p w14:paraId="14EB3300">
      <w:pPr>
        <w:spacing w:line="360" w:lineRule="auto"/>
        <w:contextualSpacing/>
        <w:jc w:val="left"/>
        <w:rPr>
          <w:rFonts w:ascii="宋体" w:hAnsi="宋体"/>
          <w:b/>
          <w:bCs/>
          <w:color w:val="auto"/>
          <w:sz w:val="24"/>
        </w:rPr>
      </w:pPr>
    </w:p>
    <w:p w14:paraId="1DF634B1">
      <w:pPr>
        <w:spacing w:line="360" w:lineRule="auto"/>
        <w:contextualSpacing/>
        <w:jc w:val="left"/>
        <w:rPr>
          <w:rFonts w:ascii="宋体" w:hAnsi="宋体"/>
          <w:b/>
          <w:bCs/>
          <w:color w:val="auto"/>
          <w:sz w:val="24"/>
        </w:rPr>
      </w:pPr>
      <w:r>
        <w:rPr>
          <w:rFonts w:hint="eastAsia" w:ascii="宋体" w:hAnsi="宋体"/>
          <w:b/>
          <w:bCs/>
          <w:color w:val="auto"/>
          <w:sz w:val="24"/>
        </w:rPr>
        <w:t>一、师资人员安排</w:t>
      </w:r>
    </w:p>
    <w:p w14:paraId="189A417D">
      <w:pPr>
        <w:spacing w:line="360" w:lineRule="auto"/>
        <w:contextualSpacing/>
        <w:jc w:val="left"/>
        <w:rPr>
          <w:rFonts w:ascii="宋体" w:hAnsi="宋体"/>
          <w:b/>
          <w:bCs/>
          <w:color w:val="auto"/>
          <w:sz w:val="24"/>
        </w:rPr>
      </w:pPr>
      <w:r>
        <w:rPr>
          <w:rFonts w:hint="eastAsia" w:ascii="宋体" w:hAnsi="宋体"/>
          <w:b/>
          <w:bCs/>
          <w:color w:val="auto"/>
          <w:sz w:val="24"/>
        </w:rPr>
        <w:t>……</w:t>
      </w:r>
    </w:p>
    <w:p w14:paraId="635F03E3">
      <w:pPr>
        <w:spacing w:line="360" w:lineRule="auto"/>
        <w:contextualSpacing/>
        <w:jc w:val="left"/>
        <w:rPr>
          <w:rFonts w:ascii="宋体" w:hAnsi="宋体"/>
          <w:b/>
          <w:bCs/>
          <w:color w:val="auto"/>
          <w:sz w:val="24"/>
        </w:rPr>
      </w:pPr>
      <w:r>
        <w:rPr>
          <w:rFonts w:hint="eastAsia" w:ascii="宋体" w:hAnsi="宋体"/>
          <w:b/>
          <w:bCs/>
          <w:color w:val="auto"/>
          <w:sz w:val="24"/>
        </w:rPr>
        <w:t>二、培训内容安排（包括设备功能理论及设备应用培训计划、设备常见问题的基本维修及保养、操作培训计划）</w:t>
      </w:r>
    </w:p>
    <w:p w14:paraId="019E51B2">
      <w:pPr>
        <w:spacing w:line="360" w:lineRule="auto"/>
        <w:contextualSpacing/>
        <w:jc w:val="left"/>
        <w:rPr>
          <w:rFonts w:ascii="宋体" w:hAnsi="宋体"/>
          <w:b/>
          <w:bCs/>
          <w:color w:val="auto"/>
          <w:sz w:val="24"/>
        </w:rPr>
      </w:pPr>
      <w:r>
        <w:rPr>
          <w:rFonts w:hint="eastAsia" w:ascii="宋体" w:hAnsi="宋体"/>
          <w:b/>
          <w:bCs/>
          <w:color w:val="auto"/>
          <w:sz w:val="24"/>
        </w:rPr>
        <w:t>……</w:t>
      </w:r>
    </w:p>
    <w:p w14:paraId="2811D045">
      <w:pPr>
        <w:spacing w:line="360" w:lineRule="auto"/>
        <w:contextualSpacing/>
        <w:jc w:val="left"/>
        <w:rPr>
          <w:rFonts w:ascii="宋体" w:hAnsi="宋体"/>
          <w:b/>
          <w:bCs/>
          <w:color w:val="auto"/>
          <w:sz w:val="24"/>
        </w:rPr>
      </w:pPr>
    </w:p>
    <w:p w14:paraId="17A98E7D">
      <w:pPr>
        <w:spacing w:line="360" w:lineRule="auto"/>
        <w:contextualSpacing/>
        <w:jc w:val="left"/>
        <w:rPr>
          <w:rFonts w:ascii="宋体" w:hAnsi="宋体"/>
          <w:color w:val="auto"/>
          <w:sz w:val="24"/>
          <w:szCs w:val="20"/>
        </w:rPr>
      </w:pPr>
    </w:p>
    <w:p w14:paraId="397B056C">
      <w:pPr>
        <w:spacing w:line="360" w:lineRule="auto"/>
        <w:contextualSpacing/>
        <w:jc w:val="left"/>
        <w:rPr>
          <w:rFonts w:ascii="宋体" w:hAnsi="宋体"/>
          <w:color w:val="auto"/>
          <w:sz w:val="24"/>
          <w:szCs w:val="20"/>
        </w:rPr>
      </w:pPr>
    </w:p>
    <w:p w14:paraId="088ECE27">
      <w:pPr>
        <w:spacing w:line="360" w:lineRule="auto"/>
        <w:ind w:right="-817" w:rightChars="-389"/>
        <w:contextualSpacing/>
        <w:jc w:val="center"/>
        <w:rPr>
          <w:rFonts w:ascii="宋体" w:hAnsi="宋体" w:cs="仿宋_GB2312"/>
          <w:color w:val="auto"/>
          <w:sz w:val="24"/>
        </w:rPr>
      </w:pPr>
      <w:r>
        <w:rPr>
          <w:rFonts w:hint="eastAsia" w:ascii="宋体" w:hAnsi="宋体" w:cs="仿宋_GB2312"/>
          <w:color w:val="auto"/>
          <w:sz w:val="24"/>
        </w:rPr>
        <w:t>法定代表人或者委托代理人（签字或者电子签名）：</w:t>
      </w:r>
    </w:p>
    <w:p w14:paraId="6EA8E425">
      <w:pPr>
        <w:spacing w:line="360" w:lineRule="auto"/>
        <w:ind w:right="-817" w:rightChars="-389" w:firstLine="2880" w:firstLineChars="1200"/>
        <w:contextualSpacing/>
        <w:rPr>
          <w:rFonts w:ascii="宋体" w:hAnsi="宋体" w:cs="仿宋_GB2312"/>
          <w:color w:val="auto"/>
          <w:sz w:val="24"/>
        </w:rPr>
      </w:pPr>
      <w:r>
        <w:rPr>
          <w:rFonts w:hint="eastAsia" w:ascii="宋体" w:hAnsi="宋体" w:cs="宋体"/>
          <w:color w:val="auto"/>
          <w:sz w:val="24"/>
        </w:rPr>
        <w:t>供应商</w:t>
      </w:r>
      <w:r>
        <w:rPr>
          <w:rFonts w:hint="eastAsia" w:ascii="宋体" w:hAnsi="宋体" w:cs="宋体"/>
          <w:color w:val="auto"/>
          <w:sz w:val="24"/>
          <w:lang w:eastAsia="zh-CN"/>
        </w:rPr>
        <w:t>名称（</w:t>
      </w:r>
      <w:r>
        <w:rPr>
          <w:rFonts w:hint="eastAsia" w:ascii="宋体" w:hAnsi="宋体"/>
          <w:color w:val="auto"/>
          <w:sz w:val="24"/>
        </w:rPr>
        <w:t>电子签章</w:t>
      </w:r>
      <w:r>
        <w:rPr>
          <w:rFonts w:hint="eastAsia" w:ascii="宋体" w:hAnsi="宋体"/>
          <w:color w:val="auto"/>
          <w:sz w:val="24"/>
          <w:lang w:eastAsia="zh-CN"/>
        </w:rPr>
        <w:t>）</w:t>
      </w:r>
      <w:r>
        <w:rPr>
          <w:rFonts w:hint="eastAsia" w:ascii="宋体" w:hAnsi="宋体" w:cs="仿宋_GB2312"/>
          <w:color w:val="auto"/>
          <w:sz w:val="24"/>
        </w:rPr>
        <w:t xml:space="preserve">：        </w:t>
      </w:r>
    </w:p>
    <w:p w14:paraId="7902CA1E">
      <w:pPr>
        <w:spacing w:line="360" w:lineRule="auto"/>
        <w:contextualSpacing/>
        <w:jc w:val="center"/>
        <w:rPr>
          <w:rFonts w:ascii="宋体" w:hAnsi="宋体"/>
          <w:color w:val="auto"/>
          <w:sz w:val="24"/>
          <w:szCs w:val="20"/>
        </w:rPr>
      </w:pPr>
      <w:r>
        <w:rPr>
          <w:rFonts w:hint="eastAsia" w:ascii="宋体" w:hAnsi="宋体" w:cs="仿宋_GB2312"/>
          <w:color w:val="auto"/>
          <w:sz w:val="24"/>
        </w:rPr>
        <w:t>日期：   年   月   日</w:t>
      </w:r>
    </w:p>
    <w:p w14:paraId="28633DB0">
      <w:pPr>
        <w:adjustRightInd w:val="0"/>
        <w:snapToGrid w:val="0"/>
        <w:spacing w:line="520" w:lineRule="exact"/>
        <w:jc w:val="center"/>
        <w:rPr>
          <w:rFonts w:ascii="宋体" w:hAnsi="宋体"/>
          <w:b/>
          <w:bCs/>
          <w:color w:val="auto"/>
          <w:sz w:val="24"/>
        </w:rPr>
      </w:pPr>
    </w:p>
    <w:p w14:paraId="4C326A8A">
      <w:pPr>
        <w:adjustRightInd w:val="0"/>
        <w:snapToGrid w:val="0"/>
        <w:spacing w:line="520" w:lineRule="exact"/>
        <w:jc w:val="center"/>
        <w:rPr>
          <w:rFonts w:ascii="宋体" w:hAnsi="宋体"/>
          <w:b/>
          <w:bCs/>
          <w:color w:val="auto"/>
          <w:sz w:val="24"/>
        </w:rPr>
      </w:pPr>
    </w:p>
    <w:p w14:paraId="515F8C9E">
      <w:pPr>
        <w:adjustRightInd w:val="0"/>
        <w:snapToGrid w:val="0"/>
        <w:spacing w:line="520" w:lineRule="exact"/>
        <w:jc w:val="center"/>
        <w:rPr>
          <w:rFonts w:ascii="宋体" w:hAnsi="宋体"/>
          <w:b/>
          <w:bCs/>
          <w:color w:val="auto"/>
          <w:sz w:val="24"/>
        </w:rPr>
      </w:pPr>
    </w:p>
    <w:p w14:paraId="2F537899">
      <w:pPr>
        <w:adjustRightInd w:val="0"/>
        <w:snapToGrid w:val="0"/>
        <w:spacing w:line="520" w:lineRule="exact"/>
        <w:jc w:val="center"/>
        <w:rPr>
          <w:rFonts w:ascii="宋体" w:hAnsi="宋体"/>
          <w:b/>
          <w:bCs/>
          <w:color w:val="auto"/>
          <w:sz w:val="24"/>
        </w:rPr>
      </w:pPr>
    </w:p>
    <w:p w14:paraId="31F36C53">
      <w:pPr>
        <w:adjustRightInd w:val="0"/>
        <w:snapToGrid w:val="0"/>
        <w:spacing w:line="520" w:lineRule="exact"/>
        <w:jc w:val="center"/>
        <w:rPr>
          <w:rFonts w:ascii="宋体" w:hAnsi="宋体"/>
          <w:b/>
          <w:bCs/>
          <w:color w:val="auto"/>
          <w:sz w:val="24"/>
        </w:rPr>
      </w:pPr>
    </w:p>
    <w:p w14:paraId="3571070D">
      <w:pPr>
        <w:adjustRightInd w:val="0"/>
        <w:snapToGrid w:val="0"/>
        <w:spacing w:line="520" w:lineRule="exact"/>
        <w:jc w:val="center"/>
        <w:rPr>
          <w:rFonts w:ascii="宋体" w:hAnsi="宋体"/>
          <w:b/>
          <w:bCs/>
          <w:color w:val="auto"/>
          <w:sz w:val="24"/>
        </w:rPr>
      </w:pPr>
    </w:p>
    <w:p w14:paraId="7B82EA6E">
      <w:pPr>
        <w:spacing w:line="300" w:lineRule="auto"/>
        <w:rPr>
          <w:rFonts w:ascii="宋体" w:hAnsi="宋体"/>
          <w:color w:val="auto"/>
          <w:szCs w:val="21"/>
        </w:rPr>
      </w:pPr>
      <w:r>
        <w:rPr>
          <w:rFonts w:ascii="宋体" w:hAnsi="宋体"/>
          <w:b/>
          <w:bCs/>
          <w:color w:val="auto"/>
          <w:sz w:val="24"/>
        </w:rPr>
        <w:br w:type="page"/>
      </w:r>
      <w:r>
        <w:rPr>
          <w:rFonts w:hint="eastAsia" w:ascii="宋体" w:hAnsi="宋体"/>
          <w:b/>
          <w:bCs/>
          <w:color w:val="auto"/>
          <w:sz w:val="24"/>
        </w:rPr>
        <w:t>其他文书、文件格式</w:t>
      </w:r>
    </w:p>
    <w:p w14:paraId="3A259C3A">
      <w:pPr>
        <w:jc w:val="center"/>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中小企业声明函（服务）</w:t>
      </w:r>
    </w:p>
    <w:p w14:paraId="772014F8">
      <w:pPr>
        <w:spacing w:before="2" w:line="500" w:lineRule="exact"/>
        <w:ind w:firstLine="708" w:firstLineChars="294"/>
        <w:rPr>
          <w:rFonts w:ascii="宋体" w:hAnsi="宋体" w:cs="宋体"/>
          <w:b/>
          <w:bCs/>
          <w:color w:val="auto"/>
          <w:sz w:val="24"/>
        </w:rPr>
      </w:pPr>
    </w:p>
    <w:p w14:paraId="2FBEE02A">
      <w:pPr>
        <w:spacing w:line="480" w:lineRule="exact"/>
        <w:ind w:firstLine="482"/>
        <w:rPr>
          <w:rFonts w:ascii="宋体" w:hAnsi="宋体"/>
          <w:color w:val="auto"/>
          <w:kern w:val="0"/>
          <w:sz w:val="24"/>
        </w:rPr>
      </w:pPr>
      <w:r>
        <w:rPr>
          <w:rFonts w:hint="eastAsia" w:ascii="宋体" w:hAnsi="宋体"/>
          <w:color w:val="auto"/>
          <w:kern w:val="0"/>
          <w:sz w:val="24"/>
        </w:rPr>
        <w:t>本公司郑重声明，根据《政府采购促进中小企业发展管理办法》（财库﹝2020﹞46 号）的规定，本公司参加</w:t>
      </w:r>
      <w:r>
        <w:rPr>
          <w:rFonts w:hint="eastAsia" w:ascii="宋体" w:hAnsi="宋体"/>
          <w:color w:val="auto"/>
          <w:kern w:val="0"/>
          <w:sz w:val="24"/>
          <w:u w:val="single"/>
        </w:rPr>
        <w:t>（单位名称）</w:t>
      </w:r>
      <w:r>
        <w:rPr>
          <w:rFonts w:hint="eastAsia" w:ascii="宋体" w:hAnsi="宋体"/>
          <w:color w:val="auto"/>
          <w:kern w:val="0"/>
          <w:sz w:val="24"/>
        </w:rPr>
        <w:t>的</w:t>
      </w:r>
      <w:r>
        <w:rPr>
          <w:rFonts w:hint="eastAsia" w:ascii="宋体" w:hAnsi="宋体"/>
          <w:color w:val="auto"/>
          <w:kern w:val="0"/>
          <w:sz w:val="24"/>
          <w:u w:val="single"/>
        </w:rPr>
        <w:t>（项目名称）</w:t>
      </w:r>
      <w:r>
        <w:rPr>
          <w:rFonts w:hint="eastAsia" w:ascii="宋体" w:hAnsi="宋体"/>
          <w:color w:val="auto"/>
          <w:kern w:val="0"/>
          <w:sz w:val="24"/>
        </w:rPr>
        <w:t>采购活动，服务全部由符合政策要求的中小企业承接）。相关企业的具体情况如下：</w:t>
      </w:r>
    </w:p>
    <w:p w14:paraId="271C2CDB">
      <w:pPr>
        <w:spacing w:line="480" w:lineRule="exact"/>
        <w:ind w:firstLine="482"/>
        <w:rPr>
          <w:rFonts w:ascii="宋体" w:hAnsi="宋体"/>
          <w:color w:val="auto"/>
          <w:kern w:val="0"/>
          <w:sz w:val="24"/>
        </w:rPr>
      </w:pPr>
      <w:r>
        <w:rPr>
          <w:rFonts w:hint="eastAsia" w:ascii="宋体" w:hAnsi="宋体"/>
          <w:color w:val="auto"/>
          <w:kern w:val="0"/>
          <w:sz w:val="24"/>
          <w:u w:val="single"/>
        </w:rPr>
        <w:t>（标的名称）</w:t>
      </w:r>
      <w:r>
        <w:rPr>
          <w:rFonts w:hint="eastAsia" w:ascii="宋体" w:hAnsi="宋体"/>
          <w:color w:val="auto"/>
          <w:kern w:val="0"/>
          <w:sz w:val="24"/>
        </w:rPr>
        <w:t>，属于</w:t>
      </w:r>
      <w:r>
        <w:rPr>
          <w:rFonts w:hint="eastAsia" w:ascii="宋体" w:hAnsi="宋体"/>
          <w:color w:val="auto"/>
          <w:kern w:val="0"/>
          <w:sz w:val="24"/>
          <w:u w:val="single"/>
        </w:rPr>
        <w:t xml:space="preserve">         </w:t>
      </w:r>
      <w:r>
        <w:rPr>
          <w:rFonts w:hint="eastAsia" w:ascii="宋体" w:hAnsi="宋体"/>
          <w:color w:val="auto"/>
          <w:kern w:val="0"/>
          <w:sz w:val="24"/>
        </w:rPr>
        <w:t xml:space="preserve"> 行业；承接企业为</w:t>
      </w:r>
      <w:r>
        <w:rPr>
          <w:rFonts w:hint="eastAsia" w:ascii="宋体" w:hAnsi="宋体"/>
          <w:color w:val="auto"/>
          <w:kern w:val="0"/>
          <w:sz w:val="24"/>
          <w:u w:val="single"/>
        </w:rPr>
        <w:t>（企业名称）</w:t>
      </w:r>
      <w:r>
        <w:rPr>
          <w:rFonts w:hint="eastAsia" w:ascii="宋体" w:hAnsi="宋体"/>
          <w:color w:val="auto"/>
          <w:kern w:val="0"/>
          <w:sz w:val="24"/>
        </w:rPr>
        <w:t>，从业人员</w:t>
      </w:r>
      <w:r>
        <w:rPr>
          <w:rFonts w:hint="eastAsia" w:ascii="宋体" w:hAnsi="宋体"/>
          <w:color w:val="auto"/>
          <w:kern w:val="0"/>
          <w:sz w:val="24"/>
          <w:u w:val="single"/>
        </w:rPr>
        <w:t xml:space="preserve">   </w:t>
      </w:r>
      <w:r>
        <w:rPr>
          <w:rFonts w:hint="eastAsia" w:ascii="宋体" w:hAnsi="宋体"/>
          <w:color w:val="auto"/>
          <w:kern w:val="0"/>
          <w:sz w:val="24"/>
        </w:rPr>
        <w:t>人，营业收入为</w:t>
      </w:r>
      <w:r>
        <w:rPr>
          <w:rFonts w:hint="eastAsia" w:ascii="宋体" w:hAnsi="宋体"/>
          <w:color w:val="auto"/>
          <w:kern w:val="0"/>
          <w:sz w:val="24"/>
          <w:u w:val="single"/>
        </w:rPr>
        <w:t xml:space="preserve">    </w:t>
      </w:r>
      <w:r>
        <w:rPr>
          <w:rFonts w:hint="eastAsia" w:ascii="宋体" w:hAnsi="宋体"/>
          <w:color w:val="auto"/>
          <w:kern w:val="0"/>
          <w:sz w:val="24"/>
        </w:rPr>
        <w:t>万元，资产总额为</w:t>
      </w:r>
      <w:r>
        <w:rPr>
          <w:rFonts w:hint="eastAsia" w:ascii="宋体" w:hAnsi="宋体"/>
          <w:color w:val="auto"/>
          <w:kern w:val="0"/>
          <w:sz w:val="24"/>
          <w:u w:val="single"/>
        </w:rPr>
        <w:t xml:space="preserve">     </w:t>
      </w:r>
      <w:r>
        <w:rPr>
          <w:rFonts w:hint="eastAsia" w:ascii="宋体" w:hAnsi="宋体"/>
          <w:color w:val="auto"/>
          <w:kern w:val="0"/>
          <w:sz w:val="24"/>
        </w:rPr>
        <w:t>万元，属于</w:t>
      </w:r>
      <w:r>
        <w:rPr>
          <w:rFonts w:hint="eastAsia" w:ascii="宋体" w:hAnsi="宋体"/>
          <w:color w:val="auto"/>
          <w:kern w:val="0"/>
          <w:sz w:val="24"/>
          <w:u w:val="single"/>
        </w:rPr>
        <w:t>（中型企业、小型企业、微型企业）</w:t>
      </w:r>
      <w:r>
        <w:rPr>
          <w:rFonts w:hint="eastAsia" w:ascii="宋体" w:hAnsi="宋体"/>
          <w:color w:val="auto"/>
          <w:kern w:val="0"/>
          <w:sz w:val="24"/>
        </w:rPr>
        <w:t>；</w:t>
      </w:r>
    </w:p>
    <w:p w14:paraId="1FD6C0CD">
      <w:pPr>
        <w:spacing w:line="480" w:lineRule="exact"/>
        <w:ind w:firstLine="482"/>
        <w:rPr>
          <w:rFonts w:ascii="宋体" w:hAnsi="宋体"/>
          <w:color w:val="auto"/>
          <w:kern w:val="0"/>
          <w:sz w:val="24"/>
        </w:rPr>
      </w:pPr>
      <w:r>
        <w:rPr>
          <w:rFonts w:hint="eastAsia" w:ascii="宋体" w:hAnsi="宋体"/>
          <w:color w:val="auto"/>
          <w:kern w:val="0"/>
          <w:sz w:val="24"/>
        </w:rPr>
        <w:t>以上企业，不属于大企业的分支机构，不存在控股股东为大企业的情形，也不存在与大企业的负责人为同一人的情形。</w:t>
      </w:r>
    </w:p>
    <w:p w14:paraId="77F49D81">
      <w:pPr>
        <w:spacing w:line="480" w:lineRule="exact"/>
        <w:ind w:firstLine="482"/>
        <w:rPr>
          <w:rFonts w:ascii="宋体" w:hAnsi="宋体"/>
          <w:color w:val="auto"/>
          <w:kern w:val="0"/>
          <w:sz w:val="24"/>
        </w:rPr>
      </w:pPr>
      <w:r>
        <w:rPr>
          <w:rFonts w:hint="eastAsia" w:ascii="宋体" w:hAnsi="宋体"/>
          <w:color w:val="auto"/>
          <w:kern w:val="0"/>
          <w:sz w:val="24"/>
        </w:rPr>
        <w:t>本企业对上述声明内容的真实性负责。如有虚假，将依法承担相应责任。</w:t>
      </w:r>
    </w:p>
    <w:p w14:paraId="3F85DD4E">
      <w:pPr>
        <w:pStyle w:val="2"/>
        <w:spacing w:before="25" w:line="500" w:lineRule="exact"/>
        <w:ind w:right="142" w:firstLine="705" w:firstLineChars="294"/>
        <w:rPr>
          <w:rFonts w:ascii="宋体" w:hAnsi="宋体"/>
          <w:color w:val="auto"/>
          <w:sz w:val="24"/>
        </w:rPr>
      </w:pPr>
    </w:p>
    <w:p w14:paraId="54282940">
      <w:pPr>
        <w:pStyle w:val="2"/>
        <w:spacing w:before="56" w:line="500" w:lineRule="exact"/>
        <w:ind w:right="1808" w:firstLine="705" w:firstLineChars="294"/>
        <w:rPr>
          <w:rFonts w:ascii="宋体" w:hAnsi="宋体"/>
          <w:color w:val="auto"/>
          <w:sz w:val="24"/>
        </w:rPr>
      </w:pPr>
    </w:p>
    <w:p w14:paraId="4FBDAB55">
      <w:pPr>
        <w:pStyle w:val="2"/>
        <w:spacing w:before="56" w:line="500" w:lineRule="exact"/>
        <w:ind w:right="650" w:firstLine="5625" w:firstLineChars="2344"/>
        <w:rPr>
          <w:rFonts w:ascii="宋体" w:hAnsi="宋体"/>
          <w:color w:val="auto"/>
          <w:sz w:val="24"/>
        </w:rPr>
      </w:pPr>
      <w:r>
        <w:rPr>
          <w:rFonts w:ascii="宋体" w:hAnsi="宋体"/>
          <w:color w:val="auto"/>
          <w:sz w:val="24"/>
        </w:rPr>
        <w:t>企业名称（</w:t>
      </w:r>
      <w:r>
        <w:rPr>
          <w:rFonts w:hint="eastAsia" w:ascii="宋体" w:hAnsi="宋体"/>
          <w:color w:val="auto"/>
          <w:sz w:val="24"/>
        </w:rPr>
        <w:t>电子签章</w:t>
      </w:r>
      <w:r>
        <w:rPr>
          <w:rFonts w:ascii="宋体" w:hAnsi="宋体"/>
          <w:color w:val="auto"/>
          <w:sz w:val="24"/>
        </w:rPr>
        <w:t xml:space="preserve">）： </w:t>
      </w:r>
    </w:p>
    <w:p w14:paraId="4C612392">
      <w:pPr>
        <w:pStyle w:val="2"/>
        <w:spacing w:before="56" w:line="500" w:lineRule="exact"/>
        <w:ind w:right="1808" w:firstLine="5625" w:firstLineChars="2344"/>
        <w:rPr>
          <w:rFonts w:ascii="宋体" w:hAnsi="宋体"/>
          <w:color w:val="auto"/>
          <w:sz w:val="24"/>
        </w:rPr>
      </w:pPr>
      <w:r>
        <w:rPr>
          <w:rFonts w:ascii="宋体" w:hAnsi="宋体"/>
          <w:color w:val="auto"/>
          <w:sz w:val="24"/>
        </w:rPr>
        <w:t>日 期：</w:t>
      </w:r>
    </w:p>
    <w:p w14:paraId="2E79FA44">
      <w:pPr>
        <w:spacing w:line="360" w:lineRule="auto"/>
        <w:contextualSpacing/>
        <w:jc w:val="left"/>
        <w:rPr>
          <w:rFonts w:ascii="宋体" w:hAnsi="宋体" w:cs="仿宋_GB2312"/>
          <w:color w:val="auto"/>
          <w:sz w:val="24"/>
        </w:rPr>
      </w:pPr>
      <w:r>
        <w:rPr>
          <w:rFonts w:hint="eastAsia" w:ascii="宋体" w:hAnsi="宋体" w:cs="仿宋_GB2312"/>
          <w:color w:val="auto"/>
          <w:sz w:val="24"/>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6731382E">
      <w:pPr>
        <w:spacing w:line="360" w:lineRule="auto"/>
        <w:contextualSpacing/>
        <w:jc w:val="center"/>
        <w:rPr>
          <w:rFonts w:ascii="仿宋_GB2312" w:hAnsi="仿宋_GB2312" w:eastAsia="仿宋_GB2312" w:cs="仿宋_GB2312"/>
          <w:color w:val="auto"/>
          <w:sz w:val="32"/>
          <w:szCs w:val="32"/>
        </w:rPr>
      </w:pPr>
      <w:r>
        <w:rPr>
          <w:rFonts w:ascii="宋体" w:hAnsi="宋体" w:cs="仿宋_GB2312"/>
          <w:color w:val="auto"/>
          <w:sz w:val="24"/>
        </w:rPr>
        <w:br w:type="page"/>
      </w:r>
      <w:r>
        <w:rPr>
          <w:rFonts w:hint="eastAsia" w:ascii="方正小标宋简体" w:hAnsi="方正小标宋简体" w:eastAsia="方正小标宋简体" w:cs="方正小标宋简体"/>
          <w:color w:val="auto"/>
          <w:sz w:val="44"/>
          <w:szCs w:val="44"/>
        </w:rPr>
        <w:t>残疾人福利性单位声明函</w:t>
      </w:r>
    </w:p>
    <w:p w14:paraId="43B455CC">
      <w:pPr>
        <w:spacing w:line="360" w:lineRule="auto"/>
        <w:contextualSpacing/>
        <w:rPr>
          <w:rFonts w:ascii="仿宋_GB2312" w:hAnsi="仿宋_GB2312" w:eastAsia="仿宋_GB2312" w:cs="仿宋_GB2312"/>
          <w:color w:val="auto"/>
          <w:sz w:val="32"/>
          <w:szCs w:val="32"/>
        </w:rPr>
      </w:pPr>
    </w:p>
    <w:p w14:paraId="00E0AAF9">
      <w:pPr>
        <w:spacing w:line="360" w:lineRule="auto"/>
        <w:ind w:firstLine="480" w:firstLineChars="200"/>
        <w:contextualSpacing/>
        <w:rPr>
          <w:rFonts w:ascii="宋体" w:hAnsi="宋体" w:cs="仿宋_GB2312"/>
          <w:color w:val="auto"/>
          <w:sz w:val="24"/>
        </w:rPr>
      </w:pPr>
      <w:r>
        <w:rPr>
          <w:rFonts w:hint="eastAsia" w:ascii="宋体" w:hAnsi="宋体" w:cs="仿宋_GB2312"/>
          <w:color w:val="auto"/>
          <w:sz w:val="24"/>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仿宋_GB2312"/>
          <w:color w:val="auto"/>
          <w:sz w:val="24"/>
          <w:u w:val="single"/>
        </w:rPr>
        <w:t xml:space="preserve">       </w:t>
      </w:r>
      <w:r>
        <w:rPr>
          <w:rFonts w:hint="eastAsia" w:ascii="宋体" w:hAnsi="宋体" w:cs="仿宋_GB2312"/>
          <w:color w:val="auto"/>
          <w:sz w:val="24"/>
        </w:rPr>
        <w:t>单位的</w:t>
      </w:r>
      <w:r>
        <w:rPr>
          <w:rFonts w:hint="eastAsia" w:ascii="宋体" w:hAnsi="宋体" w:cs="仿宋_GB2312"/>
          <w:color w:val="auto"/>
          <w:sz w:val="24"/>
          <w:u w:val="single"/>
        </w:rPr>
        <w:t xml:space="preserve">        </w:t>
      </w:r>
      <w:r>
        <w:rPr>
          <w:rFonts w:hint="eastAsia" w:ascii="宋体" w:hAnsi="宋体" w:cs="仿宋_GB2312"/>
          <w:color w:val="auto"/>
          <w:sz w:val="24"/>
        </w:rPr>
        <w:t>项目采购活动提供本单位制造的货物（由本单位承担工程/提供服务），或者提供其他残疾人福利性单位制造的货物（不包括使用非残疾人福利性单位注册商标的货物）。</w:t>
      </w:r>
    </w:p>
    <w:p w14:paraId="05274C03">
      <w:pPr>
        <w:spacing w:line="360" w:lineRule="auto"/>
        <w:ind w:firstLine="480" w:firstLineChars="200"/>
        <w:contextualSpacing/>
        <w:rPr>
          <w:rFonts w:ascii="宋体" w:hAnsi="宋体" w:cs="仿宋_GB2312"/>
          <w:color w:val="auto"/>
          <w:sz w:val="24"/>
        </w:rPr>
      </w:pPr>
      <w:r>
        <w:rPr>
          <w:rFonts w:hint="eastAsia" w:ascii="宋体" w:hAnsi="宋体" w:cs="仿宋_GB2312"/>
          <w:color w:val="auto"/>
          <w:sz w:val="24"/>
        </w:rPr>
        <w:t>本单位对上述声明的真实性负责。如有虚假，将依法承担相应责任。</w:t>
      </w:r>
    </w:p>
    <w:p w14:paraId="1A352819">
      <w:pPr>
        <w:spacing w:line="360" w:lineRule="auto"/>
        <w:contextualSpacing/>
        <w:rPr>
          <w:rFonts w:ascii="宋体" w:hAnsi="宋体" w:cs="仿宋_GB2312"/>
          <w:color w:val="auto"/>
          <w:sz w:val="24"/>
        </w:rPr>
      </w:pPr>
    </w:p>
    <w:p w14:paraId="659E2224">
      <w:pPr>
        <w:spacing w:line="360" w:lineRule="auto"/>
        <w:contextualSpacing/>
        <w:rPr>
          <w:rFonts w:ascii="宋体" w:hAnsi="宋体" w:cs="仿宋_GB2312"/>
          <w:color w:val="auto"/>
          <w:sz w:val="24"/>
        </w:rPr>
      </w:pPr>
    </w:p>
    <w:p w14:paraId="2332CAAA">
      <w:pPr>
        <w:spacing w:line="360" w:lineRule="auto"/>
        <w:contextualSpacing/>
        <w:rPr>
          <w:rFonts w:ascii="宋体" w:hAnsi="宋体" w:cs="仿宋_GB2312"/>
          <w:color w:val="auto"/>
          <w:sz w:val="24"/>
        </w:rPr>
      </w:pPr>
    </w:p>
    <w:p w14:paraId="533084DC">
      <w:pPr>
        <w:spacing w:line="360" w:lineRule="auto"/>
        <w:ind w:firstLine="2640" w:firstLineChars="1100"/>
        <w:contextualSpacing/>
        <w:rPr>
          <w:rFonts w:ascii="宋体" w:hAnsi="宋体" w:cs="仿宋_GB2312"/>
          <w:color w:val="auto"/>
          <w:sz w:val="24"/>
        </w:rPr>
      </w:pPr>
      <w:r>
        <w:rPr>
          <w:rFonts w:hint="eastAsia" w:ascii="宋体" w:hAnsi="宋体" w:cs="宋体"/>
          <w:color w:val="auto"/>
          <w:sz w:val="24"/>
        </w:rPr>
        <w:t>供应商</w:t>
      </w:r>
      <w:r>
        <w:rPr>
          <w:rFonts w:hint="eastAsia" w:ascii="宋体" w:hAnsi="宋体"/>
          <w:color w:val="auto"/>
          <w:sz w:val="24"/>
        </w:rPr>
        <w:t>电子签章</w:t>
      </w:r>
      <w:r>
        <w:rPr>
          <w:rFonts w:hint="eastAsia" w:ascii="宋体" w:hAnsi="宋体" w:cs="仿宋_GB2312"/>
          <w:color w:val="auto"/>
          <w:sz w:val="24"/>
        </w:rPr>
        <w:t>：</w:t>
      </w:r>
    </w:p>
    <w:p w14:paraId="228FE10E">
      <w:pPr>
        <w:spacing w:line="360" w:lineRule="auto"/>
        <w:ind w:firstLine="3600" w:firstLineChars="1500"/>
        <w:contextualSpacing/>
        <w:rPr>
          <w:rFonts w:ascii="宋体" w:hAnsi="宋体" w:cs="仿宋_GB2312"/>
          <w:color w:val="auto"/>
          <w:sz w:val="24"/>
        </w:rPr>
      </w:pPr>
      <w:r>
        <w:rPr>
          <w:rFonts w:hint="eastAsia" w:ascii="宋体" w:hAnsi="宋体" w:cs="仿宋_GB2312"/>
          <w:color w:val="auto"/>
          <w:sz w:val="24"/>
        </w:rPr>
        <w:t>日  期：</w:t>
      </w:r>
    </w:p>
    <w:p w14:paraId="4DB818BD">
      <w:pPr>
        <w:spacing w:line="360" w:lineRule="auto"/>
        <w:rPr>
          <w:rFonts w:ascii="宋体" w:hAnsi="宋体" w:cs="仿宋_GB2312"/>
          <w:color w:val="auto"/>
          <w:sz w:val="24"/>
        </w:rPr>
      </w:pPr>
    </w:p>
    <w:p w14:paraId="1443B246">
      <w:pPr>
        <w:spacing w:line="360" w:lineRule="auto"/>
        <w:rPr>
          <w:rFonts w:ascii="宋体" w:hAnsi="宋体" w:cs="仿宋_GB2312"/>
          <w:color w:val="auto"/>
          <w:sz w:val="24"/>
        </w:rPr>
      </w:pPr>
    </w:p>
    <w:p w14:paraId="5B73139E">
      <w:pPr>
        <w:spacing w:line="360" w:lineRule="auto"/>
        <w:contextualSpacing/>
        <w:rPr>
          <w:rFonts w:ascii="宋体" w:hAnsi="宋体" w:cs="仿宋_GB2312"/>
          <w:color w:val="auto"/>
          <w:sz w:val="24"/>
        </w:rPr>
      </w:pPr>
    </w:p>
    <w:p w14:paraId="191ED775">
      <w:pPr>
        <w:spacing w:line="360" w:lineRule="auto"/>
        <w:contextualSpacing/>
        <w:rPr>
          <w:rFonts w:ascii="宋体" w:hAnsi="宋体" w:cs="仿宋_GB2312"/>
          <w:color w:val="auto"/>
          <w:sz w:val="24"/>
        </w:rPr>
      </w:pPr>
      <w:r>
        <w:rPr>
          <w:rFonts w:hint="eastAsia" w:ascii="宋体" w:hAnsi="宋体" w:cs="仿宋_GB2312"/>
          <w:color w:val="auto"/>
          <w:sz w:val="24"/>
        </w:rPr>
        <w:t>注：请根据自己的真实情况出具《残疾人福利性单位声明函》。依法享受中小企业优惠政策的，采购人或者采购代理机构在公告成交结果时，同时公告其《残疾人福利性单位声明函》，接受社会监督。</w:t>
      </w:r>
    </w:p>
    <w:p w14:paraId="15D5F947">
      <w:pPr>
        <w:spacing w:line="360" w:lineRule="auto"/>
        <w:jc w:val="center"/>
        <w:rPr>
          <w:rFonts w:ascii="宋体" w:hAnsi="宋体"/>
          <w:b/>
          <w:bCs/>
          <w:color w:val="auto"/>
          <w:sz w:val="32"/>
          <w:szCs w:val="32"/>
        </w:rPr>
      </w:pPr>
      <w:r>
        <w:rPr>
          <w:rFonts w:ascii="宋体" w:hAnsi="宋体" w:cs="仿宋_GB2312"/>
          <w:color w:val="auto"/>
          <w:sz w:val="24"/>
        </w:rPr>
        <w:br w:type="page"/>
      </w:r>
      <w:r>
        <w:rPr>
          <w:rFonts w:hint="eastAsia" w:ascii="方正小标宋简体" w:hAnsi="方正小标宋简体" w:eastAsia="方正小标宋简体" w:cs="方正小标宋简体"/>
          <w:color w:val="auto"/>
          <w:sz w:val="44"/>
          <w:szCs w:val="44"/>
        </w:rPr>
        <w:t>质疑函（格式）</w:t>
      </w:r>
    </w:p>
    <w:p w14:paraId="4B0B6EB0">
      <w:pPr>
        <w:pStyle w:val="17"/>
        <w:snapToGrid w:val="0"/>
        <w:spacing w:line="360" w:lineRule="auto"/>
        <w:ind w:firstLine="482" w:firstLineChars="200"/>
        <w:rPr>
          <w:rFonts w:hAnsi="宋体"/>
          <w:b/>
          <w:bCs/>
          <w:color w:val="auto"/>
          <w:sz w:val="24"/>
          <w:szCs w:val="24"/>
        </w:rPr>
      </w:pPr>
      <w:r>
        <w:rPr>
          <w:rFonts w:hint="eastAsia" w:hAnsi="宋体"/>
          <w:b/>
          <w:bCs/>
          <w:color w:val="auto"/>
          <w:sz w:val="24"/>
          <w:szCs w:val="24"/>
        </w:rPr>
        <w:t>一、质疑供应商基本信息：</w:t>
      </w:r>
    </w:p>
    <w:p w14:paraId="6F99F4E0">
      <w:pPr>
        <w:pStyle w:val="17"/>
        <w:snapToGrid w:val="0"/>
        <w:spacing w:line="360" w:lineRule="auto"/>
        <w:ind w:firstLine="480" w:firstLineChars="200"/>
        <w:rPr>
          <w:rFonts w:hAnsi="宋体"/>
          <w:bCs/>
          <w:color w:val="auto"/>
          <w:sz w:val="24"/>
          <w:szCs w:val="24"/>
          <w:u w:val="single"/>
        </w:rPr>
      </w:pPr>
      <w:r>
        <w:rPr>
          <w:rFonts w:hint="eastAsia" w:hAnsi="宋体"/>
          <w:bCs/>
          <w:color w:val="auto"/>
          <w:sz w:val="24"/>
          <w:szCs w:val="24"/>
        </w:rPr>
        <w:t>质疑供应商：</w:t>
      </w:r>
      <w:r>
        <w:rPr>
          <w:rFonts w:hint="eastAsia" w:hAnsi="宋体"/>
          <w:bCs/>
          <w:color w:val="auto"/>
          <w:sz w:val="24"/>
          <w:szCs w:val="24"/>
          <w:u w:val="single"/>
        </w:rPr>
        <w:t xml:space="preserve">                                       </w:t>
      </w:r>
      <w:r>
        <w:rPr>
          <w:rFonts w:hint="eastAsia" w:hAnsi="宋体"/>
          <w:bCs/>
          <w:color w:val="auto"/>
          <w:sz w:val="24"/>
          <w:szCs w:val="24"/>
        </w:rPr>
        <w:t xml:space="preserve">                 </w:t>
      </w:r>
    </w:p>
    <w:p w14:paraId="48F842C5">
      <w:pPr>
        <w:pStyle w:val="17"/>
        <w:snapToGrid w:val="0"/>
        <w:spacing w:line="360" w:lineRule="auto"/>
        <w:ind w:firstLine="480" w:firstLineChars="200"/>
        <w:rPr>
          <w:rFonts w:hAnsi="宋体"/>
          <w:bCs/>
          <w:color w:val="auto"/>
          <w:sz w:val="24"/>
          <w:szCs w:val="24"/>
        </w:rPr>
      </w:pPr>
      <w:r>
        <w:rPr>
          <w:rFonts w:hAnsi="宋体"/>
          <w:bCs/>
          <w:color w:val="auto"/>
          <w:sz w:val="24"/>
          <w:szCs w:val="24"/>
        </w:rPr>
        <w:t>地址</w:t>
      </w:r>
      <w:r>
        <w:rPr>
          <w:rFonts w:hint="eastAsia" w:hAnsi="宋体"/>
          <w:bCs/>
          <w:color w:val="auto"/>
          <w:sz w:val="24"/>
          <w:szCs w:val="24"/>
        </w:rPr>
        <w:t>：</w:t>
      </w:r>
      <w:r>
        <w:rPr>
          <w:rFonts w:hint="eastAsia" w:hAnsi="宋体"/>
          <w:bCs/>
          <w:color w:val="auto"/>
          <w:sz w:val="24"/>
          <w:szCs w:val="24"/>
          <w:u w:val="single"/>
        </w:rPr>
        <w:t xml:space="preserve">                                          </w:t>
      </w:r>
      <w:r>
        <w:rPr>
          <w:rFonts w:hAnsi="宋体"/>
          <w:bCs/>
          <w:color w:val="auto"/>
          <w:sz w:val="24"/>
          <w:szCs w:val="24"/>
        </w:rPr>
        <w:t>邮编</w:t>
      </w:r>
      <w:r>
        <w:rPr>
          <w:rFonts w:hint="eastAsia" w:hAnsi="宋体"/>
          <w:bCs/>
          <w:color w:val="auto"/>
          <w:sz w:val="24"/>
          <w:szCs w:val="24"/>
        </w:rPr>
        <w:t>：</w:t>
      </w:r>
      <w:r>
        <w:rPr>
          <w:rFonts w:hint="eastAsia" w:hAnsi="宋体"/>
          <w:bCs/>
          <w:color w:val="auto"/>
          <w:sz w:val="24"/>
          <w:szCs w:val="24"/>
          <w:u w:val="single"/>
        </w:rPr>
        <w:t xml:space="preserve">                  </w:t>
      </w:r>
      <w:r>
        <w:rPr>
          <w:rFonts w:hint="eastAsia" w:hAnsi="宋体"/>
          <w:bCs/>
          <w:color w:val="auto"/>
          <w:sz w:val="24"/>
          <w:szCs w:val="24"/>
        </w:rPr>
        <w:t xml:space="preserve">                 </w:t>
      </w:r>
    </w:p>
    <w:p w14:paraId="5790FE27">
      <w:pPr>
        <w:pStyle w:val="17"/>
        <w:snapToGrid w:val="0"/>
        <w:spacing w:line="360" w:lineRule="auto"/>
        <w:ind w:firstLine="480" w:firstLineChars="200"/>
        <w:rPr>
          <w:rFonts w:hAnsi="宋体"/>
          <w:bCs/>
          <w:color w:val="auto"/>
          <w:sz w:val="24"/>
          <w:szCs w:val="24"/>
        </w:rPr>
      </w:pPr>
      <w:r>
        <w:rPr>
          <w:rFonts w:hAnsi="宋体"/>
          <w:bCs/>
          <w:color w:val="auto"/>
          <w:sz w:val="24"/>
          <w:szCs w:val="24"/>
        </w:rPr>
        <w:t>联系人</w:t>
      </w:r>
      <w:r>
        <w:rPr>
          <w:rFonts w:hint="eastAsia" w:hAnsi="宋体"/>
          <w:bCs/>
          <w:color w:val="auto"/>
          <w:sz w:val="24"/>
          <w:szCs w:val="24"/>
        </w:rPr>
        <w:t>：</w:t>
      </w:r>
      <w:r>
        <w:rPr>
          <w:rFonts w:hint="eastAsia" w:hAnsi="宋体"/>
          <w:bCs/>
          <w:color w:val="auto"/>
          <w:sz w:val="24"/>
          <w:szCs w:val="24"/>
          <w:u w:val="single"/>
        </w:rPr>
        <w:t xml:space="preserve">                     </w:t>
      </w:r>
      <w:r>
        <w:rPr>
          <w:rFonts w:hAnsi="宋体"/>
          <w:bCs/>
          <w:color w:val="auto"/>
          <w:sz w:val="24"/>
          <w:szCs w:val="24"/>
        </w:rPr>
        <w:t>联系电话</w:t>
      </w:r>
      <w:r>
        <w:rPr>
          <w:rFonts w:hint="eastAsia" w:hAnsi="宋体"/>
          <w:bCs/>
          <w:color w:val="auto"/>
          <w:sz w:val="24"/>
          <w:szCs w:val="24"/>
        </w:rPr>
        <w:t>：</w:t>
      </w:r>
      <w:r>
        <w:rPr>
          <w:rFonts w:hint="eastAsia" w:hAnsi="宋体"/>
          <w:bCs/>
          <w:color w:val="auto"/>
          <w:sz w:val="24"/>
          <w:szCs w:val="24"/>
          <w:u w:val="single"/>
        </w:rPr>
        <w:t xml:space="preserve">                 </w:t>
      </w:r>
    </w:p>
    <w:p w14:paraId="596FCAD6">
      <w:pPr>
        <w:pStyle w:val="17"/>
        <w:snapToGrid w:val="0"/>
        <w:spacing w:line="360" w:lineRule="auto"/>
        <w:ind w:firstLine="480" w:firstLineChars="200"/>
        <w:rPr>
          <w:rFonts w:hAnsi="宋体"/>
          <w:bCs/>
          <w:color w:val="auto"/>
          <w:sz w:val="24"/>
          <w:szCs w:val="24"/>
        </w:rPr>
      </w:pPr>
      <w:r>
        <w:rPr>
          <w:rFonts w:hint="eastAsia" w:hAnsi="宋体"/>
          <w:bCs/>
          <w:color w:val="auto"/>
          <w:sz w:val="24"/>
          <w:szCs w:val="24"/>
        </w:rPr>
        <w:t>授权代表：</w:t>
      </w:r>
      <w:r>
        <w:rPr>
          <w:rFonts w:hint="eastAsia" w:hAnsi="宋体"/>
          <w:bCs/>
          <w:color w:val="auto"/>
          <w:sz w:val="24"/>
          <w:szCs w:val="24"/>
          <w:u w:val="single"/>
        </w:rPr>
        <w:t xml:space="preserve">                      </w:t>
      </w:r>
    </w:p>
    <w:p w14:paraId="0019888C">
      <w:pPr>
        <w:pStyle w:val="17"/>
        <w:snapToGrid w:val="0"/>
        <w:spacing w:line="360" w:lineRule="auto"/>
        <w:ind w:firstLine="480" w:firstLineChars="200"/>
        <w:rPr>
          <w:rFonts w:hAnsi="宋体"/>
          <w:bCs/>
          <w:color w:val="auto"/>
          <w:sz w:val="24"/>
          <w:szCs w:val="24"/>
          <w:u w:val="single"/>
        </w:rPr>
      </w:pPr>
      <w:r>
        <w:rPr>
          <w:rFonts w:hAnsi="宋体"/>
          <w:bCs/>
          <w:color w:val="auto"/>
          <w:sz w:val="24"/>
          <w:szCs w:val="24"/>
        </w:rPr>
        <w:t>联系</w:t>
      </w:r>
      <w:r>
        <w:rPr>
          <w:rFonts w:hint="eastAsia" w:hAnsi="宋体"/>
          <w:bCs/>
          <w:color w:val="auto"/>
          <w:sz w:val="24"/>
          <w:szCs w:val="24"/>
        </w:rPr>
        <w:t>电话：</w:t>
      </w:r>
      <w:r>
        <w:rPr>
          <w:rFonts w:hint="eastAsia" w:hAnsi="宋体"/>
          <w:bCs/>
          <w:color w:val="auto"/>
          <w:sz w:val="24"/>
          <w:szCs w:val="24"/>
          <w:u w:val="single"/>
        </w:rPr>
        <w:t xml:space="preserve">                      </w:t>
      </w:r>
    </w:p>
    <w:p w14:paraId="2A004DEB">
      <w:pPr>
        <w:pStyle w:val="17"/>
        <w:snapToGrid w:val="0"/>
        <w:spacing w:line="360" w:lineRule="auto"/>
        <w:ind w:firstLine="480" w:firstLineChars="200"/>
        <w:rPr>
          <w:rFonts w:hAnsi="宋体"/>
          <w:bCs/>
          <w:color w:val="auto"/>
          <w:sz w:val="24"/>
          <w:szCs w:val="24"/>
        </w:rPr>
      </w:pPr>
      <w:r>
        <w:rPr>
          <w:rFonts w:hAnsi="宋体"/>
          <w:bCs/>
          <w:color w:val="auto"/>
          <w:sz w:val="24"/>
          <w:szCs w:val="24"/>
        </w:rPr>
        <w:t>地址</w:t>
      </w:r>
      <w:r>
        <w:rPr>
          <w:rFonts w:hint="eastAsia" w:hAnsi="宋体"/>
          <w:bCs/>
          <w:color w:val="auto"/>
          <w:sz w:val="24"/>
          <w:szCs w:val="24"/>
        </w:rPr>
        <w:t>：</w:t>
      </w:r>
      <w:r>
        <w:rPr>
          <w:rFonts w:hint="eastAsia" w:hAnsi="宋体"/>
          <w:bCs/>
          <w:color w:val="auto"/>
          <w:sz w:val="24"/>
          <w:szCs w:val="24"/>
          <w:u w:val="single"/>
        </w:rPr>
        <w:t xml:space="preserve">                 </w:t>
      </w:r>
      <w:r>
        <w:rPr>
          <w:rFonts w:hAnsi="宋体"/>
          <w:bCs/>
          <w:color w:val="auto"/>
          <w:sz w:val="24"/>
          <w:szCs w:val="24"/>
        </w:rPr>
        <w:t>邮编</w:t>
      </w:r>
      <w:r>
        <w:rPr>
          <w:rFonts w:hint="eastAsia" w:hAnsi="宋体"/>
          <w:bCs/>
          <w:color w:val="auto"/>
          <w:sz w:val="24"/>
          <w:szCs w:val="24"/>
        </w:rPr>
        <w:t>：</w:t>
      </w:r>
      <w:r>
        <w:rPr>
          <w:rFonts w:hint="eastAsia" w:hAnsi="宋体"/>
          <w:bCs/>
          <w:color w:val="auto"/>
          <w:sz w:val="24"/>
          <w:szCs w:val="24"/>
          <w:u w:val="single"/>
        </w:rPr>
        <w:t xml:space="preserve">                  </w:t>
      </w:r>
      <w:r>
        <w:rPr>
          <w:rFonts w:hint="eastAsia" w:hAnsi="宋体"/>
          <w:bCs/>
          <w:color w:val="auto"/>
          <w:sz w:val="24"/>
          <w:szCs w:val="24"/>
        </w:rPr>
        <w:t xml:space="preserve">     </w:t>
      </w:r>
    </w:p>
    <w:p w14:paraId="63A046F6">
      <w:pPr>
        <w:pStyle w:val="17"/>
        <w:snapToGrid w:val="0"/>
        <w:spacing w:line="360" w:lineRule="auto"/>
        <w:ind w:firstLine="482" w:firstLineChars="200"/>
        <w:rPr>
          <w:rFonts w:hAnsi="宋体"/>
          <w:b/>
          <w:bCs/>
          <w:color w:val="auto"/>
          <w:sz w:val="24"/>
          <w:szCs w:val="24"/>
        </w:rPr>
      </w:pPr>
      <w:r>
        <w:rPr>
          <w:rFonts w:hint="eastAsia" w:hAnsi="宋体"/>
          <w:b/>
          <w:bCs/>
          <w:color w:val="auto"/>
          <w:sz w:val="24"/>
          <w:szCs w:val="24"/>
        </w:rPr>
        <w:t>二、质疑项目基本情况：</w:t>
      </w:r>
    </w:p>
    <w:p w14:paraId="21452ADE">
      <w:pPr>
        <w:pStyle w:val="17"/>
        <w:spacing w:line="360" w:lineRule="auto"/>
        <w:ind w:left="25" w:leftChars="12" w:firstLine="472" w:firstLineChars="197"/>
        <w:rPr>
          <w:rFonts w:hAnsi="宋体"/>
          <w:color w:val="auto"/>
          <w:sz w:val="24"/>
          <w:szCs w:val="24"/>
        </w:rPr>
      </w:pPr>
      <w:r>
        <w:rPr>
          <w:rFonts w:hint="eastAsia" w:hAnsi="宋体"/>
          <w:bCs/>
          <w:color w:val="auto"/>
          <w:sz w:val="24"/>
          <w:szCs w:val="24"/>
        </w:rPr>
        <w:t>质疑</w:t>
      </w:r>
      <w:r>
        <w:rPr>
          <w:rFonts w:hint="eastAsia" w:hAnsi="宋体"/>
          <w:color w:val="auto"/>
          <w:sz w:val="24"/>
          <w:szCs w:val="24"/>
        </w:rPr>
        <w:t>项目的名称：</w:t>
      </w:r>
      <w:r>
        <w:rPr>
          <w:rFonts w:hint="eastAsia" w:hAnsi="宋体"/>
          <w:bCs/>
          <w:color w:val="auto"/>
          <w:sz w:val="24"/>
          <w:szCs w:val="24"/>
          <w:u w:val="single"/>
        </w:rPr>
        <w:t xml:space="preserve">                                     </w:t>
      </w:r>
    </w:p>
    <w:p w14:paraId="5ADF9425">
      <w:pPr>
        <w:pStyle w:val="17"/>
        <w:spacing w:line="360" w:lineRule="auto"/>
        <w:ind w:left="25" w:leftChars="12" w:firstLine="472" w:firstLineChars="197"/>
        <w:rPr>
          <w:rFonts w:hAnsi="宋体"/>
          <w:color w:val="auto"/>
          <w:sz w:val="24"/>
          <w:szCs w:val="24"/>
        </w:rPr>
      </w:pPr>
      <w:r>
        <w:rPr>
          <w:rFonts w:hint="eastAsia" w:hAnsi="宋体"/>
          <w:bCs/>
          <w:color w:val="auto"/>
          <w:sz w:val="24"/>
          <w:szCs w:val="24"/>
        </w:rPr>
        <w:t>质疑</w:t>
      </w:r>
      <w:r>
        <w:rPr>
          <w:rFonts w:hint="eastAsia" w:hAnsi="宋体"/>
          <w:color w:val="auto"/>
          <w:sz w:val="24"/>
          <w:szCs w:val="24"/>
        </w:rPr>
        <w:t>项目的编号：</w:t>
      </w:r>
      <w:r>
        <w:rPr>
          <w:rFonts w:hint="eastAsia" w:hAnsi="宋体"/>
          <w:bCs/>
          <w:color w:val="auto"/>
          <w:sz w:val="24"/>
          <w:szCs w:val="24"/>
          <w:u w:val="single"/>
        </w:rPr>
        <w:t xml:space="preserve">                                     </w:t>
      </w:r>
    </w:p>
    <w:p w14:paraId="5973DDC6">
      <w:pPr>
        <w:pStyle w:val="17"/>
        <w:spacing w:line="360" w:lineRule="auto"/>
        <w:ind w:left="25" w:leftChars="12" w:firstLine="472" w:firstLineChars="197"/>
        <w:rPr>
          <w:rFonts w:hAnsi="宋体"/>
          <w:color w:val="auto"/>
          <w:sz w:val="24"/>
          <w:szCs w:val="24"/>
        </w:rPr>
      </w:pPr>
      <w:r>
        <w:rPr>
          <w:rFonts w:hint="eastAsia" w:hAnsi="宋体"/>
          <w:color w:val="auto"/>
          <w:sz w:val="24"/>
          <w:szCs w:val="24"/>
        </w:rPr>
        <w:t>采购人名称：</w:t>
      </w:r>
      <w:r>
        <w:rPr>
          <w:rFonts w:hint="eastAsia" w:hAnsi="宋体"/>
          <w:bCs/>
          <w:color w:val="auto"/>
          <w:sz w:val="24"/>
          <w:szCs w:val="24"/>
          <w:u w:val="single"/>
        </w:rPr>
        <w:t xml:space="preserve">                                         </w:t>
      </w:r>
    </w:p>
    <w:p w14:paraId="12175B49">
      <w:pPr>
        <w:pStyle w:val="17"/>
        <w:spacing w:line="360" w:lineRule="auto"/>
        <w:ind w:left="25" w:leftChars="12" w:firstLine="472" w:firstLineChars="197"/>
        <w:rPr>
          <w:rFonts w:hAnsi="宋体"/>
          <w:color w:val="auto"/>
          <w:sz w:val="24"/>
          <w:szCs w:val="24"/>
        </w:rPr>
      </w:pPr>
      <w:r>
        <w:rPr>
          <w:rFonts w:hint="eastAsia" w:hAnsi="宋体"/>
          <w:color w:val="auto"/>
          <w:sz w:val="24"/>
          <w:szCs w:val="24"/>
        </w:rPr>
        <w:t>质疑事项：</w:t>
      </w:r>
    </w:p>
    <w:p w14:paraId="2C74DD1F">
      <w:pPr>
        <w:pStyle w:val="17"/>
        <w:spacing w:line="360" w:lineRule="auto"/>
        <w:ind w:left="25" w:leftChars="12" w:firstLine="352" w:firstLineChars="147"/>
        <w:rPr>
          <w:rFonts w:hAnsi="宋体"/>
          <w:color w:val="auto"/>
          <w:sz w:val="24"/>
          <w:szCs w:val="24"/>
        </w:rPr>
      </w:pPr>
      <w:r>
        <w:rPr>
          <w:rFonts w:hint="eastAsia" w:hAnsi="宋体"/>
          <w:color w:val="auto"/>
          <w:sz w:val="24"/>
          <w:szCs w:val="24"/>
        </w:rPr>
        <w:t>□采购文件   采购文件获取日期：</w:t>
      </w:r>
      <w:r>
        <w:rPr>
          <w:rFonts w:hint="eastAsia" w:hAnsi="宋体"/>
          <w:bCs/>
          <w:color w:val="auto"/>
          <w:sz w:val="24"/>
          <w:szCs w:val="24"/>
          <w:u w:val="single"/>
        </w:rPr>
        <w:t xml:space="preserve">                                   </w:t>
      </w:r>
    </w:p>
    <w:p w14:paraId="3232A006">
      <w:pPr>
        <w:pStyle w:val="17"/>
        <w:spacing w:line="360" w:lineRule="auto"/>
        <w:ind w:left="25" w:leftChars="12" w:firstLine="352" w:firstLineChars="147"/>
        <w:rPr>
          <w:rFonts w:hAnsi="宋体"/>
          <w:color w:val="auto"/>
          <w:sz w:val="24"/>
          <w:szCs w:val="24"/>
        </w:rPr>
      </w:pPr>
      <w:r>
        <w:rPr>
          <w:rFonts w:hint="eastAsia" w:hAnsi="宋体"/>
          <w:color w:val="auto"/>
          <w:sz w:val="24"/>
          <w:szCs w:val="24"/>
        </w:rPr>
        <w:t xml:space="preserve">□采购过程   </w:t>
      </w:r>
    </w:p>
    <w:p w14:paraId="1C4DF9D2">
      <w:pPr>
        <w:pStyle w:val="17"/>
        <w:spacing w:line="360" w:lineRule="auto"/>
        <w:ind w:left="25" w:leftChars="12" w:firstLine="352" w:firstLineChars="147"/>
        <w:rPr>
          <w:rFonts w:hAnsi="宋体"/>
          <w:bCs/>
          <w:color w:val="auto"/>
          <w:sz w:val="24"/>
          <w:szCs w:val="24"/>
          <w:u w:val="single"/>
        </w:rPr>
      </w:pPr>
      <w:r>
        <w:rPr>
          <w:rFonts w:hint="eastAsia" w:hAnsi="宋体"/>
          <w:color w:val="auto"/>
          <w:sz w:val="24"/>
          <w:szCs w:val="24"/>
        </w:rPr>
        <w:t xml:space="preserve">□成交结果   </w:t>
      </w:r>
    </w:p>
    <w:p w14:paraId="29AB6750">
      <w:pPr>
        <w:pStyle w:val="17"/>
        <w:spacing w:line="360" w:lineRule="auto"/>
        <w:ind w:left="25" w:leftChars="12" w:firstLine="472" w:firstLineChars="196"/>
        <w:rPr>
          <w:rFonts w:hAnsi="宋体"/>
          <w:b/>
          <w:color w:val="auto"/>
          <w:sz w:val="24"/>
          <w:szCs w:val="24"/>
        </w:rPr>
      </w:pPr>
      <w:r>
        <w:rPr>
          <w:rFonts w:hint="eastAsia" w:hAnsi="宋体"/>
          <w:b/>
          <w:color w:val="auto"/>
          <w:sz w:val="24"/>
          <w:szCs w:val="24"/>
        </w:rPr>
        <w:t>三、质疑事项具体内容</w:t>
      </w:r>
    </w:p>
    <w:p w14:paraId="0AC262D3">
      <w:pPr>
        <w:pStyle w:val="17"/>
        <w:spacing w:line="360" w:lineRule="auto"/>
        <w:ind w:left="25" w:leftChars="12" w:firstLine="472" w:firstLineChars="197"/>
        <w:rPr>
          <w:rFonts w:hAnsi="宋体"/>
          <w:color w:val="auto"/>
          <w:sz w:val="24"/>
          <w:szCs w:val="24"/>
        </w:rPr>
      </w:pPr>
      <w:r>
        <w:rPr>
          <w:rFonts w:hint="eastAsia" w:hAnsi="宋体"/>
          <w:color w:val="auto"/>
          <w:sz w:val="24"/>
          <w:szCs w:val="24"/>
        </w:rPr>
        <w:t>质疑事项1：</w:t>
      </w:r>
      <w:r>
        <w:rPr>
          <w:rFonts w:hint="eastAsia" w:hAnsi="宋体"/>
          <w:bCs/>
          <w:color w:val="auto"/>
          <w:sz w:val="24"/>
          <w:szCs w:val="24"/>
          <w:u w:val="single"/>
        </w:rPr>
        <w:t xml:space="preserve">                                                                    </w:t>
      </w:r>
    </w:p>
    <w:p w14:paraId="4A337FCF">
      <w:pPr>
        <w:pStyle w:val="17"/>
        <w:spacing w:line="360" w:lineRule="auto"/>
        <w:ind w:left="25" w:leftChars="12" w:firstLine="472" w:firstLineChars="197"/>
        <w:rPr>
          <w:rFonts w:hAnsi="宋体"/>
          <w:color w:val="auto"/>
          <w:sz w:val="24"/>
          <w:szCs w:val="24"/>
        </w:rPr>
      </w:pPr>
      <w:r>
        <w:rPr>
          <w:rFonts w:hint="eastAsia" w:hAnsi="宋体"/>
          <w:color w:val="auto"/>
          <w:sz w:val="24"/>
          <w:szCs w:val="24"/>
        </w:rPr>
        <w:t>事实依据：</w:t>
      </w:r>
      <w:r>
        <w:rPr>
          <w:rFonts w:hint="eastAsia" w:hAnsi="宋体"/>
          <w:bCs/>
          <w:color w:val="auto"/>
          <w:sz w:val="24"/>
          <w:szCs w:val="24"/>
          <w:u w:val="single"/>
        </w:rPr>
        <w:t xml:space="preserve">                                                                      </w:t>
      </w:r>
    </w:p>
    <w:p w14:paraId="665949C6">
      <w:pPr>
        <w:pStyle w:val="17"/>
        <w:spacing w:line="360" w:lineRule="auto"/>
        <w:ind w:left="25" w:leftChars="12" w:firstLine="472" w:firstLineChars="197"/>
        <w:rPr>
          <w:rFonts w:hAnsi="宋体"/>
          <w:color w:val="auto"/>
          <w:sz w:val="24"/>
          <w:szCs w:val="24"/>
        </w:rPr>
      </w:pPr>
      <w:r>
        <w:rPr>
          <w:rFonts w:hint="eastAsia" w:hAnsi="宋体"/>
          <w:color w:val="auto"/>
          <w:sz w:val="24"/>
          <w:szCs w:val="24"/>
        </w:rPr>
        <w:t>法律依据：</w:t>
      </w:r>
      <w:r>
        <w:rPr>
          <w:rFonts w:hint="eastAsia" w:hAnsi="宋体"/>
          <w:color w:val="auto"/>
          <w:sz w:val="24"/>
          <w:szCs w:val="24"/>
          <w:u w:val="single"/>
        </w:rPr>
        <w:t xml:space="preserve">                                                        </w:t>
      </w:r>
      <w:r>
        <w:rPr>
          <w:rFonts w:hint="eastAsia" w:hAnsi="宋体"/>
          <w:bCs/>
          <w:color w:val="auto"/>
          <w:sz w:val="24"/>
          <w:szCs w:val="24"/>
          <w:u w:val="single"/>
        </w:rPr>
        <w:t xml:space="preserve">               </w:t>
      </w:r>
    </w:p>
    <w:p w14:paraId="03BBD828">
      <w:pPr>
        <w:pStyle w:val="17"/>
        <w:spacing w:line="360" w:lineRule="auto"/>
        <w:ind w:left="25" w:leftChars="12" w:firstLine="472" w:firstLineChars="197"/>
        <w:rPr>
          <w:rFonts w:hAnsi="宋体"/>
          <w:color w:val="auto"/>
          <w:sz w:val="24"/>
          <w:szCs w:val="24"/>
        </w:rPr>
      </w:pPr>
      <w:r>
        <w:rPr>
          <w:rFonts w:hint="eastAsia" w:hAnsi="宋体"/>
          <w:color w:val="auto"/>
          <w:sz w:val="24"/>
          <w:szCs w:val="24"/>
        </w:rPr>
        <w:t>质疑事项2</w:t>
      </w:r>
    </w:p>
    <w:p w14:paraId="54A274B2">
      <w:pPr>
        <w:pStyle w:val="17"/>
        <w:spacing w:line="360" w:lineRule="auto"/>
        <w:ind w:left="25" w:leftChars="12" w:firstLine="472" w:firstLineChars="197"/>
        <w:rPr>
          <w:rFonts w:hAnsi="宋体"/>
          <w:color w:val="auto"/>
          <w:sz w:val="24"/>
          <w:szCs w:val="24"/>
        </w:rPr>
      </w:pPr>
      <w:r>
        <w:rPr>
          <w:rFonts w:hAnsi="宋体"/>
          <w:color w:val="auto"/>
          <w:sz w:val="24"/>
          <w:szCs w:val="24"/>
        </w:rPr>
        <w:t>……</w:t>
      </w:r>
    </w:p>
    <w:p w14:paraId="38272AA8">
      <w:pPr>
        <w:pStyle w:val="17"/>
        <w:spacing w:line="360" w:lineRule="auto"/>
        <w:ind w:left="25" w:leftChars="12" w:firstLine="472" w:firstLineChars="197"/>
        <w:rPr>
          <w:rFonts w:hAnsi="宋体"/>
          <w:color w:val="auto"/>
          <w:sz w:val="24"/>
          <w:szCs w:val="24"/>
        </w:rPr>
      </w:pPr>
      <w:r>
        <w:rPr>
          <w:rFonts w:hint="eastAsia" w:hAnsi="宋体"/>
          <w:color w:val="auto"/>
          <w:sz w:val="24"/>
          <w:szCs w:val="24"/>
        </w:rPr>
        <w:t>四、与质疑事项相关的质疑请求：</w:t>
      </w:r>
    </w:p>
    <w:p w14:paraId="26B00B90">
      <w:pPr>
        <w:pStyle w:val="17"/>
        <w:spacing w:line="360" w:lineRule="auto"/>
        <w:ind w:left="25" w:leftChars="12" w:firstLine="472" w:firstLineChars="197"/>
        <w:rPr>
          <w:rFonts w:hAnsi="宋体"/>
          <w:color w:val="auto"/>
          <w:sz w:val="24"/>
          <w:szCs w:val="24"/>
        </w:rPr>
      </w:pPr>
      <w:r>
        <w:rPr>
          <w:rFonts w:hint="eastAsia" w:hAnsi="宋体"/>
          <w:color w:val="auto"/>
          <w:sz w:val="24"/>
          <w:szCs w:val="24"/>
        </w:rPr>
        <w:t>请求：</w:t>
      </w:r>
      <w:r>
        <w:rPr>
          <w:rFonts w:hint="eastAsia" w:hAnsi="宋体"/>
          <w:bCs/>
          <w:color w:val="auto"/>
          <w:sz w:val="24"/>
          <w:szCs w:val="24"/>
          <w:u w:val="single"/>
        </w:rPr>
        <w:t xml:space="preserve">                                                                </w:t>
      </w:r>
    </w:p>
    <w:p w14:paraId="1C1F2455">
      <w:pPr>
        <w:pStyle w:val="17"/>
        <w:spacing w:line="360" w:lineRule="auto"/>
        <w:ind w:left="25" w:leftChars="12" w:firstLine="352" w:firstLineChars="147"/>
        <w:rPr>
          <w:rFonts w:hAnsi="宋体"/>
          <w:color w:val="auto"/>
          <w:sz w:val="24"/>
          <w:szCs w:val="24"/>
        </w:rPr>
      </w:pPr>
    </w:p>
    <w:p w14:paraId="1D82E8E4">
      <w:pPr>
        <w:pStyle w:val="17"/>
        <w:spacing w:line="360" w:lineRule="auto"/>
        <w:ind w:left="25" w:leftChars="12" w:firstLine="472" w:firstLineChars="197"/>
        <w:rPr>
          <w:rFonts w:hAnsi="宋体"/>
          <w:color w:val="auto"/>
          <w:sz w:val="24"/>
          <w:szCs w:val="24"/>
        </w:rPr>
      </w:pPr>
      <w:r>
        <w:rPr>
          <w:rFonts w:hint="eastAsia" w:hAnsi="宋体"/>
          <w:color w:val="auto"/>
          <w:sz w:val="24"/>
          <w:szCs w:val="24"/>
        </w:rPr>
        <w:t>签字（签章）：                                       公章：</w:t>
      </w:r>
    </w:p>
    <w:p w14:paraId="536BE643">
      <w:pPr>
        <w:pStyle w:val="17"/>
        <w:spacing w:line="360" w:lineRule="auto"/>
        <w:ind w:left="25" w:leftChars="12" w:firstLine="352" w:firstLineChars="147"/>
        <w:rPr>
          <w:rFonts w:hAnsi="宋体"/>
          <w:color w:val="auto"/>
          <w:sz w:val="24"/>
          <w:szCs w:val="24"/>
        </w:rPr>
      </w:pPr>
    </w:p>
    <w:p w14:paraId="289D1C7E">
      <w:pPr>
        <w:pStyle w:val="17"/>
        <w:spacing w:line="360" w:lineRule="auto"/>
        <w:ind w:left="25" w:leftChars="12" w:firstLine="472" w:firstLineChars="197"/>
        <w:rPr>
          <w:rFonts w:hAnsi="宋体"/>
          <w:color w:val="auto"/>
          <w:sz w:val="24"/>
          <w:szCs w:val="24"/>
        </w:rPr>
      </w:pPr>
      <w:r>
        <w:rPr>
          <w:rFonts w:hint="eastAsia" w:hAnsi="宋体"/>
          <w:color w:val="auto"/>
          <w:sz w:val="24"/>
          <w:szCs w:val="24"/>
        </w:rPr>
        <w:t>日期：</w:t>
      </w:r>
    </w:p>
    <w:p w14:paraId="26545BDD">
      <w:pPr>
        <w:pStyle w:val="17"/>
        <w:snapToGrid w:val="0"/>
        <w:spacing w:line="360" w:lineRule="auto"/>
        <w:rPr>
          <w:rFonts w:hAnsi="宋体"/>
          <w:b/>
          <w:color w:val="auto"/>
          <w:sz w:val="24"/>
          <w:szCs w:val="24"/>
        </w:rPr>
      </w:pPr>
    </w:p>
    <w:p w14:paraId="607BC7A4">
      <w:pPr>
        <w:pStyle w:val="17"/>
        <w:snapToGrid w:val="0"/>
        <w:spacing w:line="360" w:lineRule="auto"/>
        <w:rPr>
          <w:rFonts w:hAnsi="宋体"/>
          <w:b/>
          <w:color w:val="auto"/>
          <w:sz w:val="24"/>
          <w:szCs w:val="24"/>
        </w:rPr>
      </w:pPr>
      <w:r>
        <w:rPr>
          <w:rFonts w:hint="eastAsia" w:hAnsi="宋体"/>
          <w:b/>
          <w:color w:val="auto"/>
          <w:sz w:val="24"/>
          <w:szCs w:val="24"/>
        </w:rPr>
        <w:t>说明：</w:t>
      </w:r>
    </w:p>
    <w:p w14:paraId="432D26EB">
      <w:pPr>
        <w:pStyle w:val="17"/>
        <w:spacing w:line="360" w:lineRule="auto"/>
        <w:ind w:left="25" w:leftChars="12" w:firstLine="354" w:firstLineChars="147"/>
        <w:rPr>
          <w:rFonts w:hAnsi="宋体"/>
          <w:b/>
          <w:bCs/>
          <w:color w:val="auto"/>
          <w:sz w:val="24"/>
          <w:szCs w:val="24"/>
        </w:rPr>
      </w:pPr>
      <w:r>
        <w:rPr>
          <w:rFonts w:hint="eastAsia" w:hAnsi="宋体"/>
          <w:b/>
          <w:color w:val="auto"/>
          <w:sz w:val="24"/>
          <w:szCs w:val="24"/>
        </w:rPr>
        <w:t>1.供应商提出质疑时，应提交质疑函和必要的证明材料</w:t>
      </w:r>
      <w:r>
        <w:rPr>
          <w:rFonts w:hint="eastAsia" w:hAnsi="宋体"/>
          <w:b/>
          <w:bCs/>
          <w:color w:val="auto"/>
          <w:sz w:val="24"/>
          <w:szCs w:val="24"/>
        </w:rPr>
        <w:t>。</w:t>
      </w:r>
    </w:p>
    <w:p w14:paraId="7D3A7C9C">
      <w:pPr>
        <w:pStyle w:val="17"/>
        <w:spacing w:line="360" w:lineRule="auto"/>
        <w:ind w:left="25" w:leftChars="12" w:firstLine="354" w:firstLineChars="147"/>
        <w:rPr>
          <w:rFonts w:hAnsi="宋体"/>
          <w:b/>
          <w:color w:val="auto"/>
          <w:sz w:val="24"/>
          <w:szCs w:val="24"/>
        </w:rPr>
      </w:pPr>
      <w:r>
        <w:rPr>
          <w:rFonts w:hint="eastAsia" w:hAnsi="宋体"/>
          <w:b/>
          <w:color w:val="auto"/>
          <w:sz w:val="24"/>
          <w:szCs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6F36F43">
      <w:pPr>
        <w:pStyle w:val="17"/>
        <w:spacing w:line="360" w:lineRule="auto"/>
        <w:ind w:left="25" w:leftChars="12" w:firstLine="354" w:firstLineChars="147"/>
        <w:rPr>
          <w:rFonts w:hAnsi="宋体"/>
          <w:b/>
          <w:color w:val="auto"/>
          <w:sz w:val="24"/>
          <w:szCs w:val="24"/>
        </w:rPr>
      </w:pPr>
      <w:r>
        <w:rPr>
          <w:rFonts w:hint="eastAsia" w:hAnsi="宋体"/>
          <w:b/>
          <w:color w:val="auto"/>
          <w:sz w:val="24"/>
          <w:szCs w:val="24"/>
        </w:rPr>
        <w:t>3.质疑函的质疑事项应具体、明确，并有必要的事实依据和法律依据。</w:t>
      </w:r>
    </w:p>
    <w:p w14:paraId="146745B8">
      <w:pPr>
        <w:pStyle w:val="17"/>
        <w:spacing w:line="360" w:lineRule="auto"/>
        <w:ind w:left="25" w:leftChars="12" w:firstLine="354" w:firstLineChars="147"/>
        <w:rPr>
          <w:rFonts w:hAnsi="宋体"/>
          <w:b/>
          <w:color w:val="auto"/>
          <w:sz w:val="24"/>
          <w:szCs w:val="24"/>
        </w:rPr>
      </w:pPr>
      <w:r>
        <w:rPr>
          <w:rFonts w:hint="eastAsia" w:hAnsi="宋体"/>
          <w:b/>
          <w:color w:val="auto"/>
          <w:sz w:val="24"/>
          <w:szCs w:val="24"/>
        </w:rPr>
        <w:t>4.质疑函的质疑请求应与质疑事项相关。</w:t>
      </w:r>
    </w:p>
    <w:p w14:paraId="381BE0CC">
      <w:pPr>
        <w:pStyle w:val="17"/>
        <w:spacing w:line="360" w:lineRule="auto"/>
        <w:ind w:left="25" w:leftChars="12" w:firstLine="354" w:firstLineChars="147"/>
        <w:rPr>
          <w:rFonts w:hAnsi="宋体"/>
          <w:b/>
          <w:color w:val="auto"/>
        </w:rPr>
      </w:pPr>
      <w:r>
        <w:rPr>
          <w:rFonts w:hint="eastAsia" w:hAnsi="宋体"/>
          <w:b/>
          <w:color w:val="auto"/>
          <w:sz w:val="24"/>
          <w:szCs w:val="24"/>
        </w:rPr>
        <w:t>5.质疑供应商为法人或者其他组织的，质疑函应由法定代表人、主要负责人，或者其授权代表签字或者盖章，并加盖公章。</w:t>
      </w:r>
    </w:p>
    <w:p w14:paraId="72D15894">
      <w:pPr>
        <w:pStyle w:val="17"/>
        <w:snapToGrid w:val="0"/>
        <w:rPr>
          <w:b/>
          <w:color w:val="auto"/>
          <w:sz w:val="24"/>
          <w:szCs w:val="24"/>
        </w:rPr>
      </w:pPr>
    </w:p>
    <w:p w14:paraId="6E783BD1">
      <w:pPr>
        <w:spacing w:line="460" w:lineRule="exact"/>
        <w:rPr>
          <w:rFonts w:eastAsia="隶书"/>
          <w:color w:val="auto"/>
          <w:sz w:val="44"/>
        </w:rPr>
      </w:pPr>
    </w:p>
    <w:p w14:paraId="74E6CBA2">
      <w:pPr>
        <w:spacing w:line="460" w:lineRule="exact"/>
        <w:rPr>
          <w:rFonts w:eastAsia="隶书"/>
          <w:color w:val="auto"/>
          <w:sz w:val="44"/>
        </w:rPr>
      </w:pPr>
    </w:p>
    <w:p w14:paraId="13A976FC">
      <w:pPr>
        <w:spacing w:line="460" w:lineRule="exact"/>
        <w:rPr>
          <w:rFonts w:eastAsia="隶书"/>
          <w:color w:val="auto"/>
          <w:sz w:val="44"/>
        </w:rPr>
      </w:pPr>
    </w:p>
    <w:p w14:paraId="19A603CA">
      <w:pPr>
        <w:spacing w:line="460" w:lineRule="exact"/>
        <w:rPr>
          <w:rFonts w:eastAsia="隶书"/>
          <w:color w:val="auto"/>
          <w:sz w:val="44"/>
        </w:rPr>
      </w:pPr>
    </w:p>
    <w:p w14:paraId="2C71501E">
      <w:pPr>
        <w:spacing w:line="460" w:lineRule="exact"/>
        <w:rPr>
          <w:rFonts w:eastAsia="隶书"/>
          <w:color w:val="auto"/>
          <w:sz w:val="44"/>
        </w:rPr>
      </w:pPr>
    </w:p>
    <w:p w14:paraId="22ED6F22">
      <w:pPr>
        <w:spacing w:line="460" w:lineRule="exact"/>
        <w:rPr>
          <w:rFonts w:eastAsia="隶书"/>
          <w:color w:val="auto"/>
          <w:sz w:val="44"/>
        </w:rPr>
      </w:pPr>
    </w:p>
    <w:p w14:paraId="434BF64A">
      <w:pPr>
        <w:spacing w:line="460" w:lineRule="exact"/>
        <w:rPr>
          <w:rFonts w:eastAsia="隶书"/>
          <w:color w:val="auto"/>
          <w:sz w:val="44"/>
        </w:rPr>
      </w:pPr>
    </w:p>
    <w:p w14:paraId="0E5FE745">
      <w:pPr>
        <w:spacing w:line="460" w:lineRule="exact"/>
        <w:rPr>
          <w:rFonts w:eastAsia="隶书"/>
          <w:color w:val="auto"/>
          <w:sz w:val="44"/>
        </w:rPr>
      </w:pPr>
    </w:p>
    <w:p w14:paraId="0A1092C8">
      <w:pPr>
        <w:spacing w:line="460" w:lineRule="exact"/>
        <w:rPr>
          <w:rFonts w:eastAsia="隶书"/>
          <w:color w:val="auto"/>
          <w:sz w:val="44"/>
        </w:rPr>
      </w:pPr>
    </w:p>
    <w:p w14:paraId="1D80F34E">
      <w:pPr>
        <w:spacing w:line="460" w:lineRule="exact"/>
        <w:rPr>
          <w:rFonts w:eastAsia="隶书"/>
          <w:color w:val="auto"/>
          <w:sz w:val="44"/>
        </w:rPr>
      </w:pPr>
    </w:p>
    <w:p w14:paraId="0726839A">
      <w:pPr>
        <w:spacing w:line="460" w:lineRule="exact"/>
        <w:rPr>
          <w:rFonts w:eastAsia="隶书"/>
          <w:color w:val="auto"/>
          <w:sz w:val="44"/>
        </w:rPr>
      </w:pPr>
    </w:p>
    <w:p w14:paraId="28C62ECA">
      <w:pPr>
        <w:spacing w:line="460" w:lineRule="exact"/>
        <w:rPr>
          <w:rFonts w:eastAsia="隶书"/>
          <w:color w:val="auto"/>
          <w:sz w:val="44"/>
        </w:rPr>
      </w:pPr>
    </w:p>
    <w:p w14:paraId="02B92BC5">
      <w:pPr>
        <w:spacing w:line="460" w:lineRule="exact"/>
        <w:rPr>
          <w:rFonts w:eastAsia="隶书"/>
          <w:color w:val="auto"/>
          <w:sz w:val="44"/>
        </w:rPr>
      </w:pPr>
    </w:p>
    <w:p w14:paraId="60514F34">
      <w:pPr>
        <w:spacing w:line="460" w:lineRule="exact"/>
        <w:rPr>
          <w:rFonts w:eastAsia="隶书"/>
          <w:color w:val="auto"/>
          <w:sz w:val="44"/>
        </w:rPr>
      </w:pPr>
    </w:p>
    <w:p w14:paraId="7587AB0B">
      <w:pPr>
        <w:spacing w:line="460" w:lineRule="exact"/>
        <w:rPr>
          <w:rFonts w:eastAsia="隶书"/>
          <w:color w:val="auto"/>
          <w:sz w:val="44"/>
        </w:rPr>
      </w:pPr>
    </w:p>
    <w:p w14:paraId="436C5E76">
      <w:pPr>
        <w:spacing w:line="460" w:lineRule="exact"/>
        <w:rPr>
          <w:rFonts w:eastAsia="隶书"/>
          <w:color w:val="auto"/>
          <w:sz w:val="44"/>
        </w:rPr>
      </w:pPr>
    </w:p>
    <w:p w14:paraId="0E7302E8">
      <w:pPr>
        <w:spacing w:line="460" w:lineRule="exact"/>
        <w:rPr>
          <w:rFonts w:eastAsia="隶书"/>
          <w:color w:val="auto"/>
          <w:sz w:val="44"/>
        </w:rPr>
      </w:pPr>
    </w:p>
    <w:p w14:paraId="67B836B9">
      <w:pPr>
        <w:spacing w:line="460" w:lineRule="exact"/>
        <w:rPr>
          <w:rFonts w:eastAsia="隶书"/>
          <w:color w:val="auto"/>
          <w:sz w:val="44"/>
        </w:rPr>
      </w:pPr>
    </w:p>
    <w:p w14:paraId="1250A028">
      <w:pPr>
        <w:spacing w:line="360" w:lineRule="auto"/>
        <w:jc w:val="center"/>
        <w:rPr>
          <w:rFonts w:ascii="方正小标宋简体" w:hAnsi="方正小标宋简体" w:eastAsia="方正小标宋简体" w:cs="方正小标宋简体"/>
          <w:color w:val="auto"/>
          <w:sz w:val="44"/>
          <w:szCs w:val="44"/>
        </w:rPr>
      </w:pPr>
      <w:r>
        <w:rPr>
          <w:rFonts w:ascii="方正小标宋简体" w:hAnsi="方正小标宋简体" w:eastAsia="方正小标宋简体" w:cs="方正小标宋简体"/>
          <w:color w:val="auto"/>
          <w:sz w:val="44"/>
          <w:szCs w:val="44"/>
        </w:rPr>
        <w:br w:type="page"/>
      </w:r>
      <w:r>
        <w:rPr>
          <w:rFonts w:hint="eastAsia" w:ascii="方正小标宋简体" w:hAnsi="方正小标宋简体" w:eastAsia="方正小标宋简体" w:cs="方正小标宋简体"/>
          <w:color w:val="auto"/>
          <w:sz w:val="44"/>
          <w:szCs w:val="44"/>
        </w:rPr>
        <w:t>投诉书（格式）</w:t>
      </w:r>
    </w:p>
    <w:p w14:paraId="5BC8FAFD">
      <w:pPr>
        <w:pStyle w:val="17"/>
        <w:snapToGrid w:val="0"/>
        <w:spacing w:line="360" w:lineRule="auto"/>
        <w:ind w:firstLine="482" w:firstLineChars="200"/>
        <w:rPr>
          <w:rFonts w:hAnsi="宋体"/>
          <w:b/>
          <w:bCs/>
          <w:color w:val="auto"/>
          <w:sz w:val="24"/>
          <w:szCs w:val="24"/>
        </w:rPr>
      </w:pPr>
      <w:r>
        <w:rPr>
          <w:rFonts w:hint="eastAsia" w:hAnsi="宋体"/>
          <w:b/>
          <w:bCs/>
          <w:color w:val="auto"/>
          <w:sz w:val="24"/>
          <w:szCs w:val="24"/>
        </w:rPr>
        <w:t>一、投诉相关主体基本情况：</w:t>
      </w:r>
    </w:p>
    <w:p w14:paraId="1E76883C">
      <w:pPr>
        <w:pStyle w:val="17"/>
        <w:snapToGrid w:val="0"/>
        <w:spacing w:line="360" w:lineRule="auto"/>
        <w:ind w:firstLine="480" w:firstLineChars="200"/>
        <w:rPr>
          <w:rFonts w:hAnsi="宋体"/>
          <w:bCs/>
          <w:color w:val="auto"/>
          <w:sz w:val="24"/>
          <w:szCs w:val="24"/>
          <w:u w:val="single"/>
        </w:rPr>
      </w:pPr>
      <w:r>
        <w:rPr>
          <w:rFonts w:hint="eastAsia" w:hAnsi="宋体"/>
          <w:bCs/>
          <w:color w:val="auto"/>
          <w:sz w:val="24"/>
          <w:szCs w:val="24"/>
        </w:rPr>
        <w:t>供应商：</w:t>
      </w:r>
      <w:r>
        <w:rPr>
          <w:rFonts w:hint="eastAsia" w:hAnsi="宋体"/>
          <w:bCs/>
          <w:color w:val="auto"/>
          <w:sz w:val="24"/>
          <w:szCs w:val="24"/>
          <w:u w:val="single"/>
        </w:rPr>
        <w:t xml:space="preserve">                                                                        </w:t>
      </w:r>
      <w:r>
        <w:rPr>
          <w:rFonts w:hint="eastAsia" w:hAnsi="宋体"/>
          <w:bCs/>
          <w:color w:val="auto"/>
          <w:sz w:val="24"/>
          <w:szCs w:val="24"/>
        </w:rPr>
        <w:t xml:space="preserve">                 </w:t>
      </w:r>
    </w:p>
    <w:p w14:paraId="4EC5518B">
      <w:pPr>
        <w:pStyle w:val="17"/>
        <w:snapToGrid w:val="0"/>
        <w:spacing w:line="360" w:lineRule="auto"/>
        <w:ind w:firstLine="480" w:firstLineChars="200"/>
        <w:rPr>
          <w:rFonts w:hAnsi="宋体"/>
          <w:bCs/>
          <w:color w:val="auto"/>
          <w:sz w:val="24"/>
          <w:szCs w:val="24"/>
        </w:rPr>
      </w:pPr>
      <w:r>
        <w:rPr>
          <w:rFonts w:hAnsi="宋体"/>
          <w:bCs/>
          <w:color w:val="auto"/>
          <w:sz w:val="24"/>
          <w:szCs w:val="24"/>
        </w:rPr>
        <w:t>地址</w:t>
      </w:r>
      <w:r>
        <w:rPr>
          <w:rFonts w:hint="eastAsia" w:hAnsi="宋体"/>
          <w:bCs/>
          <w:color w:val="auto"/>
          <w:sz w:val="24"/>
          <w:szCs w:val="24"/>
        </w:rPr>
        <w:t>：</w:t>
      </w:r>
      <w:r>
        <w:rPr>
          <w:rFonts w:hint="eastAsia" w:hAnsi="宋体"/>
          <w:bCs/>
          <w:color w:val="auto"/>
          <w:sz w:val="24"/>
          <w:szCs w:val="24"/>
          <w:u w:val="single"/>
        </w:rPr>
        <w:t xml:space="preserve">                                          </w:t>
      </w:r>
      <w:r>
        <w:rPr>
          <w:rFonts w:hAnsi="宋体"/>
          <w:bCs/>
          <w:color w:val="auto"/>
          <w:sz w:val="24"/>
          <w:szCs w:val="24"/>
        </w:rPr>
        <w:t>邮编</w:t>
      </w:r>
      <w:r>
        <w:rPr>
          <w:rFonts w:hint="eastAsia" w:hAnsi="宋体"/>
          <w:bCs/>
          <w:color w:val="auto"/>
          <w:sz w:val="24"/>
          <w:szCs w:val="24"/>
        </w:rPr>
        <w:t>：</w:t>
      </w:r>
      <w:r>
        <w:rPr>
          <w:rFonts w:hint="eastAsia" w:hAnsi="宋体"/>
          <w:bCs/>
          <w:color w:val="auto"/>
          <w:sz w:val="24"/>
          <w:szCs w:val="24"/>
          <w:u w:val="single"/>
        </w:rPr>
        <w:t xml:space="preserve">                          </w:t>
      </w:r>
      <w:r>
        <w:rPr>
          <w:rFonts w:hint="eastAsia" w:hAnsi="宋体"/>
          <w:bCs/>
          <w:color w:val="auto"/>
          <w:sz w:val="24"/>
          <w:szCs w:val="24"/>
        </w:rPr>
        <w:t xml:space="preserve">                 </w:t>
      </w:r>
    </w:p>
    <w:p w14:paraId="0EC7A86D">
      <w:pPr>
        <w:pStyle w:val="17"/>
        <w:snapToGrid w:val="0"/>
        <w:spacing w:line="360" w:lineRule="auto"/>
        <w:ind w:firstLine="480" w:firstLineChars="200"/>
        <w:rPr>
          <w:rFonts w:hAnsi="宋体"/>
          <w:bCs/>
          <w:color w:val="auto"/>
          <w:sz w:val="24"/>
          <w:szCs w:val="24"/>
          <w:u w:val="single"/>
        </w:rPr>
      </w:pPr>
      <w:r>
        <w:rPr>
          <w:rFonts w:hint="eastAsia" w:hAnsi="宋体"/>
          <w:bCs/>
          <w:color w:val="auto"/>
          <w:sz w:val="24"/>
          <w:szCs w:val="24"/>
        </w:rPr>
        <w:t>法定代表人/主要负责人：</w:t>
      </w:r>
      <w:r>
        <w:rPr>
          <w:rFonts w:hint="eastAsia" w:hAnsi="宋体"/>
          <w:bCs/>
          <w:color w:val="auto"/>
          <w:sz w:val="24"/>
          <w:szCs w:val="24"/>
          <w:u w:val="single"/>
        </w:rPr>
        <w:t xml:space="preserve">                                                         </w:t>
      </w:r>
    </w:p>
    <w:p w14:paraId="0930FA77">
      <w:pPr>
        <w:pStyle w:val="17"/>
        <w:snapToGrid w:val="0"/>
        <w:spacing w:line="360" w:lineRule="auto"/>
        <w:ind w:firstLine="480" w:firstLineChars="200"/>
        <w:rPr>
          <w:rFonts w:hAnsi="宋体"/>
          <w:bCs/>
          <w:color w:val="auto"/>
          <w:sz w:val="24"/>
          <w:szCs w:val="24"/>
        </w:rPr>
      </w:pPr>
      <w:r>
        <w:rPr>
          <w:rFonts w:hAnsi="宋体"/>
          <w:bCs/>
          <w:color w:val="auto"/>
          <w:sz w:val="24"/>
          <w:szCs w:val="24"/>
        </w:rPr>
        <w:t>联系电话</w:t>
      </w:r>
      <w:r>
        <w:rPr>
          <w:rFonts w:hint="eastAsia" w:hAnsi="宋体"/>
          <w:bCs/>
          <w:color w:val="auto"/>
          <w:sz w:val="24"/>
          <w:szCs w:val="24"/>
        </w:rPr>
        <w:t>：</w:t>
      </w:r>
      <w:r>
        <w:rPr>
          <w:rFonts w:hint="eastAsia" w:hAnsi="宋体"/>
          <w:bCs/>
          <w:color w:val="auto"/>
          <w:sz w:val="24"/>
          <w:szCs w:val="24"/>
          <w:u w:val="single"/>
        </w:rPr>
        <w:t xml:space="preserve">                                         </w:t>
      </w:r>
    </w:p>
    <w:p w14:paraId="043854B0">
      <w:pPr>
        <w:pStyle w:val="17"/>
        <w:snapToGrid w:val="0"/>
        <w:spacing w:line="360" w:lineRule="auto"/>
        <w:ind w:firstLine="480" w:firstLineChars="200"/>
        <w:rPr>
          <w:rFonts w:hAnsi="宋体"/>
          <w:bCs/>
          <w:color w:val="auto"/>
          <w:sz w:val="24"/>
          <w:szCs w:val="24"/>
          <w:u w:val="single"/>
        </w:rPr>
      </w:pPr>
      <w:r>
        <w:rPr>
          <w:rFonts w:hint="eastAsia" w:hAnsi="宋体"/>
          <w:bCs/>
          <w:color w:val="auto"/>
          <w:sz w:val="24"/>
          <w:szCs w:val="24"/>
        </w:rPr>
        <w:t>授权代表：</w:t>
      </w:r>
      <w:r>
        <w:rPr>
          <w:rFonts w:hint="eastAsia" w:hAnsi="宋体"/>
          <w:bCs/>
          <w:color w:val="auto"/>
          <w:sz w:val="24"/>
          <w:szCs w:val="24"/>
          <w:u w:val="single"/>
        </w:rPr>
        <w:t xml:space="preserve">                                         </w:t>
      </w:r>
      <w:r>
        <w:rPr>
          <w:rFonts w:hAnsi="宋体"/>
          <w:bCs/>
          <w:color w:val="auto"/>
          <w:sz w:val="24"/>
          <w:szCs w:val="24"/>
        </w:rPr>
        <w:t>联系</w:t>
      </w:r>
      <w:r>
        <w:rPr>
          <w:rFonts w:hint="eastAsia" w:hAnsi="宋体"/>
          <w:bCs/>
          <w:color w:val="auto"/>
          <w:sz w:val="24"/>
          <w:szCs w:val="24"/>
        </w:rPr>
        <w:t>电话：</w:t>
      </w:r>
      <w:r>
        <w:rPr>
          <w:rFonts w:hint="eastAsia" w:hAnsi="宋体"/>
          <w:bCs/>
          <w:color w:val="auto"/>
          <w:sz w:val="24"/>
          <w:szCs w:val="24"/>
          <w:u w:val="single"/>
        </w:rPr>
        <w:t xml:space="preserve">                   </w:t>
      </w:r>
    </w:p>
    <w:p w14:paraId="0929318E">
      <w:pPr>
        <w:pStyle w:val="17"/>
        <w:snapToGrid w:val="0"/>
        <w:spacing w:line="360" w:lineRule="auto"/>
        <w:ind w:firstLine="480" w:firstLineChars="200"/>
        <w:rPr>
          <w:rFonts w:hAnsi="宋体"/>
          <w:bCs/>
          <w:color w:val="auto"/>
          <w:sz w:val="24"/>
          <w:szCs w:val="24"/>
          <w:u w:val="single"/>
        </w:rPr>
      </w:pPr>
      <w:r>
        <w:rPr>
          <w:rFonts w:hAnsi="宋体"/>
          <w:bCs/>
          <w:color w:val="auto"/>
          <w:sz w:val="24"/>
          <w:szCs w:val="24"/>
        </w:rPr>
        <w:t>地址</w:t>
      </w:r>
      <w:r>
        <w:rPr>
          <w:rFonts w:hint="eastAsia" w:hAnsi="宋体"/>
          <w:bCs/>
          <w:color w:val="auto"/>
          <w:sz w:val="24"/>
          <w:szCs w:val="24"/>
        </w:rPr>
        <w:t>：</w:t>
      </w:r>
      <w:r>
        <w:rPr>
          <w:rFonts w:hint="eastAsia" w:hAnsi="宋体"/>
          <w:bCs/>
          <w:color w:val="auto"/>
          <w:sz w:val="24"/>
          <w:szCs w:val="24"/>
          <w:u w:val="single"/>
        </w:rPr>
        <w:t xml:space="preserve">                                                            </w:t>
      </w:r>
    </w:p>
    <w:p w14:paraId="659E0FB0">
      <w:pPr>
        <w:pStyle w:val="17"/>
        <w:snapToGrid w:val="0"/>
        <w:spacing w:line="360" w:lineRule="auto"/>
        <w:ind w:firstLine="480" w:firstLineChars="200"/>
        <w:rPr>
          <w:rFonts w:hAnsi="宋体"/>
          <w:bCs/>
          <w:color w:val="auto"/>
          <w:sz w:val="24"/>
          <w:szCs w:val="24"/>
        </w:rPr>
      </w:pPr>
      <w:r>
        <w:rPr>
          <w:rFonts w:hAnsi="宋体"/>
          <w:bCs/>
          <w:color w:val="auto"/>
          <w:sz w:val="24"/>
          <w:szCs w:val="24"/>
        </w:rPr>
        <w:t>邮编</w:t>
      </w:r>
      <w:r>
        <w:rPr>
          <w:rFonts w:hint="eastAsia" w:hAnsi="宋体"/>
          <w:bCs/>
          <w:color w:val="auto"/>
          <w:sz w:val="24"/>
          <w:szCs w:val="24"/>
        </w:rPr>
        <w:t>：</w:t>
      </w:r>
      <w:r>
        <w:rPr>
          <w:rFonts w:hint="eastAsia" w:hAnsi="宋体"/>
          <w:bCs/>
          <w:color w:val="auto"/>
          <w:sz w:val="24"/>
          <w:szCs w:val="24"/>
          <w:u w:val="single"/>
        </w:rPr>
        <w:t xml:space="preserve">         </w:t>
      </w:r>
      <w:r>
        <w:rPr>
          <w:rFonts w:hint="eastAsia" w:hAnsi="宋体"/>
          <w:bCs/>
          <w:color w:val="auto"/>
          <w:sz w:val="24"/>
          <w:szCs w:val="24"/>
        </w:rPr>
        <w:t xml:space="preserve">   </w:t>
      </w:r>
    </w:p>
    <w:p w14:paraId="171ACD4D">
      <w:pPr>
        <w:pStyle w:val="17"/>
        <w:snapToGrid w:val="0"/>
        <w:spacing w:line="360" w:lineRule="auto"/>
        <w:ind w:firstLine="480" w:firstLineChars="200"/>
        <w:rPr>
          <w:rFonts w:hAnsi="宋体"/>
          <w:bCs/>
          <w:color w:val="auto"/>
          <w:sz w:val="24"/>
          <w:szCs w:val="24"/>
        </w:rPr>
      </w:pPr>
      <w:r>
        <w:rPr>
          <w:rFonts w:hint="eastAsia" w:hAnsi="宋体"/>
          <w:bCs/>
          <w:color w:val="auto"/>
          <w:sz w:val="24"/>
          <w:szCs w:val="24"/>
        </w:rPr>
        <w:t>被投诉人1：</w:t>
      </w:r>
    </w:p>
    <w:p w14:paraId="49ECE240">
      <w:pPr>
        <w:pStyle w:val="17"/>
        <w:snapToGrid w:val="0"/>
        <w:spacing w:line="360" w:lineRule="auto"/>
        <w:ind w:firstLine="480" w:firstLineChars="200"/>
        <w:rPr>
          <w:rFonts w:hAnsi="宋体"/>
          <w:bCs/>
          <w:color w:val="auto"/>
          <w:sz w:val="24"/>
          <w:szCs w:val="24"/>
          <w:u w:val="single"/>
        </w:rPr>
      </w:pPr>
      <w:r>
        <w:rPr>
          <w:rFonts w:hint="eastAsia" w:hAnsi="宋体"/>
          <w:bCs/>
          <w:color w:val="auto"/>
          <w:sz w:val="24"/>
          <w:szCs w:val="24"/>
        </w:rPr>
        <w:t>地址：</w:t>
      </w:r>
      <w:r>
        <w:rPr>
          <w:rFonts w:hint="eastAsia" w:hAnsi="宋体"/>
          <w:bCs/>
          <w:color w:val="auto"/>
          <w:sz w:val="24"/>
          <w:szCs w:val="24"/>
          <w:u w:val="single"/>
        </w:rPr>
        <w:t xml:space="preserve">                                                            </w:t>
      </w:r>
    </w:p>
    <w:p w14:paraId="04247BD2">
      <w:pPr>
        <w:pStyle w:val="17"/>
        <w:snapToGrid w:val="0"/>
        <w:spacing w:line="360" w:lineRule="auto"/>
        <w:ind w:firstLine="480" w:firstLineChars="200"/>
        <w:rPr>
          <w:rFonts w:hAnsi="宋体"/>
          <w:bCs/>
          <w:color w:val="auto"/>
          <w:sz w:val="24"/>
          <w:szCs w:val="24"/>
        </w:rPr>
      </w:pPr>
      <w:r>
        <w:rPr>
          <w:rFonts w:hAnsi="宋体"/>
          <w:bCs/>
          <w:color w:val="auto"/>
          <w:sz w:val="24"/>
          <w:szCs w:val="24"/>
        </w:rPr>
        <w:t>邮编</w:t>
      </w:r>
      <w:r>
        <w:rPr>
          <w:rFonts w:hint="eastAsia" w:hAnsi="宋体"/>
          <w:bCs/>
          <w:color w:val="auto"/>
          <w:sz w:val="24"/>
          <w:szCs w:val="24"/>
        </w:rPr>
        <w:t>：</w:t>
      </w:r>
      <w:r>
        <w:rPr>
          <w:rFonts w:hint="eastAsia" w:hAnsi="宋体"/>
          <w:bCs/>
          <w:color w:val="auto"/>
          <w:sz w:val="24"/>
          <w:szCs w:val="24"/>
          <w:u w:val="single"/>
        </w:rPr>
        <w:t xml:space="preserve">         </w:t>
      </w:r>
      <w:r>
        <w:rPr>
          <w:rFonts w:hint="eastAsia" w:hAnsi="宋体"/>
          <w:bCs/>
          <w:color w:val="auto"/>
          <w:sz w:val="24"/>
          <w:szCs w:val="24"/>
        </w:rPr>
        <w:t xml:space="preserve">  </w:t>
      </w:r>
    </w:p>
    <w:p w14:paraId="1A5D696B">
      <w:pPr>
        <w:pStyle w:val="17"/>
        <w:snapToGrid w:val="0"/>
        <w:spacing w:line="360" w:lineRule="auto"/>
        <w:ind w:firstLine="480" w:firstLineChars="200"/>
        <w:rPr>
          <w:rFonts w:hAnsi="宋体"/>
          <w:bCs/>
          <w:color w:val="auto"/>
          <w:sz w:val="24"/>
          <w:szCs w:val="24"/>
          <w:u w:val="single"/>
        </w:rPr>
      </w:pPr>
      <w:r>
        <w:rPr>
          <w:rFonts w:hint="eastAsia" w:hAnsi="宋体"/>
          <w:bCs/>
          <w:color w:val="auto"/>
          <w:sz w:val="24"/>
          <w:szCs w:val="24"/>
        </w:rPr>
        <w:t>联系人：</w:t>
      </w:r>
      <w:r>
        <w:rPr>
          <w:rFonts w:hint="eastAsia" w:hAnsi="宋体"/>
          <w:bCs/>
          <w:color w:val="auto"/>
          <w:sz w:val="24"/>
          <w:szCs w:val="24"/>
          <w:u w:val="single"/>
        </w:rPr>
        <w:t xml:space="preserve">                                                </w:t>
      </w:r>
      <w:r>
        <w:rPr>
          <w:rFonts w:hAnsi="宋体"/>
          <w:bCs/>
          <w:color w:val="auto"/>
          <w:sz w:val="24"/>
          <w:szCs w:val="24"/>
        </w:rPr>
        <w:t>联系</w:t>
      </w:r>
      <w:r>
        <w:rPr>
          <w:rFonts w:hint="eastAsia" w:hAnsi="宋体"/>
          <w:bCs/>
          <w:color w:val="auto"/>
          <w:sz w:val="24"/>
          <w:szCs w:val="24"/>
        </w:rPr>
        <w:t>电话：</w:t>
      </w:r>
      <w:r>
        <w:rPr>
          <w:rFonts w:hint="eastAsia" w:hAnsi="宋体"/>
          <w:bCs/>
          <w:color w:val="auto"/>
          <w:sz w:val="24"/>
          <w:szCs w:val="24"/>
          <w:u w:val="single"/>
        </w:rPr>
        <w:t xml:space="preserve">                </w:t>
      </w:r>
    </w:p>
    <w:p w14:paraId="38A49EDB">
      <w:pPr>
        <w:pStyle w:val="17"/>
        <w:snapToGrid w:val="0"/>
        <w:spacing w:line="360" w:lineRule="auto"/>
        <w:ind w:firstLine="480" w:firstLineChars="200"/>
        <w:rPr>
          <w:rFonts w:hAnsi="宋体"/>
          <w:bCs/>
          <w:color w:val="auto"/>
          <w:sz w:val="24"/>
          <w:szCs w:val="24"/>
        </w:rPr>
      </w:pPr>
      <w:r>
        <w:rPr>
          <w:rFonts w:hint="eastAsia" w:hAnsi="宋体"/>
          <w:bCs/>
          <w:color w:val="auto"/>
          <w:sz w:val="24"/>
          <w:szCs w:val="24"/>
        </w:rPr>
        <w:t>被投诉人2：</w:t>
      </w:r>
    </w:p>
    <w:p w14:paraId="7BECF826">
      <w:pPr>
        <w:pStyle w:val="17"/>
        <w:snapToGrid w:val="0"/>
        <w:spacing w:line="360" w:lineRule="auto"/>
        <w:ind w:firstLine="480" w:firstLineChars="200"/>
        <w:rPr>
          <w:rFonts w:hAnsi="宋体"/>
          <w:bCs/>
          <w:color w:val="auto"/>
          <w:sz w:val="24"/>
          <w:szCs w:val="24"/>
        </w:rPr>
      </w:pPr>
      <w:r>
        <w:rPr>
          <w:rFonts w:hAnsi="宋体"/>
          <w:bCs/>
          <w:color w:val="auto"/>
          <w:sz w:val="24"/>
          <w:szCs w:val="24"/>
        </w:rPr>
        <w:t>……</w:t>
      </w:r>
    </w:p>
    <w:p w14:paraId="40EB1B17">
      <w:pPr>
        <w:pStyle w:val="17"/>
        <w:snapToGrid w:val="0"/>
        <w:spacing w:line="360" w:lineRule="auto"/>
        <w:ind w:firstLine="480" w:firstLineChars="200"/>
        <w:rPr>
          <w:rFonts w:hAnsi="宋体"/>
          <w:bCs/>
          <w:color w:val="auto"/>
          <w:sz w:val="24"/>
          <w:szCs w:val="24"/>
          <w:u w:val="single"/>
        </w:rPr>
      </w:pPr>
      <w:r>
        <w:rPr>
          <w:rFonts w:hint="eastAsia" w:hAnsi="宋体"/>
          <w:bCs/>
          <w:color w:val="auto"/>
          <w:sz w:val="24"/>
          <w:szCs w:val="24"/>
        </w:rPr>
        <w:t>相关供应商：</w:t>
      </w:r>
      <w:r>
        <w:rPr>
          <w:rFonts w:hint="eastAsia" w:hAnsi="宋体"/>
          <w:bCs/>
          <w:color w:val="auto"/>
          <w:sz w:val="24"/>
          <w:szCs w:val="24"/>
          <w:u w:val="single"/>
        </w:rPr>
        <w:t xml:space="preserve">                                                                       </w:t>
      </w:r>
    </w:p>
    <w:p w14:paraId="36915B2C">
      <w:pPr>
        <w:pStyle w:val="17"/>
        <w:snapToGrid w:val="0"/>
        <w:spacing w:line="360" w:lineRule="auto"/>
        <w:ind w:firstLine="480" w:firstLineChars="200"/>
        <w:rPr>
          <w:rFonts w:hAnsi="宋体"/>
          <w:bCs/>
          <w:color w:val="auto"/>
          <w:sz w:val="24"/>
          <w:szCs w:val="24"/>
          <w:u w:val="single"/>
        </w:rPr>
      </w:pPr>
      <w:r>
        <w:rPr>
          <w:rFonts w:hAnsi="宋体"/>
          <w:bCs/>
          <w:color w:val="auto"/>
          <w:sz w:val="24"/>
          <w:szCs w:val="24"/>
        </w:rPr>
        <w:t>地址</w:t>
      </w:r>
      <w:r>
        <w:rPr>
          <w:rFonts w:hint="eastAsia" w:hAnsi="宋体"/>
          <w:bCs/>
          <w:color w:val="auto"/>
          <w:sz w:val="24"/>
          <w:szCs w:val="24"/>
        </w:rPr>
        <w:t>：</w:t>
      </w:r>
      <w:r>
        <w:rPr>
          <w:rFonts w:hint="eastAsia" w:hAnsi="宋体"/>
          <w:bCs/>
          <w:color w:val="auto"/>
          <w:sz w:val="24"/>
          <w:szCs w:val="24"/>
          <w:u w:val="single"/>
        </w:rPr>
        <w:t xml:space="preserve">                                              </w:t>
      </w:r>
      <w:r>
        <w:rPr>
          <w:rFonts w:hAnsi="宋体"/>
          <w:bCs/>
          <w:color w:val="auto"/>
          <w:sz w:val="24"/>
          <w:szCs w:val="24"/>
        </w:rPr>
        <w:t>邮编</w:t>
      </w:r>
      <w:r>
        <w:rPr>
          <w:rFonts w:hint="eastAsia" w:hAnsi="宋体"/>
          <w:bCs/>
          <w:color w:val="auto"/>
          <w:sz w:val="24"/>
          <w:szCs w:val="24"/>
        </w:rPr>
        <w:t>：</w:t>
      </w:r>
      <w:r>
        <w:rPr>
          <w:rFonts w:hint="eastAsia" w:hAnsi="宋体"/>
          <w:bCs/>
          <w:color w:val="auto"/>
          <w:sz w:val="24"/>
          <w:szCs w:val="24"/>
          <w:u w:val="single"/>
        </w:rPr>
        <w:t xml:space="preserve">                         </w:t>
      </w:r>
    </w:p>
    <w:p w14:paraId="4ED2D6BA">
      <w:pPr>
        <w:pStyle w:val="17"/>
        <w:snapToGrid w:val="0"/>
        <w:spacing w:line="360" w:lineRule="auto"/>
        <w:ind w:firstLine="480" w:firstLineChars="200"/>
        <w:rPr>
          <w:rFonts w:hAnsi="宋体"/>
          <w:bCs/>
          <w:color w:val="auto"/>
          <w:sz w:val="24"/>
          <w:szCs w:val="24"/>
        </w:rPr>
      </w:pPr>
      <w:r>
        <w:rPr>
          <w:rFonts w:hint="eastAsia" w:hAnsi="宋体"/>
          <w:bCs/>
          <w:color w:val="auto"/>
          <w:sz w:val="24"/>
          <w:szCs w:val="24"/>
        </w:rPr>
        <w:t>联系人：</w:t>
      </w:r>
      <w:r>
        <w:rPr>
          <w:rFonts w:hint="eastAsia" w:hAnsi="宋体"/>
          <w:bCs/>
          <w:color w:val="auto"/>
          <w:sz w:val="24"/>
          <w:szCs w:val="24"/>
          <w:u w:val="single"/>
        </w:rPr>
        <w:t xml:space="preserve">                                            </w:t>
      </w:r>
      <w:r>
        <w:rPr>
          <w:rFonts w:hAnsi="宋体"/>
          <w:bCs/>
          <w:color w:val="auto"/>
          <w:sz w:val="24"/>
          <w:szCs w:val="24"/>
        </w:rPr>
        <w:t>联系</w:t>
      </w:r>
      <w:r>
        <w:rPr>
          <w:rFonts w:hint="eastAsia" w:hAnsi="宋体"/>
          <w:bCs/>
          <w:color w:val="auto"/>
          <w:sz w:val="24"/>
          <w:szCs w:val="24"/>
        </w:rPr>
        <w:t>电话：</w:t>
      </w:r>
      <w:r>
        <w:rPr>
          <w:rFonts w:hint="eastAsia" w:hAnsi="宋体"/>
          <w:bCs/>
          <w:color w:val="auto"/>
          <w:sz w:val="24"/>
          <w:szCs w:val="24"/>
          <w:u w:val="single"/>
        </w:rPr>
        <w:t xml:space="preserve">                     </w:t>
      </w:r>
      <w:r>
        <w:rPr>
          <w:rFonts w:hint="eastAsia" w:hAnsi="宋体"/>
          <w:bCs/>
          <w:color w:val="auto"/>
          <w:sz w:val="24"/>
          <w:szCs w:val="24"/>
        </w:rPr>
        <w:t xml:space="preserve">                </w:t>
      </w:r>
    </w:p>
    <w:p w14:paraId="2B5B3836">
      <w:pPr>
        <w:pStyle w:val="17"/>
        <w:snapToGrid w:val="0"/>
        <w:spacing w:line="360" w:lineRule="auto"/>
        <w:ind w:firstLine="482" w:firstLineChars="200"/>
        <w:rPr>
          <w:rFonts w:hAnsi="宋体"/>
          <w:b/>
          <w:bCs/>
          <w:color w:val="auto"/>
          <w:sz w:val="24"/>
          <w:szCs w:val="24"/>
        </w:rPr>
      </w:pPr>
      <w:r>
        <w:rPr>
          <w:rFonts w:hint="eastAsia" w:hAnsi="宋体"/>
          <w:b/>
          <w:bCs/>
          <w:color w:val="auto"/>
          <w:sz w:val="24"/>
          <w:szCs w:val="24"/>
        </w:rPr>
        <w:t>二、投诉项目基本情况：</w:t>
      </w:r>
    </w:p>
    <w:p w14:paraId="03AA3CBA">
      <w:pPr>
        <w:pStyle w:val="17"/>
        <w:spacing w:line="360" w:lineRule="auto"/>
        <w:ind w:left="25" w:leftChars="12" w:firstLine="472" w:firstLineChars="197"/>
        <w:rPr>
          <w:rFonts w:hAnsi="宋体"/>
          <w:color w:val="auto"/>
          <w:sz w:val="24"/>
          <w:szCs w:val="24"/>
        </w:rPr>
      </w:pPr>
      <w:r>
        <w:rPr>
          <w:rFonts w:hint="eastAsia" w:hAnsi="宋体"/>
          <w:bCs/>
          <w:color w:val="auto"/>
          <w:sz w:val="24"/>
          <w:szCs w:val="24"/>
        </w:rPr>
        <w:t>采购</w:t>
      </w:r>
      <w:r>
        <w:rPr>
          <w:rFonts w:hint="eastAsia" w:hAnsi="宋体"/>
          <w:color w:val="auto"/>
          <w:sz w:val="24"/>
          <w:szCs w:val="24"/>
        </w:rPr>
        <w:t>项目的名称：</w:t>
      </w:r>
      <w:r>
        <w:rPr>
          <w:rFonts w:hint="eastAsia" w:hAnsi="宋体"/>
          <w:bCs/>
          <w:color w:val="auto"/>
          <w:sz w:val="24"/>
          <w:szCs w:val="24"/>
          <w:u w:val="single"/>
        </w:rPr>
        <w:t xml:space="preserve">                                                                   </w:t>
      </w:r>
    </w:p>
    <w:p w14:paraId="605680C6">
      <w:pPr>
        <w:pStyle w:val="17"/>
        <w:spacing w:line="360" w:lineRule="auto"/>
        <w:ind w:left="25" w:leftChars="12" w:firstLine="472" w:firstLineChars="197"/>
        <w:rPr>
          <w:rFonts w:hAnsi="宋体"/>
          <w:color w:val="auto"/>
          <w:sz w:val="24"/>
          <w:szCs w:val="24"/>
        </w:rPr>
      </w:pPr>
      <w:r>
        <w:rPr>
          <w:rFonts w:hint="eastAsia" w:hAnsi="宋体"/>
          <w:bCs/>
          <w:color w:val="auto"/>
          <w:sz w:val="24"/>
          <w:szCs w:val="24"/>
        </w:rPr>
        <w:t>采购</w:t>
      </w:r>
      <w:r>
        <w:rPr>
          <w:rFonts w:hint="eastAsia" w:hAnsi="宋体"/>
          <w:color w:val="auto"/>
          <w:sz w:val="24"/>
          <w:szCs w:val="24"/>
        </w:rPr>
        <w:t>项目的编号：</w:t>
      </w:r>
      <w:r>
        <w:rPr>
          <w:rFonts w:hint="eastAsia" w:hAnsi="宋体"/>
          <w:bCs/>
          <w:color w:val="auto"/>
          <w:sz w:val="24"/>
          <w:szCs w:val="24"/>
          <w:u w:val="single"/>
        </w:rPr>
        <w:t xml:space="preserve">                                          </w:t>
      </w:r>
    </w:p>
    <w:p w14:paraId="2091D541">
      <w:pPr>
        <w:pStyle w:val="17"/>
        <w:spacing w:line="360" w:lineRule="auto"/>
        <w:ind w:left="25" w:leftChars="12" w:firstLine="472" w:firstLineChars="197"/>
        <w:rPr>
          <w:rFonts w:hAnsi="宋体"/>
          <w:bCs/>
          <w:color w:val="auto"/>
          <w:sz w:val="24"/>
          <w:szCs w:val="24"/>
          <w:u w:val="single"/>
        </w:rPr>
      </w:pPr>
      <w:r>
        <w:rPr>
          <w:rFonts w:hint="eastAsia" w:hAnsi="宋体"/>
          <w:color w:val="auto"/>
          <w:sz w:val="24"/>
          <w:szCs w:val="24"/>
        </w:rPr>
        <w:t>采购人名称：</w:t>
      </w:r>
      <w:r>
        <w:rPr>
          <w:rFonts w:hint="eastAsia" w:hAnsi="宋体"/>
          <w:bCs/>
          <w:color w:val="auto"/>
          <w:sz w:val="24"/>
          <w:szCs w:val="24"/>
          <w:u w:val="single"/>
        </w:rPr>
        <w:t xml:space="preserve">                                                                        </w:t>
      </w:r>
    </w:p>
    <w:p w14:paraId="10A301C6">
      <w:pPr>
        <w:pStyle w:val="17"/>
        <w:spacing w:line="360" w:lineRule="auto"/>
        <w:ind w:left="25" w:leftChars="12" w:firstLine="472" w:firstLineChars="197"/>
        <w:rPr>
          <w:rFonts w:hAnsi="宋体"/>
          <w:bCs/>
          <w:color w:val="auto"/>
          <w:sz w:val="24"/>
          <w:szCs w:val="24"/>
          <w:u w:val="single"/>
        </w:rPr>
      </w:pPr>
      <w:r>
        <w:rPr>
          <w:rFonts w:hint="eastAsia" w:hAnsi="宋体"/>
          <w:color w:val="auto"/>
          <w:sz w:val="24"/>
          <w:szCs w:val="24"/>
        </w:rPr>
        <w:t>代理机构名称：</w:t>
      </w:r>
      <w:r>
        <w:rPr>
          <w:rFonts w:hint="eastAsia" w:hAnsi="宋体"/>
          <w:bCs/>
          <w:color w:val="auto"/>
          <w:sz w:val="24"/>
          <w:szCs w:val="24"/>
          <w:u w:val="single"/>
        </w:rPr>
        <w:t xml:space="preserve">                                                                      </w:t>
      </w:r>
    </w:p>
    <w:p w14:paraId="6369A6CA">
      <w:pPr>
        <w:pStyle w:val="17"/>
        <w:spacing w:line="360" w:lineRule="auto"/>
        <w:ind w:left="25" w:leftChars="12" w:firstLine="472" w:firstLineChars="197"/>
        <w:rPr>
          <w:rFonts w:hAnsi="宋体"/>
          <w:bCs/>
          <w:color w:val="auto"/>
          <w:sz w:val="24"/>
          <w:szCs w:val="24"/>
          <w:u w:val="single"/>
        </w:rPr>
      </w:pPr>
      <w:r>
        <w:rPr>
          <w:rFonts w:hint="eastAsia" w:hAnsi="宋体"/>
          <w:bCs/>
          <w:color w:val="auto"/>
          <w:sz w:val="24"/>
          <w:szCs w:val="24"/>
        </w:rPr>
        <w:t>采购文件公告：</w:t>
      </w:r>
      <w:r>
        <w:rPr>
          <w:rFonts w:hint="eastAsia" w:hAnsi="宋体"/>
          <w:bCs/>
          <w:color w:val="auto"/>
          <w:sz w:val="24"/>
          <w:szCs w:val="24"/>
          <w:u w:val="single"/>
        </w:rPr>
        <w:t>是/否</w:t>
      </w:r>
      <w:r>
        <w:rPr>
          <w:rFonts w:hint="eastAsia" w:hAnsi="宋体"/>
          <w:bCs/>
          <w:color w:val="auto"/>
          <w:sz w:val="24"/>
          <w:szCs w:val="24"/>
        </w:rPr>
        <w:t>公告期限：</w:t>
      </w:r>
      <w:r>
        <w:rPr>
          <w:rFonts w:hint="eastAsia" w:hAnsi="宋体"/>
          <w:bCs/>
          <w:color w:val="auto"/>
          <w:sz w:val="24"/>
          <w:szCs w:val="24"/>
          <w:u w:val="single"/>
        </w:rPr>
        <w:t xml:space="preserve">                                                       </w:t>
      </w:r>
    </w:p>
    <w:p w14:paraId="469266FC">
      <w:pPr>
        <w:pStyle w:val="17"/>
        <w:spacing w:line="360" w:lineRule="auto"/>
        <w:ind w:left="25" w:leftChars="12" w:firstLine="472" w:firstLineChars="197"/>
        <w:rPr>
          <w:rFonts w:hAnsi="宋体"/>
          <w:b/>
          <w:color w:val="auto"/>
          <w:sz w:val="24"/>
          <w:szCs w:val="24"/>
        </w:rPr>
      </w:pPr>
      <w:r>
        <w:rPr>
          <w:rFonts w:hint="eastAsia" w:hAnsi="宋体"/>
          <w:bCs/>
          <w:color w:val="auto"/>
          <w:sz w:val="24"/>
          <w:szCs w:val="24"/>
        </w:rPr>
        <w:t>采购结果公告：</w:t>
      </w:r>
      <w:r>
        <w:rPr>
          <w:rFonts w:hint="eastAsia" w:hAnsi="宋体"/>
          <w:bCs/>
          <w:color w:val="auto"/>
          <w:sz w:val="24"/>
          <w:szCs w:val="24"/>
          <w:u w:val="single"/>
        </w:rPr>
        <w:t>是/否</w:t>
      </w:r>
      <w:r>
        <w:rPr>
          <w:rFonts w:hint="eastAsia" w:hAnsi="宋体"/>
          <w:bCs/>
          <w:color w:val="auto"/>
          <w:sz w:val="24"/>
          <w:szCs w:val="24"/>
        </w:rPr>
        <w:t>公告期限：</w:t>
      </w:r>
      <w:r>
        <w:rPr>
          <w:rFonts w:hint="eastAsia" w:hAnsi="宋体"/>
          <w:bCs/>
          <w:color w:val="auto"/>
          <w:sz w:val="24"/>
          <w:szCs w:val="24"/>
          <w:u w:val="single"/>
        </w:rPr>
        <w:t xml:space="preserve">                                                       </w:t>
      </w:r>
    </w:p>
    <w:p w14:paraId="3D5F90E6">
      <w:pPr>
        <w:pStyle w:val="17"/>
        <w:spacing w:line="360" w:lineRule="auto"/>
        <w:ind w:left="25" w:leftChars="12" w:firstLine="472" w:firstLineChars="196"/>
        <w:rPr>
          <w:rFonts w:hAnsi="宋体"/>
          <w:b/>
          <w:color w:val="auto"/>
          <w:sz w:val="24"/>
          <w:szCs w:val="24"/>
        </w:rPr>
      </w:pPr>
      <w:r>
        <w:rPr>
          <w:rFonts w:hint="eastAsia" w:hAnsi="宋体"/>
          <w:b/>
          <w:color w:val="auto"/>
          <w:sz w:val="24"/>
          <w:szCs w:val="24"/>
        </w:rPr>
        <w:t>三、质疑基本情况</w:t>
      </w:r>
    </w:p>
    <w:p w14:paraId="3BBC883A">
      <w:pPr>
        <w:pStyle w:val="17"/>
        <w:spacing w:line="360" w:lineRule="auto"/>
        <w:ind w:left="25" w:leftChars="12" w:firstLine="480" w:firstLineChars="200"/>
        <w:rPr>
          <w:rFonts w:hAnsi="宋体"/>
          <w:color w:val="auto"/>
          <w:sz w:val="24"/>
          <w:szCs w:val="24"/>
        </w:rPr>
      </w:pPr>
      <w:r>
        <w:rPr>
          <w:rFonts w:hint="eastAsia" w:hAnsi="宋体"/>
          <w:color w:val="auto"/>
          <w:sz w:val="24"/>
          <w:szCs w:val="24"/>
        </w:rPr>
        <w:t>投诉人于</w:t>
      </w:r>
      <w:r>
        <w:rPr>
          <w:rFonts w:hint="eastAsia" w:hAnsi="宋体"/>
          <w:color w:val="auto"/>
          <w:sz w:val="24"/>
          <w:szCs w:val="24"/>
          <w:u w:val="single"/>
        </w:rPr>
        <w:t xml:space="preserve">      </w:t>
      </w:r>
      <w:r>
        <w:rPr>
          <w:rFonts w:hint="eastAsia" w:hAnsi="宋体"/>
          <w:color w:val="auto"/>
          <w:sz w:val="24"/>
          <w:szCs w:val="24"/>
        </w:rPr>
        <w:t>年</w:t>
      </w:r>
      <w:r>
        <w:rPr>
          <w:rFonts w:hint="eastAsia" w:hAnsi="宋体"/>
          <w:color w:val="auto"/>
          <w:sz w:val="24"/>
          <w:szCs w:val="24"/>
          <w:u w:val="single"/>
        </w:rPr>
        <w:t xml:space="preserve">   </w:t>
      </w:r>
      <w:r>
        <w:rPr>
          <w:rFonts w:hint="eastAsia" w:hAnsi="宋体"/>
          <w:color w:val="auto"/>
          <w:sz w:val="24"/>
          <w:szCs w:val="24"/>
        </w:rPr>
        <w:t>月</w:t>
      </w:r>
      <w:r>
        <w:rPr>
          <w:rFonts w:hint="eastAsia" w:hAnsi="宋体"/>
          <w:color w:val="auto"/>
          <w:sz w:val="24"/>
          <w:szCs w:val="24"/>
          <w:u w:val="single"/>
        </w:rPr>
        <w:t xml:space="preserve">   </w:t>
      </w:r>
      <w:r>
        <w:rPr>
          <w:rFonts w:hint="eastAsia" w:hAnsi="宋体"/>
          <w:color w:val="auto"/>
          <w:sz w:val="24"/>
          <w:szCs w:val="24"/>
        </w:rPr>
        <w:t>日，向</w:t>
      </w:r>
      <w:r>
        <w:rPr>
          <w:rFonts w:hint="eastAsia" w:hAnsi="宋体"/>
          <w:color w:val="auto"/>
          <w:sz w:val="24"/>
          <w:szCs w:val="24"/>
          <w:u w:val="single"/>
        </w:rPr>
        <w:t xml:space="preserve">                                </w:t>
      </w:r>
      <w:r>
        <w:rPr>
          <w:rFonts w:hint="eastAsia" w:hAnsi="宋体"/>
          <w:color w:val="auto"/>
          <w:sz w:val="24"/>
          <w:szCs w:val="24"/>
        </w:rPr>
        <w:t>提出质疑，质疑事项为：</w:t>
      </w:r>
    </w:p>
    <w:p w14:paraId="6EA24A85">
      <w:pPr>
        <w:pStyle w:val="17"/>
        <w:spacing w:line="360" w:lineRule="auto"/>
        <w:ind w:firstLine="241"/>
        <w:rPr>
          <w:rFonts w:hAnsi="宋体"/>
          <w:bCs/>
          <w:color w:val="auto"/>
          <w:sz w:val="24"/>
          <w:szCs w:val="24"/>
          <w:u w:val="single"/>
        </w:rPr>
      </w:pPr>
      <w:r>
        <w:rPr>
          <w:rFonts w:hint="eastAsia" w:hAnsi="宋体"/>
          <w:color w:val="auto"/>
          <w:sz w:val="24"/>
          <w:szCs w:val="24"/>
        </w:rPr>
        <w:t xml:space="preserve">    </w:t>
      </w:r>
      <w:r>
        <w:rPr>
          <w:rFonts w:hint="eastAsia" w:hAnsi="宋体"/>
          <w:bCs/>
          <w:color w:val="auto"/>
          <w:sz w:val="24"/>
          <w:szCs w:val="24"/>
          <w:u w:val="single"/>
        </w:rPr>
        <w:t xml:space="preserve">                                                                                      </w:t>
      </w:r>
    </w:p>
    <w:p w14:paraId="4FE89A07">
      <w:pPr>
        <w:pStyle w:val="17"/>
        <w:spacing w:line="360" w:lineRule="auto"/>
        <w:ind w:firstLine="241"/>
        <w:rPr>
          <w:rFonts w:hAnsi="宋体"/>
          <w:bCs/>
          <w:color w:val="auto"/>
          <w:sz w:val="24"/>
          <w:szCs w:val="24"/>
          <w:u w:val="single"/>
        </w:rPr>
      </w:pPr>
      <w:r>
        <w:rPr>
          <w:rFonts w:hint="eastAsia" w:hAnsi="宋体"/>
          <w:bCs/>
          <w:color w:val="auto"/>
          <w:sz w:val="24"/>
          <w:szCs w:val="24"/>
        </w:rPr>
        <w:t xml:space="preserve">    </w:t>
      </w:r>
      <w:r>
        <w:rPr>
          <w:rFonts w:hint="eastAsia" w:hAnsi="宋体"/>
          <w:bCs/>
          <w:color w:val="auto"/>
          <w:sz w:val="24"/>
          <w:szCs w:val="24"/>
          <w:u w:val="single"/>
        </w:rPr>
        <w:t xml:space="preserve">                                                                                      </w:t>
      </w:r>
    </w:p>
    <w:p w14:paraId="757C61A1">
      <w:pPr>
        <w:pStyle w:val="17"/>
        <w:spacing w:line="360" w:lineRule="auto"/>
        <w:ind w:firstLine="241"/>
        <w:rPr>
          <w:rFonts w:hAnsi="宋体"/>
          <w:color w:val="auto"/>
          <w:sz w:val="24"/>
          <w:szCs w:val="24"/>
        </w:rPr>
      </w:pPr>
      <w:r>
        <w:rPr>
          <w:rFonts w:hint="eastAsia" w:hAnsi="宋体"/>
          <w:bCs/>
          <w:color w:val="auto"/>
          <w:sz w:val="24"/>
          <w:szCs w:val="24"/>
        </w:rPr>
        <w:t xml:space="preserve">  </w:t>
      </w:r>
      <w:r>
        <w:rPr>
          <w:rFonts w:hint="eastAsia" w:hAnsi="宋体"/>
          <w:bCs/>
          <w:color w:val="auto"/>
          <w:sz w:val="24"/>
          <w:szCs w:val="24"/>
          <w:u w:val="single"/>
        </w:rPr>
        <w:t>采购人/代理机构</w:t>
      </w:r>
      <w:r>
        <w:rPr>
          <w:rFonts w:hint="eastAsia" w:hAnsi="宋体"/>
          <w:bCs/>
          <w:color w:val="auto"/>
          <w:sz w:val="24"/>
          <w:szCs w:val="24"/>
        </w:rPr>
        <w:t>于</w:t>
      </w:r>
      <w:r>
        <w:rPr>
          <w:rFonts w:hint="eastAsia" w:hAnsi="宋体"/>
          <w:color w:val="auto"/>
          <w:sz w:val="24"/>
          <w:szCs w:val="24"/>
          <w:u w:val="single"/>
        </w:rPr>
        <w:t xml:space="preserve">      </w:t>
      </w:r>
      <w:r>
        <w:rPr>
          <w:rFonts w:hint="eastAsia" w:hAnsi="宋体"/>
          <w:color w:val="auto"/>
          <w:sz w:val="24"/>
          <w:szCs w:val="24"/>
        </w:rPr>
        <w:t>年</w:t>
      </w:r>
      <w:r>
        <w:rPr>
          <w:rFonts w:hint="eastAsia" w:hAnsi="宋体"/>
          <w:color w:val="auto"/>
          <w:sz w:val="24"/>
          <w:szCs w:val="24"/>
          <w:u w:val="single"/>
        </w:rPr>
        <w:t xml:space="preserve">   </w:t>
      </w:r>
      <w:r>
        <w:rPr>
          <w:rFonts w:hint="eastAsia" w:hAnsi="宋体"/>
          <w:color w:val="auto"/>
          <w:sz w:val="24"/>
          <w:szCs w:val="24"/>
        </w:rPr>
        <w:t>月</w:t>
      </w:r>
      <w:r>
        <w:rPr>
          <w:rFonts w:hint="eastAsia" w:hAnsi="宋体"/>
          <w:color w:val="auto"/>
          <w:sz w:val="24"/>
          <w:szCs w:val="24"/>
          <w:u w:val="single"/>
        </w:rPr>
        <w:t xml:space="preserve">   </w:t>
      </w:r>
      <w:r>
        <w:rPr>
          <w:rFonts w:hint="eastAsia" w:hAnsi="宋体"/>
          <w:color w:val="auto"/>
          <w:sz w:val="24"/>
          <w:szCs w:val="24"/>
        </w:rPr>
        <w:t>日，</w:t>
      </w:r>
      <w:r>
        <w:rPr>
          <w:rFonts w:hint="eastAsia" w:hAnsi="宋体"/>
          <w:bCs/>
          <w:color w:val="auto"/>
          <w:sz w:val="24"/>
          <w:szCs w:val="24"/>
        </w:rPr>
        <w:t xml:space="preserve">就质疑事项作出了答复/没有在法定期限内作出答复。                                                                                             </w:t>
      </w:r>
    </w:p>
    <w:p w14:paraId="5DE8982A">
      <w:pPr>
        <w:pStyle w:val="17"/>
        <w:spacing w:line="360" w:lineRule="auto"/>
        <w:ind w:left="25" w:leftChars="12" w:firstLine="472" w:firstLineChars="196"/>
        <w:rPr>
          <w:rFonts w:hAnsi="宋体"/>
          <w:b/>
          <w:color w:val="auto"/>
          <w:sz w:val="24"/>
          <w:szCs w:val="24"/>
        </w:rPr>
      </w:pPr>
      <w:r>
        <w:rPr>
          <w:rFonts w:hint="eastAsia" w:hAnsi="宋体"/>
          <w:b/>
          <w:color w:val="auto"/>
          <w:sz w:val="24"/>
          <w:szCs w:val="24"/>
        </w:rPr>
        <w:t>四、投诉事项具体内容</w:t>
      </w:r>
    </w:p>
    <w:p w14:paraId="428F1748">
      <w:pPr>
        <w:pStyle w:val="17"/>
        <w:spacing w:line="360" w:lineRule="auto"/>
        <w:ind w:left="25" w:leftChars="12" w:firstLine="472" w:firstLineChars="197"/>
        <w:rPr>
          <w:rFonts w:hAnsi="宋体"/>
          <w:bCs/>
          <w:color w:val="auto"/>
          <w:sz w:val="24"/>
          <w:szCs w:val="24"/>
          <w:u w:val="single"/>
        </w:rPr>
      </w:pPr>
      <w:r>
        <w:rPr>
          <w:rFonts w:hint="eastAsia" w:hAnsi="宋体"/>
          <w:color w:val="auto"/>
          <w:sz w:val="24"/>
          <w:szCs w:val="24"/>
        </w:rPr>
        <w:t>投诉事项1：</w:t>
      </w:r>
      <w:r>
        <w:rPr>
          <w:rFonts w:hint="eastAsia" w:hAnsi="宋体"/>
          <w:bCs/>
          <w:color w:val="auto"/>
          <w:sz w:val="24"/>
          <w:szCs w:val="24"/>
          <w:u w:val="single"/>
        </w:rPr>
        <w:t xml:space="preserve">                                                                           </w:t>
      </w:r>
    </w:p>
    <w:p w14:paraId="055F5359">
      <w:pPr>
        <w:pStyle w:val="17"/>
        <w:spacing w:line="360" w:lineRule="auto"/>
        <w:ind w:firstLine="480" w:firstLineChars="200"/>
        <w:rPr>
          <w:rFonts w:hAnsi="宋体"/>
          <w:bCs/>
          <w:color w:val="auto"/>
          <w:sz w:val="24"/>
          <w:szCs w:val="24"/>
          <w:u w:val="single"/>
        </w:rPr>
      </w:pPr>
      <w:r>
        <w:rPr>
          <w:rFonts w:hint="eastAsia" w:hAnsi="宋体"/>
          <w:bCs/>
          <w:color w:val="auto"/>
          <w:sz w:val="24"/>
          <w:szCs w:val="24"/>
        </w:rPr>
        <w:t>事实依据：</w:t>
      </w:r>
      <w:r>
        <w:rPr>
          <w:rFonts w:hint="eastAsia" w:hAnsi="宋体"/>
          <w:color w:val="auto"/>
          <w:sz w:val="24"/>
          <w:szCs w:val="24"/>
        </w:rPr>
        <w:t xml:space="preserve"> </w:t>
      </w:r>
      <w:r>
        <w:rPr>
          <w:rFonts w:hint="eastAsia" w:hAnsi="宋体"/>
          <w:bCs/>
          <w:color w:val="auto"/>
          <w:sz w:val="24"/>
          <w:szCs w:val="24"/>
          <w:u w:val="single"/>
        </w:rPr>
        <w:t xml:space="preserve">                                                                                      </w:t>
      </w:r>
    </w:p>
    <w:p w14:paraId="5B250550">
      <w:pPr>
        <w:pStyle w:val="17"/>
        <w:spacing w:line="360" w:lineRule="auto"/>
        <w:ind w:left="25" w:leftChars="12" w:firstLine="472" w:firstLineChars="197"/>
        <w:rPr>
          <w:rFonts w:hAnsi="宋体"/>
          <w:color w:val="auto"/>
          <w:sz w:val="24"/>
          <w:szCs w:val="24"/>
        </w:rPr>
      </w:pPr>
      <w:r>
        <w:rPr>
          <w:rFonts w:hint="eastAsia" w:hAnsi="宋体"/>
          <w:bCs/>
          <w:color w:val="auto"/>
          <w:sz w:val="24"/>
          <w:szCs w:val="24"/>
          <w:u w:val="single"/>
        </w:rPr>
        <w:t xml:space="preserve">                                                                                        </w:t>
      </w:r>
    </w:p>
    <w:p w14:paraId="5D05AD36">
      <w:pPr>
        <w:pStyle w:val="17"/>
        <w:spacing w:line="360" w:lineRule="auto"/>
        <w:ind w:firstLine="480" w:firstLineChars="200"/>
        <w:rPr>
          <w:rFonts w:hAnsi="宋体"/>
          <w:bCs/>
          <w:color w:val="auto"/>
          <w:sz w:val="24"/>
          <w:szCs w:val="24"/>
          <w:u w:val="single"/>
        </w:rPr>
      </w:pPr>
      <w:r>
        <w:rPr>
          <w:rFonts w:hint="eastAsia" w:hAnsi="宋体"/>
          <w:bCs/>
          <w:color w:val="auto"/>
          <w:sz w:val="24"/>
          <w:szCs w:val="24"/>
        </w:rPr>
        <w:t>法律依据：</w:t>
      </w:r>
      <w:r>
        <w:rPr>
          <w:rFonts w:hint="eastAsia" w:hAnsi="宋体"/>
          <w:color w:val="auto"/>
          <w:sz w:val="24"/>
          <w:szCs w:val="24"/>
        </w:rPr>
        <w:t xml:space="preserve"> </w:t>
      </w:r>
      <w:r>
        <w:rPr>
          <w:rFonts w:hint="eastAsia" w:hAnsi="宋体"/>
          <w:bCs/>
          <w:color w:val="auto"/>
          <w:sz w:val="24"/>
          <w:szCs w:val="24"/>
          <w:u w:val="single"/>
        </w:rPr>
        <w:t xml:space="preserve">                                                                                      </w:t>
      </w:r>
    </w:p>
    <w:p w14:paraId="4EF12EED">
      <w:pPr>
        <w:pStyle w:val="17"/>
        <w:spacing w:line="360" w:lineRule="auto"/>
        <w:ind w:left="25" w:leftChars="12" w:firstLine="352" w:firstLineChars="147"/>
        <w:rPr>
          <w:rFonts w:hAnsi="宋体"/>
          <w:bCs/>
          <w:color w:val="auto"/>
          <w:sz w:val="24"/>
          <w:szCs w:val="24"/>
          <w:u w:val="single"/>
        </w:rPr>
      </w:pPr>
      <w:r>
        <w:rPr>
          <w:rFonts w:hint="eastAsia" w:hAnsi="宋体"/>
          <w:bCs/>
          <w:color w:val="auto"/>
          <w:sz w:val="24"/>
          <w:szCs w:val="24"/>
        </w:rPr>
        <w:t xml:space="preserve"> </w:t>
      </w:r>
      <w:r>
        <w:rPr>
          <w:rFonts w:hint="eastAsia" w:hAnsi="宋体"/>
          <w:bCs/>
          <w:color w:val="auto"/>
          <w:sz w:val="24"/>
          <w:szCs w:val="24"/>
          <w:u w:val="single"/>
        </w:rPr>
        <w:t xml:space="preserve">                                                                                        </w:t>
      </w:r>
    </w:p>
    <w:p w14:paraId="0FBBEB7C">
      <w:pPr>
        <w:pStyle w:val="17"/>
        <w:spacing w:line="360" w:lineRule="auto"/>
        <w:ind w:left="25" w:leftChars="12" w:firstLine="472" w:firstLineChars="197"/>
        <w:rPr>
          <w:rFonts w:hAnsi="宋体"/>
          <w:bCs/>
          <w:color w:val="auto"/>
          <w:sz w:val="24"/>
          <w:szCs w:val="24"/>
        </w:rPr>
      </w:pPr>
      <w:r>
        <w:rPr>
          <w:rFonts w:hint="eastAsia" w:hAnsi="宋体"/>
          <w:color w:val="auto"/>
          <w:sz w:val="24"/>
          <w:szCs w:val="24"/>
        </w:rPr>
        <w:t xml:space="preserve">投诉事项2  </w:t>
      </w:r>
      <w:r>
        <w:rPr>
          <w:rFonts w:hint="eastAsia" w:hAnsi="宋体"/>
          <w:bCs/>
          <w:color w:val="auto"/>
          <w:sz w:val="24"/>
          <w:szCs w:val="24"/>
        </w:rPr>
        <w:t xml:space="preserve">   </w:t>
      </w:r>
    </w:p>
    <w:p w14:paraId="451527F1">
      <w:pPr>
        <w:pStyle w:val="17"/>
        <w:spacing w:line="360" w:lineRule="auto"/>
        <w:ind w:left="25" w:leftChars="12" w:firstLine="472" w:firstLineChars="197"/>
        <w:rPr>
          <w:rFonts w:hAnsi="宋体"/>
          <w:bCs/>
          <w:color w:val="auto"/>
          <w:sz w:val="24"/>
          <w:szCs w:val="24"/>
        </w:rPr>
      </w:pPr>
      <w:r>
        <w:rPr>
          <w:rFonts w:hAnsi="宋体"/>
          <w:bCs/>
          <w:color w:val="auto"/>
          <w:sz w:val="24"/>
          <w:szCs w:val="24"/>
        </w:rPr>
        <w:t>……</w:t>
      </w:r>
    </w:p>
    <w:p w14:paraId="2C4AA41B">
      <w:pPr>
        <w:pStyle w:val="17"/>
        <w:spacing w:line="360" w:lineRule="auto"/>
        <w:ind w:left="25" w:leftChars="12" w:firstLine="472" w:firstLineChars="196"/>
        <w:rPr>
          <w:rFonts w:hAnsi="宋体"/>
          <w:b/>
          <w:color w:val="auto"/>
          <w:sz w:val="24"/>
          <w:szCs w:val="24"/>
        </w:rPr>
      </w:pPr>
      <w:r>
        <w:rPr>
          <w:rFonts w:hint="eastAsia" w:hAnsi="宋体"/>
          <w:b/>
          <w:color w:val="auto"/>
          <w:sz w:val="24"/>
          <w:szCs w:val="24"/>
        </w:rPr>
        <w:t>五、与投诉事项相关的投诉请求：</w:t>
      </w:r>
    </w:p>
    <w:p w14:paraId="1772031E">
      <w:pPr>
        <w:pStyle w:val="17"/>
        <w:spacing w:line="360" w:lineRule="auto"/>
        <w:ind w:left="25" w:leftChars="12" w:firstLine="472" w:firstLineChars="197"/>
        <w:rPr>
          <w:rFonts w:hAnsi="宋体"/>
          <w:color w:val="auto"/>
          <w:sz w:val="24"/>
          <w:szCs w:val="24"/>
        </w:rPr>
      </w:pPr>
      <w:r>
        <w:rPr>
          <w:rFonts w:hint="eastAsia" w:hAnsi="宋体"/>
          <w:color w:val="auto"/>
          <w:sz w:val="24"/>
          <w:szCs w:val="24"/>
        </w:rPr>
        <w:t>请求：</w:t>
      </w:r>
      <w:r>
        <w:rPr>
          <w:rFonts w:hint="eastAsia" w:hAnsi="宋体"/>
          <w:bCs/>
          <w:color w:val="auto"/>
          <w:sz w:val="24"/>
          <w:szCs w:val="24"/>
          <w:u w:val="single"/>
        </w:rPr>
        <w:t xml:space="preserve">                                                                                 </w:t>
      </w:r>
    </w:p>
    <w:p w14:paraId="3B73EA9A">
      <w:pPr>
        <w:pStyle w:val="17"/>
        <w:spacing w:line="360" w:lineRule="auto"/>
        <w:ind w:left="25" w:leftChars="12" w:firstLine="352" w:firstLineChars="147"/>
        <w:rPr>
          <w:rFonts w:hAnsi="宋体"/>
          <w:color w:val="auto"/>
          <w:sz w:val="24"/>
          <w:szCs w:val="24"/>
        </w:rPr>
      </w:pPr>
    </w:p>
    <w:p w14:paraId="37B758ED">
      <w:pPr>
        <w:pStyle w:val="17"/>
        <w:spacing w:line="360" w:lineRule="auto"/>
        <w:ind w:left="25" w:leftChars="12" w:firstLine="472" w:firstLineChars="197"/>
        <w:rPr>
          <w:rFonts w:hAnsi="宋体"/>
          <w:color w:val="auto"/>
          <w:sz w:val="24"/>
          <w:szCs w:val="24"/>
        </w:rPr>
      </w:pPr>
      <w:r>
        <w:rPr>
          <w:rFonts w:hint="eastAsia" w:hAnsi="宋体"/>
          <w:color w:val="auto"/>
          <w:sz w:val="24"/>
          <w:szCs w:val="24"/>
        </w:rPr>
        <w:t>签字（签章）：                                       公章：</w:t>
      </w:r>
    </w:p>
    <w:p w14:paraId="36C9A000">
      <w:pPr>
        <w:pStyle w:val="17"/>
        <w:spacing w:line="360" w:lineRule="auto"/>
        <w:ind w:left="25" w:leftChars="12" w:firstLine="352" w:firstLineChars="147"/>
        <w:rPr>
          <w:rFonts w:hAnsi="宋体"/>
          <w:color w:val="auto"/>
          <w:sz w:val="24"/>
          <w:szCs w:val="24"/>
        </w:rPr>
      </w:pPr>
    </w:p>
    <w:p w14:paraId="7CEC87CA">
      <w:pPr>
        <w:pStyle w:val="17"/>
        <w:spacing w:line="360" w:lineRule="auto"/>
        <w:ind w:left="25" w:leftChars="12" w:firstLine="472" w:firstLineChars="197"/>
        <w:rPr>
          <w:rFonts w:hAnsi="宋体"/>
          <w:color w:val="auto"/>
          <w:sz w:val="24"/>
          <w:szCs w:val="24"/>
        </w:rPr>
      </w:pPr>
      <w:r>
        <w:rPr>
          <w:rFonts w:hint="eastAsia" w:hAnsi="宋体"/>
          <w:color w:val="auto"/>
          <w:sz w:val="24"/>
          <w:szCs w:val="24"/>
        </w:rPr>
        <w:t>日期：</w:t>
      </w:r>
    </w:p>
    <w:p w14:paraId="1C0031A9">
      <w:pPr>
        <w:pStyle w:val="17"/>
        <w:spacing w:line="360" w:lineRule="auto"/>
        <w:ind w:left="25" w:leftChars="12" w:firstLine="472" w:firstLineChars="197"/>
        <w:rPr>
          <w:rFonts w:hAnsi="宋体"/>
          <w:color w:val="auto"/>
          <w:sz w:val="24"/>
          <w:szCs w:val="24"/>
        </w:rPr>
      </w:pPr>
      <w:r>
        <w:rPr>
          <w:rFonts w:hint="eastAsia" w:hAnsi="宋体"/>
          <w:bCs/>
          <w:color w:val="auto"/>
          <w:sz w:val="24"/>
          <w:szCs w:val="24"/>
        </w:rPr>
        <w:t xml:space="preserve">                                                                                 </w:t>
      </w:r>
    </w:p>
    <w:p w14:paraId="77DDB418">
      <w:pPr>
        <w:pStyle w:val="17"/>
        <w:snapToGrid w:val="0"/>
        <w:spacing w:line="440" w:lineRule="exact"/>
        <w:rPr>
          <w:rFonts w:hAnsi="宋体"/>
          <w:b/>
          <w:color w:val="auto"/>
          <w:sz w:val="24"/>
          <w:szCs w:val="24"/>
        </w:rPr>
      </w:pPr>
      <w:r>
        <w:rPr>
          <w:rFonts w:hint="eastAsia" w:hAnsi="宋体"/>
          <w:b/>
          <w:color w:val="auto"/>
          <w:sz w:val="24"/>
          <w:szCs w:val="24"/>
        </w:rPr>
        <w:t>说明：</w:t>
      </w:r>
    </w:p>
    <w:p w14:paraId="35B934F2">
      <w:pPr>
        <w:pStyle w:val="17"/>
        <w:spacing w:line="440" w:lineRule="exact"/>
        <w:ind w:left="25" w:leftChars="12" w:firstLine="354" w:firstLineChars="147"/>
        <w:rPr>
          <w:rFonts w:hAnsi="宋体"/>
          <w:b/>
          <w:bCs/>
          <w:color w:val="auto"/>
          <w:sz w:val="24"/>
          <w:szCs w:val="24"/>
        </w:rPr>
      </w:pPr>
      <w:r>
        <w:rPr>
          <w:rFonts w:hint="eastAsia" w:hAnsi="宋体"/>
          <w:b/>
          <w:color w:val="auto"/>
          <w:sz w:val="24"/>
          <w:szCs w:val="24"/>
        </w:rPr>
        <w:t>1.投诉人提起投诉时，应当提交投诉书和必要的证明材料，并按照被投诉人和与投诉事项有关的供应商数量提供投诉书副本</w:t>
      </w:r>
      <w:r>
        <w:rPr>
          <w:rFonts w:hint="eastAsia" w:hAnsi="宋体"/>
          <w:b/>
          <w:bCs/>
          <w:color w:val="auto"/>
          <w:sz w:val="24"/>
          <w:szCs w:val="24"/>
        </w:rPr>
        <w:t>。</w:t>
      </w:r>
    </w:p>
    <w:p w14:paraId="02F0263D">
      <w:pPr>
        <w:pStyle w:val="17"/>
        <w:spacing w:line="440" w:lineRule="exact"/>
        <w:ind w:left="25" w:leftChars="12" w:firstLine="354" w:firstLineChars="147"/>
        <w:rPr>
          <w:rFonts w:hAnsi="宋体"/>
          <w:b/>
          <w:color w:val="auto"/>
          <w:sz w:val="24"/>
          <w:szCs w:val="24"/>
        </w:rPr>
      </w:pPr>
      <w:r>
        <w:rPr>
          <w:rFonts w:hint="eastAsia" w:hAnsi="宋体"/>
          <w:b/>
          <w:color w:val="auto"/>
          <w:sz w:val="24"/>
          <w:szCs w:val="24"/>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08E8271C">
      <w:pPr>
        <w:pStyle w:val="17"/>
        <w:spacing w:line="440" w:lineRule="exact"/>
        <w:ind w:left="25" w:leftChars="12" w:firstLine="354" w:firstLineChars="147"/>
        <w:rPr>
          <w:rFonts w:hAnsi="宋体"/>
          <w:b/>
          <w:color w:val="auto"/>
          <w:sz w:val="24"/>
          <w:szCs w:val="24"/>
        </w:rPr>
      </w:pPr>
      <w:r>
        <w:rPr>
          <w:rFonts w:hint="eastAsia" w:hAnsi="宋体"/>
          <w:b/>
          <w:color w:val="auto"/>
          <w:sz w:val="24"/>
          <w:szCs w:val="24"/>
        </w:rPr>
        <w:t>3.投诉书应简要列明质疑事项，质疑函、质疑答复等作为附件材料提供。</w:t>
      </w:r>
    </w:p>
    <w:p w14:paraId="66C6A1AE">
      <w:pPr>
        <w:pStyle w:val="17"/>
        <w:spacing w:line="440" w:lineRule="exact"/>
        <w:ind w:left="25" w:leftChars="12" w:firstLine="354" w:firstLineChars="147"/>
        <w:rPr>
          <w:rFonts w:hAnsi="宋体"/>
          <w:b/>
          <w:color w:val="auto"/>
          <w:sz w:val="24"/>
          <w:szCs w:val="24"/>
        </w:rPr>
      </w:pPr>
      <w:r>
        <w:rPr>
          <w:rFonts w:hint="eastAsia" w:hAnsi="宋体"/>
          <w:b/>
          <w:color w:val="auto"/>
          <w:sz w:val="24"/>
          <w:szCs w:val="24"/>
        </w:rPr>
        <w:t>4.投诉书的投诉事项应具体、明确，并有必要的事实依据和法律依据。</w:t>
      </w:r>
    </w:p>
    <w:p w14:paraId="3BA943CA">
      <w:pPr>
        <w:pStyle w:val="17"/>
        <w:spacing w:line="440" w:lineRule="exact"/>
        <w:ind w:left="25" w:leftChars="12" w:firstLine="354" w:firstLineChars="147"/>
        <w:rPr>
          <w:rFonts w:hAnsi="宋体"/>
          <w:b/>
          <w:color w:val="auto"/>
          <w:sz w:val="24"/>
          <w:szCs w:val="24"/>
        </w:rPr>
      </w:pPr>
      <w:r>
        <w:rPr>
          <w:rFonts w:hint="eastAsia" w:hAnsi="宋体"/>
          <w:b/>
          <w:color w:val="auto"/>
          <w:sz w:val="24"/>
          <w:szCs w:val="24"/>
        </w:rPr>
        <w:t>5.投诉书的投诉请求应与投诉事项相关。</w:t>
      </w:r>
    </w:p>
    <w:p w14:paraId="3B2C939E">
      <w:pPr>
        <w:pStyle w:val="17"/>
        <w:spacing w:line="440" w:lineRule="exact"/>
        <w:ind w:left="25" w:leftChars="12" w:firstLine="354" w:firstLineChars="147"/>
        <w:rPr>
          <w:rFonts w:hAnsi="宋体"/>
          <w:b/>
          <w:color w:val="auto"/>
        </w:rPr>
      </w:pPr>
      <w:r>
        <w:rPr>
          <w:rFonts w:hint="eastAsia" w:hAnsi="宋体"/>
          <w:b/>
          <w:color w:val="auto"/>
          <w:sz w:val="24"/>
          <w:szCs w:val="24"/>
        </w:rPr>
        <w:t>6.投诉人为法人或者其他组织的，投诉书应由法定代表人、主要负责人，或者其授权代表签字或者盖章，并加盖公章。</w:t>
      </w:r>
    </w:p>
    <w:p w14:paraId="5EBE48D3">
      <w:pPr>
        <w:pStyle w:val="3"/>
        <w:jc w:val="center"/>
        <w:rPr>
          <w:color w:val="auto"/>
        </w:rPr>
      </w:pPr>
      <w:bookmarkStart w:id="91" w:name="_Toc74322610"/>
    </w:p>
    <w:p w14:paraId="54EE300D">
      <w:pPr>
        <w:pStyle w:val="3"/>
        <w:jc w:val="center"/>
        <w:rPr>
          <w:color w:val="auto"/>
        </w:rPr>
      </w:pPr>
    </w:p>
    <w:p w14:paraId="77E24B1A">
      <w:pPr>
        <w:pStyle w:val="3"/>
        <w:jc w:val="center"/>
        <w:rPr>
          <w:color w:val="auto"/>
        </w:rPr>
      </w:pPr>
    </w:p>
    <w:p w14:paraId="33CB5215">
      <w:pPr>
        <w:pStyle w:val="3"/>
        <w:jc w:val="center"/>
        <w:rPr>
          <w:color w:val="auto"/>
        </w:rPr>
      </w:pPr>
    </w:p>
    <w:p w14:paraId="13D6756A">
      <w:pPr>
        <w:pStyle w:val="3"/>
        <w:jc w:val="center"/>
        <w:rPr>
          <w:color w:val="auto"/>
        </w:rPr>
      </w:pPr>
      <w:r>
        <w:rPr>
          <w:rFonts w:hint="eastAsia"/>
          <w:color w:val="auto"/>
        </w:rPr>
        <w:t>第六章 合同文本</w:t>
      </w:r>
      <w:bookmarkEnd w:id="91"/>
    </w:p>
    <w:p w14:paraId="785176C1">
      <w:pPr>
        <w:snapToGrid w:val="0"/>
        <w:spacing w:line="400" w:lineRule="exact"/>
        <w:jc w:val="center"/>
        <w:rPr>
          <w:rFonts w:ascii="仿宋_GB2312" w:hAnsi="华文中宋" w:eastAsia="仿宋_GB2312"/>
          <w:b/>
          <w:bCs/>
          <w:color w:val="auto"/>
          <w:sz w:val="32"/>
          <w:szCs w:val="32"/>
        </w:rPr>
      </w:pPr>
    </w:p>
    <w:p w14:paraId="07B4F99C">
      <w:pPr>
        <w:snapToGrid w:val="0"/>
        <w:spacing w:line="400" w:lineRule="exact"/>
        <w:jc w:val="center"/>
        <w:rPr>
          <w:rFonts w:ascii="宋体" w:hAnsi="宋体"/>
          <w:b/>
          <w:bCs/>
          <w:color w:val="auto"/>
          <w:sz w:val="32"/>
          <w:szCs w:val="32"/>
        </w:rPr>
      </w:pPr>
    </w:p>
    <w:p w14:paraId="362E5B2D">
      <w:pPr>
        <w:snapToGrid w:val="0"/>
        <w:spacing w:line="400" w:lineRule="exact"/>
        <w:jc w:val="center"/>
        <w:rPr>
          <w:rFonts w:ascii="宋体" w:hAnsi="宋体"/>
          <w:b/>
          <w:bCs/>
          <w:color w:val="auto"/>
          <w:sz w:val="32"/>
          <w:szCs w:val="32"/>
        </w:rPr>
      </w:pPr>
    </w:p>
    <w:p w14:paraId="40856747">
      <w:pPr>
        <w:snapToGrid w:val="0"/>
        <w:spacing w:line="400" w:lineRule="exact"/>
        <w:jc w:val="center"/>
        <w:rPr>
          <w:rFonts w:ascii="宋体" w:hAnsi="宋体"/>
          <w:b/>
          <w:bCs/>
          <w:color w:val="auto"/>
          <w:sz w:val="32"/>
          <w:szCs w:val="32"/>
        </w:rPr>
      </w:pPr>
    </w:p>
    <w:p w14:paraId="7141D220">
      <w:pPr>
        <w:snapToGrid w:val="0"/>
        <w:spacing w:line="400" w:lineRule="exact"/>
        <w:jc w:val="center"/>
        <w:rPr>
          <w:rFonts w:ascii="宋体" w:hAnsi="宋体"/>
          <w:b/>
          <w:bCs/>
          <w:color w:val="auto"/>
          <w:sz w:val="32"/>
          <w:szCs w:val="32"/>
        </w:rPr>
      </w:pPr>
    </w:p>
    <w:p w14:paraId="2CED96A8">
      <w:pPr>
        <w:snapToGrid w:val="0"/>
        <w:spacing w:line="400" w:lineRule="exact"/>
        <w:jc w:val="center"/>
        <w:rPr>
          <w:rFonts w:ascii="宋体" w:hAnsi="宋体"/>
          <w:b/>
          <w:bCs/>
          <w:color w:val="auto"/>
          <w:sz w:val="32"/>
          <w:szCs w:val="32"/>
        </w:rPr>
      </w:pPr>
    </w:p>
    <w:p w14:paraId="496B0B16">
      <w:pPr>
        <w:snapToGrid w:val="0"/>
        <w:spacing w:line="400" w:lineRule="exact"/>
        <w:jc w:val="center"/>
        <w:rPr>
          <w:rFonts w:ascii="宋体" w:hAnsi="宋体"/>
          <w:b/>
          <w:bCs/>
          <w:color w:val="auto"/>
          <w:sz w:val="32"/>
          <w:szCs w:val="32"/>
        </w:rPr>
      </w:pPr>
    </w:p>
    <w:p w14:paraId="4999B289">
      <w:pPr>
        <w:snapToGrid w:val="0"/>
        <w:spacing w:line="400" w:lineRule="exact"/>
        <w:jc w:val="center"/>
        <w:rPr>
          <w:rFonts w:ascii="宋体" w:hAnsi="宋体"/>
          <w:b/>
          <w:bCs/>
          <w:color w:val="auto"/>
          <w:sz w:val="32"/>
          <w:szCs w:val="32"/>
        </w:rPr>
      </w:pPr>
    </w:p>
    <w:p w14:paraId="2D38D570">
      <w:pPr>
        <w:snapToGrid w:val="0"/>
        <w:spacing w:line="400" w:lineRule="exact"/>
        <w:jc w:val="center"/>
        <w:rPr>
          <w:rFonts w:ascii="宋体" w:hAnsi="宋体"/>
          <w:b/>
          <w:bCs/>
          <w:color w:val="auto"/>
          <w:sz w:val="32"/>
          <w:szCs w:val="32"/>
        </w:rPr>
      </w:pPr>
    </w:p>
    <w:p w14:paraId="39B8B28D">
      <w:pPr>
        <w:snapToGrid w:val="0"/>
        <w:spacing w:line="400" w:lineRule="exact"/>
        <w:jc w:val="center"/>
        <w:rPr>
          <w:rFonts w:ascii="宋体" w:hAnsi="宋体"/>
          <w:b/>
          <w:bCs/>
          <w:color w:val="auto"/>
          <w:sz w:val="32"/>
          <w:szCs w:val="32"/>
        </w:rPr>
      </w:pPr>
    </w:p>
    <w:p w14:paraId="78FD340A">
      <w:pPr>
        <w:snapToGrid w:val="0"/>
        <w:spacing w:line="400" w:lineRule="exact"/>
        <w:jc w:val="center"/>
        <w:rPr>
          <w:rFonts w:ascii="宋体" w:hAnsi="宋体"/>
          <w:b/>
          <w:bCs/>
          <w:color w:val="auto"/>
          <w:sz w:val="32"/>
          <w:szCs w:val="32"/>
        </w:rPr>
      </w:pPr>
    </w:p>
    <w:p w14:paraId="186F1390">
      <w:pPr>
        <w:snapToGrid w:val="0"/>
        <w:spacing w:line="400" w:lineRule="exact"/>
        <w:jc w:val="center"/>
        <w:rPr>
          <w:rFonts w:ascii="宋体" w:hAnsi="宋体"/>
          <w:b/>
          <w:bCs/>
          <w:color w:val="auto"/>
          <w:sz w:val="32"/>
          <w:szCs w:val="32"/>
        </w:rPr>
      </w:pPr>
    </w:p>
    <w:p w14:paraId="0681C2D7">
      <w:pPr>
        <w:snapToGrid w:val="0"/>
        <w:spacing w:line="400" w:lineRule="exact"/>
        <w:jc w:val="center"/>
        <w:rPr>
          <w:rFonts w:ascii="宋体" w:hAnsi="宋体"/>
          <w:b/>
          <w:bCs/>
          <w:color w:val="auto"/>
          <w:sz w:val="32"/>
          <w:szCs w:val="32"/>
        </w:rPr>
      </w:pPr>
    </w:p>
    <w:p w14:paraId="5DD4C7C6">
      <w:pPr>
        <w:snapToGrid w:val="0"/>
        <w:spacing w:line="400" w:lineRule="exact"/>
        <w:jc w:val="center"/>
        <w:rPr>
          <w:rFonts w:ascii="宋体" w:hAnsi="宋体"/>
          <w:b/>
          <w:bCs/>
          <w:color w:val="auto"/>
          <w:sz w:val="32"/>
          <w:szCs w:val="32"/>
        </w:rPr>
      </w:pPr>
    </w:p>
    <w:p w14:paraId="63889484">
      <w:pPr>
        <w:snapToGrid w:val="0"/>
        <w:spacing w:line="400" w:lineRule="exact"/>
        <w:jc w:val="center"/>
        <w:rPr>
          <w:rFonts w:ascii="宋体" w:hAnsi="宋体"/>
          <w:b/>
          <w:bCs/>
          <w:color w:val="auto"/>
          <w:sz w:val="32"/>
          <w:szCs w:val="32"/>
        </w:rPr>
      </w:pPr>
    </w:p>
    <w:p w14:paraId="570D2982">
      <w:pPr>
        <w:jc w:val="center"/>
        <w:rPr>
          <w:rFonts w:ascii="宋体" w:hAnsi="宋体"/>
          <w:b/>
          <w:bCs/>
          <w:color w:val="auto"/>
          <w:sz w:val="32"/>
          <w:szCs w:val="32"/>
        </w:rPr>
      </w:pPr>
      <w:r>
        <w:rPr>
          <w:rFonts w:ascii="宋体" w:hAnsi="宋体"/>
          <w:b/>
          <w:bCs/>
          <w:color w:val="auto"/>
          <w:sz w:val="32"/>
          <w:szCs w:val="32"/>
        </w:rPr>
        <w:br w:type="page"/>
      </w:r>
    </w:p>
    <w:p w14:paraId="0D739D14">
      <w:pPr>
        <w:jc w:val="center"/>
        <w:rPr>
          <w:rFonts w:ascii="宋体" w:hAnsi="宋体"/>
          <w:b/>
          <w:bCs/>
          <w:color w:val="auto"/>
          <w:sz w:val="32"/>
          <w:szCs w:val="32"/>
        </w:rPr>
      </w:pPr>
    </w:p>
    <w:p w14:paraId="213413A6">
      <w:pPr>
        <w:jc w:val="center"/>
        <w:rPr>
          <w:rFonts w:ascii="宋体" w:hAnsi="宋体"/>
          <w:b/>
          <w:bCs/>
          <w:color w:val="auto"/>
          <w:sz w:val="32"/>
          <w:szCs w:val="32"/>
        </w:rPr>
      </w:pPr>
    </w:p>
    <w:p w14:paraId="6AB101E6">
      <w:pPr>
        <w:jc w:val="center"/>
        <w:rPr>
          <w:rFonts w:ascii="宋体" w:hAnsi="宋体"/>
          <w:b/>
          <w:bCs/>
          <w:color w:val="auto"/>
          <w:sz w:val="32"/>
          <w:szCs w:val="32"/>
        </w:rPr>
      </w:pPr>
    </w:p>
    <w:p w14:paraId="6F1C80BC">
      <w:pPr>
        <w:jc w:val="center"/>
        <w:rPr>
          <w:rFonts w:ascii="Arial" w:hAnsi="Arial" w:cs="Arial"/>
          <w:b/>
          <w:color w:val="auto"/>
          <w:sz w:val="72"/>
          <w:szCs w:val="28"/>
        </w:rPr>
      </w:pPr>
      <w:r>
        <w:rPr>
          <w:rFonts w:ascii="Arial" w:hAnsi="Arial" w:cs="Arial"/>
          <w:b/>
          <w:color w:val="auto"/>
          <w:sz w:val="72"/>
          <w:szCs w:val="28"/>
        </w:rPr>
        <w:t>采购合同</w:t>
      </w:r>
    </w:p>
    <w:p w14:paraId="4D074E14">
      <w:pPr>
        <w:pStyle w:val="105"/>
        <w:rPr>
          <w:rFonts w:ascii="Arial" w:hAnsi="Arial" w:cs="Arial"/>
          <w:color w:val="auto"/>
        </w:rPr>
      </w:pPr>
    </w:p>
    <w:p w14:paraId="73CB08EE">
      <w:pPr>
        <w:pStyle w:val="105"/>
        <w:rPr>
          <w:rFonts w:ascii="Arial" w:hAnsi="Arial" w:cs="Arial"/>
          <w:color w:val="auto"/>
        </w:rPr>
      </w:pPr>
    </w:p>
    <w:p w14:paraId="3BE83C00">
      <w:pPr>
        <w:pStyle w:val="105"/>
        <w:rPr>
          <w:rFonts w:ascii="Arial" w:hAnsi="Arial" w:cs="Arial"/>
          <w:color w:val="auto"/>
        </w:rPr>
      </w:pPr>
    </w:p>
    <w:p w14:paraId="56DD6E03">
      <w:pPr>
        <w:pStyle w:val="105"/>
        <w:rPr>
          <w:rFonts w:ascii="Arial" w:hAnsi="Arial" w:cs="Arial"/>
          <w:color w:val="auto"/>
        </w:rPr>
      </w:pPr>
    </w:p>
    <w:tbl>
      <w:tblPr>
        <w:tblStyle w:val="28"/>
        <w:tblW w:w="8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4"/>
        <w:gridCol w:w="5670"/>
      </w:tblGrid>
      <w:tr w14:paraId="03CFF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2" w:hRule="atLeast"/>
          <w:jc w:val="center"/>
        </w:trPr>
        <w:tc>
          <w:tcPr>
            <w:tcW w:w="2694" w:type="dxa"/>
            <w:tcBorders>
              <w:top w:val="nil"/>
              <w:left w:val="nil"/>
              <w:bottom w:val="nil"/>
              <w:right w:val="nil"/>
            </w:tcBorders>
            <w:shd w:val="clear" w:color="auto" w:fill="auto"/>
            <w:noWrap w:val="0"/>
            <w:vAlign w:val="center"/>
          </w:tcPr>
          <w:p w14:paraId="6FE7EA8D">
            <w:pPr>
              <w:spacing w:line="740" w:lineRule="exact"/>
              <w:jc w:val="center"/>
              <w:rPr>
                <w:rFonts w:ascii="Arial" w:hAnsi="Arial" w:cs="Arial"/>
                <w:b/>
                <w:bCs/>
                <w:color w:val="auto"/>
                <w:sz w:val="36"/>
                <w:szCs w:val="36"/>
              </w:rPr>
            </w:pPr>
            <w:r>
              <w:rPr>
                <w:rFonts w:hint="eastAsia" w:ascii="Arial" w:hAnsi="Arial" w:cs="Arial"/>
                <w:b/>
                <w:bCs/>
                <w:color w:val="auto"/>
                <w:sz w:val="36"/>
                <w:szCs w:val="36"/>
              </w:rPr>
              <w:t xml:space="preserve"> </w:t>
            </w:r>
            <w:r>
              <w:rPr>
                <w:rFonts w:ascii="Arial" w:hAnsi="Arial" w:cs="Arial"/>
                <w:b/>
                <w:bCs/>
                <w:color w:val="auto"/>
                <w:sz w:val="36"/>
                <w:szCs w:val="36"/>
              </w:rPr>
              <w:t>项目</w:t>
            </w:r>
            <w:r>
              <w:rPr>
                <w:rFonts w:hint="eastAsia" w:ascii="Arial" w:hAnsi="Arial" w:cs="Arial"/>
                <w:b/>
                <w:bCs/>
                <w:color w:val="auto"/>
                <w:sz w:val="36"/>
                <w:szCs w:val="36"/>
              </w:rPr>
              <w:t>名</w:t>
            </w:r>
            <w:r>
              <w:rPr>
                <w:rFonts w:ascii="Arial" w:hAnsi="Arial" w:cs="Arial"/>
                <w:b/>
                <w:bCs/>
                <w:color w:val="auto"/>
                <w:sz w:val="36"/>
                <w:szCs w:val="36"/>
              </w:rPr>
              <w:t>称：</w:t>
            </w:r>
            <w:r>
              <w:rPr>
                <w:rFonts w:hint="eastAsia" w:ascii="Arial" w:hAnsi="Arial" w:cs="Arial"/>
                <w:b/>
                <w:bCs/>
                <w:color w:val="auto"/>
                <w:sz w:val="36"/>
                <w:szCs w:val="36"/>
              </w:rPr>
              <w:t xml:space="preserve"> </w:t>
            </w:r>
            <w:r>
              <w:rPr>
                <w:rFonts w:ascii="Arial" w:hAnsi="Arial" w:cs="Arial"/>
                <w:b/>
                <w:bCs/>
                <w:color w:val="auto"/>
                <w:sz w:val="36"/>
                <w:szCs w:val="36"/>
              </w:rPr>
              <w:t xml:space="preserve"> </w:t>
            </w:r>
          </w:p>
        </w:tc>
        <w:tc>
          <w:tcPr>
            <w:tcW w:w="5670" w:type="dxa"/>
            <w:tcBorders>
              <w:top w:val="nil"/>
              <w:left w:val="nil"/>
              <w:bottom w:val="nil"/>
              <w:right w:val="nil"/>
            </w:tcBorders>
            <w:shd w:val="clear" w:color="auto" w:fill="auto"/>
            <w:noWrap w:val="0"/>
            <w:vAlign w:val="center"/>
          </w:tcPr>
          <w:p w14:paraId="06265B45">
            <w:pPr>
              <w:spacing w:line="740" w:lineRule="exact"/>
              <w:jc w:val="left"/>
              <w:rPr>
                <w:rFonts w:ascii="Arial" w:hAnsi="Arial" w:cs="Arial"/>
                <w:b/>
                <w:bCs/>
                <w:color w:val="auto"/>
                <w:sz w:val="36"/>
                <w:szCs w:val="36"/>
              </w:rPr>
            </w:pPr>
            <w:r>
              <w:rPr>
                <w:rFonts w:hint="eastAsia" w:ascii="Arial" w:hAnsi="Arial" w:cs="Arial"/>
                <w:b/>
                <w:bCs/>
                <w:color w:val="auto"/>
                <w:sz w:val="36"/>
                <w:szCs w:val="36"/>
              </w:rPr>
              <w:t>直线加速器维保</w:t>
            </w:r>
          </w:p>
        </w:tc>
      </w:tr>
    </w:tbl>
    <w:p w14:paraId="124F9C09">
      <w:pPr>
        <w:spacing w:line="740" w:lineRule="exact"/>
        <w:rPr>
          <w:rFonts w:ascii="Arial" w:hAnsi="Arial" w:cs="Arial"/>
          <w:b/>
          <w:bCs/>
          <w:color w:val="auto"/>
          <w:sz w:val="36"/>
        </w:rPr>
      </w:pPr>
      <w:r>
        <w:rPr>
          <w:rFonts w:hint="eastAsia" w:ascii="Arial" w:hAnsi="Arial" w:cs="Arial"/>
          <w:b/>
          <w:bCs/>
          <w:color w:val="auto"/>
          <w:sz w:val="36"/>
        </w:rPr>
        <w:t xml:space="preserve"> </w:t>
      </w:r>
      <w:r>
        <w:rPr>
          <w:rFonts w:ascii="Arial" w:hAnsi="Arial" w:cs="Arial"/>
          <w:b/>
          <w:bCs/>
          <w:color w:val="auto"/>
          <w:sz w:val="36"/>
        </w:rPr>
        <w:t xml:space="preserve">   </w:t>
      </w:r>
      <w:r>
        <w:rPr>
          <w:rFonts w:hint="eastAsia" w:ascii="Arial" w:hAnsi="Arial" w:cs="Arial"/>
          <w:b/>
          <w:bCs/>
          <w:color w:val="auto"/>
          <w:sz w:val="36"/>
        </w:rPr>
        <w:t>合同编号：</w:t>
      </w:r>
    </w:p>
    <w:p w14:paraId="677D4F47">
      <w:pPr>
        <w:spacing w:line="740" w:lineRule="exact"/>
        <w:ind w:firstLine="1785" w:firstLineChars="494"/>
        <w:rPr>
          <w:rFonts w:ascii="Arial" w:hAnsi="Arial" w:cs="Arial"/>
          <w:b/>
          <w:bCs/>
          <w:color w:val="auto"/>
          <w:sz w:val="36"/>
        </w:rPr>
      </w:pPr>
    </w:p>
    <w:p w14:paraId="517FC664">
      <w:pPr>
        <w:spacing w:line="740" w:lineRule="exact"/>
        <w:ind w:firstLine="723" w:firstLineChars="200"/>
        <w:rPr>
          <w:rFonts w:ascii="Arial" w:hAnsi="Arial" w:cs="Arial"/>
          <w:b/>
          <w:bCs/>
          <w:color w:val="auto"/>
          <w:sz w:val="36"/>
        </w:rPr>
      </w:pPr>
      <w:r>
        <w:rPr>
          <w:rFonts w:ascii="Arial" w:hAnsi="Arial" w:cs="Arial"/>
          <w:b/>
          <w:bCs/>
          <w:color w:val="auto"/>
          <w:sz w:val="36"/>
        </w:rPr>
        <w:t>甲方：桂林医科大学第一附属医院</w:t>
      </w:r>
    </w:p>
    <w:p w14:paraId="0BE99817">
      <w:pPr>
        <w:spacing w:line="740" w:lineRule="exact"/>
        <w:ind w:firstLine="723" w:firstLineChars="200"/>
        <w:rPr>
          <w:rFonts w:ascii="Arial" w:hAnsi="Arial" w:cs="Arial"/>
          <w:b/>
          <w:bCs/>
          <w:color w:val="auto"/>
          <w:sz w:val="36"/>
        </w:rPr>
      </w:pPr>
      <w:r>
        <w:rPr>
          <w:rFonts w:ascii="Arial" w:hAnsi="Arial" w:cs="Arial"/>
          <w:b/>
          <w:bCs/>
          <w:color w:val="auto"/>
          <w:sz w:val="36"/>
        </w:rPr>
        <w:t>乙方：</w:t>
      </w:r>
    </w:p>
    <w:p w14:paraId="538D462E">
      <w:pPr>
        <w:spacing w:line="740" w:lineRule="exact"/>
        <w:ind w:firstLine="1785" w:firstLineChars="494"/>
        <w:rPr>
          <w:rFonts w:ascii="Arial" w:hAnsi="Arial" w:cs="Arial"/>
          <w:b/>
          <w:bCs/>
          <w:color w:val="auto"/>
          <w:sz w:val="36"/>
        </w:rPr>
      </w:pPr>
    </w:p>
    <w:p w14:paraId="3C288A92">
      <w:pPr>
        <w:spacing w:line="700" w:lineRule="exact"/>
        <w:rPr>
          <w:rFonts w:hint="eastAsia" w:ascii="Arial" w:hAnsi="Arial" w:cs="Arial"/>
          <w:b/>
          <w:bCs/>
          <w:color w:val="auto"/>
          <w:sz w:val="36"/>
        </w:rPr>
      </w:pPr>
    </w:p>
    <w:p w14:paraId="55E7F17F">
      <w:pPr>
        <w:spacing w:line="700" w:lineRule="exact"/>
        <w:ind w:firstLine="1084" w:firstLineChars="300"/>
        <w:rPr>
          <w:rFonts w:ascii="Arial" w:hAnsi="Arial" w:cs="Arial"/>
          <w:b/>
          <w:bCs/>
          <w:color w:val="auto"/>
          <w:sz w:val="36"/>
        </w:rPr>
        <w:sectPr>
          <w:pgSz w:w="11906" w:h="16838"/>
          <w:pgMar w:top="1417" w:right="1587" w:bottom="1417" w:left="1587" w:header="851" w:footer="992" w:gutter="0"/>
          <w:cols w:space="425" w:num="1"/>
          <w:docGrid w:type="lines" w:linePitch="312" w:charSpace="0"/>
        </w:sectPr>
      </w:pPr>
      <w:r>
        <w:rPr>
          <w:rFonts w:hint="eastAsia" w:ascii="Arial" w:hAnsi="Arial" w:cs="Arial"/>
          <w:b/>
          <w:bCs/>
          <w:color w:val="auto"/>
          <w:sz w:val="36"/>
        </w:rPr>
        <w:t>签订日期：2</w:t>
      </w:r>
      <w:r>
        <w:rPr>
          <w:rFonts w:ascii="Arial" w:hAnsi="Arial" w:cs="Arial"/>
          <w:b/>
          <w:bCs/>
          <w:color w:val="auto"/>
          <w:sz w:val="36"/>
        </w:rPr>
        <w:t>02</w:t>
      </w:r>
      <w:r>
        <w:rPr>
          <w:rFonts w:hint="eastAsia" w:ascii="Arial" w:hAnsi="Arial" w:cs="Arial"/>
          <w:b/>
          <w:bCs/>
          <w:color w:val="auto"/>
          <w:sz w:val="36"/>
          <w:lang w:val="en-US" w:eastAsia="zh-CN"/>
        </w:rPr>
        <w:t>6</w:t>
      </w:r>
      <w:r>
        <w:rPr>
          <w:rFonts w:hint="eastAsia" w:ascii="Arial" w:hAnsi="Arial" w:cs="Arial"/>
          <w:b/>
          <w:bCs/>
          <w:color w:val="auto"/>
          <w:sz w:val="36"/>
        </w:rPr>
        <w:t xml:space="preserve">年 </w:t>
      </w:r>
      <w:r>
        <w:rPr>
          <w:rFonts w:ascii="Arial" w:hAnsi="Arial" w:cs="Arial"/>
          <w:b/>
          <w:bCs/>
          <w:color w:val="auto"/>
          <w:sz w:val="36"/>
        </w:rPr>
        <w:t xml:space="preserve">  </w:t>
      </w:r>
      <w:r>
        <w:rPr>
          <w:rFonts w:hint="eastAsia" w:ascii="Arial" w:hAnsi="Arial" w:cs="Arial"/>
          <w:b/>
          <w:bCs/>
          <w:color w:val="auto"/>
          <w:sz w:val="36"/>
        </w:rPr>
        <w:t xml:space="preserve">月 </w:t>
      </w:r>
      <w:r>
        <w:rPr>
          <w:rFonts w:ascii="Arial" w:hAnsi="Arial" w:cs="Arial"/>
          <w:b/>
          <w:bCs/>
          <w:color w:val="auto"/>
          <w:sz w:val="36"/>
        </w:rPr>
        <w:t xml:space="preserve">    </w:t>
      </w:r>
      <w:r>
        <w:rPr>
          <w:rFonts w:hint="eastAsia" w:ascii="Arial" w:hAnsi="Arial" w:cs="Arial"/>
          <w:b/>
          <w:bCs/>
          <w:color w:val="auto"/>
          <w:sz w:val="36"/>
        </w:rPr>
        <w:t>日</w:t>
      </w:r>
      <w:r>
        <w:rPr>
          <w:rFonts w:ascii="Arial" w:hAnsi="Arial" w:cs="Arial"/>
          <w:b/>
          <w:bCs/>
          <w:color w:val="auto"/>
          <w:sz w:val="36"/>
        </w:rPr>
        <w:t xml:space="preserve">    </w:t>
      </w:r>
    </w:p>
    <w:p w14:paraId="29ADF763">
      <w:pPr>
        <w:spacing w:line="420" w:lineRule="exact"/>
        <w:jc w:val="center"/>
        <w:rPr>
          <w:rFonts w:hint="eastAsia" w:ascii="宋体" w:hAnsi="宋体"/>
          <w:b/>
          <w:color w:val="auto"/>
          <w:sz w:val="36"/>
          <w:szCs w:val="36"/>
        </w:rPr>
      </w:pPr>
      <w:r>
        <w:rPr>
          <w:rFonts w:hint="eastAsia" w:ascii="宋体" w:hAnsi="宋体"/>
          <w:b/>
          <w:color w:val="auto"/>
          <w:sz w:val="36"/>
          <w:szCs w:val="36"/>
        </w:rPr>
        <w:t>医疗设备保修服务合同（模板）</w:t>
      </w:r>
    </w:p>
    <w:p w14:paraId="6E5FB02C">
      <w:pPr>
        <w:spacing w:line="420" w:lineRule="exact"/>
        <w:jc w:val="left"/>
        <w:rPr>
          <w:rFonts w:hint="eastAsia" w:ascii="宋体" w:hAnsi="宋体"/>
          <w:color w:val="auto"/>
          <w:sz w:val="28"/>
          <w:szCs w:val="28"/>
        </w:rPr>
      </w:pPr>
    </w:p>
    <w:p w14:paraId="255C9702">
      <w:pPr>
        <w:spacing w:line="360" w:lineRule="auto"/>
        <w:rPr>
          <w:rFonts w:hint="eastAsia" w:ascii="宋体" w:hAnsi="宋体"/>
          <w:b/>
          <w:color w:val="auto"/>
          <w:sz w:val="28"/>
          <w:szCs w:val="28"/>
        </w:rPr>
      </w:pPr>
      <w:r>
        <w:rPr>
          <w:rFonts w:hint="eastAsia" w:ascii="宋体" w:hAnsi="宋体"/>
          <w:color w:val="auto"/>
          <w:sz w:val="28"/>
          <w:szCs w:val="28"/>
        </w:rPr>
        <w:t>项目名称：直线加速器维保</w:t>
      </w:r>
      <w:r>
        <w:rPr>
          <w:rFonts w:hint="eastAsia" w:ascii="宋体" w:hAnsi="宋体"/>
          <w:b/>
          <w:color w:val="auto"/>
          <w:sz w:val="28"/>
          <w:szCs w:val="28"/>
          <w:lang w:val="en-US" w:eastAsia="zh-CN"/>
        </w:rPr>
        <w:t xml:space="preserve">      </w:t>
      </w:r>
      <w:r>
        <w:rPr>
          <w:rFonts w:ascii="宋体" w:hAnsi="宋体"/>
          <w:b/>
          <w:color w:val="auto"/>
          <w:sz w:val="24"/>
        </w:rPr>
        <w:t xml:space="preserve">   </w:t>
      </w:r>
      <w:r>
        <w:rPr>
          <w:rFonts w:hint="eastAsia" w:ascii="宋体" w:hAnsi="宋体"/>
          <w:b/>
          <w:color w:val="auto"/>
          <w:sz w:val="28"/>
          <w:szCs w:val="28"/>
        </w:rPr>
        <w:t xml:space="preserve">   </w:t>
      </w:r>
      <w:r>
        <w:rPr>
          <w:rFonts w:hint="eastAsia" w:ascii="宋体" w:hAnsi="宋体"/>
          <w:color w:val="auto"/>
          <w:sz w:val="28"/>
          <w:szCs w:val="28"/>
        </w:rPr>
        <w:t xml:space="preserve"> 合同编号</w:t>
      </w:r>
      <w:r>
        <w:rPr>
          <w:rFonts w:ascii="宋体" w:hAnsi="宋体"/>
          <w:color w:val="auto"/>
          <w:sz w:val="28"/>
          <w:szCs w:val="28"/>
        </w:rPr>
        <w:t>：</w:t>
      </w:r>
    </w:p>
    <w:p w14:paraId="3767B7C2">
      <w:pPr>
        <w:spacing w:line="420" w:lineRule="exact"/>
        <w:jc w:val="left"/>
        <w:rPr>
          <w:rFonts w:ascii="宋体" w:hAnsi="宋体"/>
          <w:color w:val="auto"/>
          <w:sz w:val="28"/>
          <w:szCs w:val="28"/>
        </w:rPr>
      </w:pPr>
    </w:p>
    <w:p w14:paraId="702C0CBF">
      <w:pPr>
        <w:spacing w:line="420" w:lineRule="exact"/>
        <w:jc w:val="left"/>
        <w:rPr>
          <w:rFonts w:ascii="宋体" w:hAnsi="宋体"/>
          <w:color w:val="auto"/>
          <w:sz w:val="28"/>
          <w:szCs w:val="28"/>
        </w:rPr>
      </w:pPr>
      <w:r>
        <w:rPr>
          <w:rFonts w:hint="eastAsia" w:ascii="宋体" w:hAnsi="宋体"/>
          <w:color w:val="auto"/>
          <w:sz w:val="28"/>
          <w:szCs w:val="28"/>
        </w:rPr>
        <w:t>甲方：</w:t>
      </w:r>
      <w:r>
        <w:rPr>
          <w:rFonts w:hint="eastAsia" w:ascii="宋体" w:hAnsi="宋体" w:cs="宋体"/>
          <w:color w:val="auto"/>
          <w:kern w:val="0"/>
          <w:sz w:val="28"/>
          <w:szCs w:val="28"/>
          <w:u w:val="single"/>
        </w:rPr>
        <w:t>桂林医科大学第一附属医院</w:t>
      </w:r>
      <w:r>
        <w:rPr>
          <w:rFonts w:hint="eastAsia" w:ascii="宋体" w:hAnsi="宋体"/>
          <w:color w:val="auto"/>
          <w:sz w:val="28"/>
          <w:szCs w:val="28"/>
          <w:u w:val="single"/>
        </w:rPr>
        <w:t xml:space="preserve">  </w:t>
      </w:r>
      <w:r>
        <w:rPr>
          <w:rFonts w:hint="eastAsia" w:ascii="宋体" w:hAnsi="宋体"/>
          <w:color w:val="auto"/>
          <w:sz w:val="28"/>
          <w:szCs w:val="28"/>
        </w:rPr>
        <w:t xml:space="preserve">                    </w:t>
      </w:r>
    </w:p>
    <w:p w14:paraId="794CD06D">
      <w:pPr>
        <w:spacing w:line="420" w:lineRule="exact"/>
        <w:jc w:val="left"/>
        <w:rPr>
          <w:rFonts w:hint="eastAsia" w:ascii="宋体" w:hAnsi="宋体" w:cs="宋体"/>
          <w:color w:val="auto"/>
          <w:kern w:val="0"/>
          <w:sz w:val="28"/>
          <w:szCs w:val="28"/>
        </w:rPr>
      </w:pPr>
    </w:p>
    <w:p w14:paraId="112F044A">
      <w:pPr>
        <w:spacing w:line="420" w:lineRule="exact"/>
        <w:rPr>
          <w:rFonts w:ascii="宋体" w:hAnsi="宋体"/>
          <w:color w:val="auto"/>
          <w:sz w:val="28"/>
          <w:szCs w:val="28"/>
        </w:rPr>
      </w:pPr>
      <w:r>
        <w:rPr>
          <w:rFonts w:hint="eastAsia" w:ascii="宋体" w:hAnsi="宋体"/>
          <w:color w:val="auto"/>
          <w:sz w:val="28"/>
          <w:szCs w:val="28"/>
        </w:rPr>
        <w:t xml:space="preserve">乙方：    </w:t>
      </w:r>
    </w:p>
    <w:p w14:paraId="51DEB631">
      <w:pPr>
        <w:spacing w:line="420" w:lineRule="exact"/>
        <w:ind w:firstLine="560" w:firstLineChars="200"/>
        <w:rPr>
          <w:rFonts w:hint="eastAsia" w:ascii="宋体" w:hAnsi="宋体"/>
          <w:color w:val="auto"/>
          <w:sz w:val="28"/>
          <w:szCs w:val="28"/>
        </w:rPr>
      </w:pPr>
      <w:r>
        <w:rPr>
          <w:rFonts w:hint="eastAsia" w:ascii="宋体" w:hAnsi="宋体"/>
          <w:color w:val="auto"/>
          <w:sz w:val="28"/>
          <w:szCs w:val="28"/>
        </w:rPr>
        <w:t>为保证桂林医科大学第一附属医院（设备）</w:t>
      </w:r>
      <w:r>
        <w:rPr>
          <w:rFonts w:hint="eastAsia" w:ascii="宋体" w:hAnsi="宋体"/>
          <w:color w:val="auto"/>
          <w:sz w:val="28"/>
          <w:szCs w:val="28"/>
          <w:u w:val="single"/>
        </w:rPr>
        <w:t xml:space="preserve"> </w:t>
      </w:r>
      <w:r>
        <w:rPr>
          <w:rFonts w:hint="eastAsia" w:ascii="宋体" w:hAnsi="宋体" w:eastAsia="宋体" w:cs="Times New Roman"/>
          <w:color w:val="auto"/>
          <w:sz w:val="28"/>
          <w:szCs w:val="28"/>
          <w:u w:val="single"/>
        </w:rPr>
        <w:t xml:space="preserve"> 瓦里安/TRILOGY直线加</w:t>
      </w:r>
      <w:r>
        <w:rPr>
          <w:rFonts w:hint="eastAsia" w:ascii="宋体" w:hAnsi="宋体"/>
          <w:color w:val="auto"/>
          <w:sz w:val="28"/>
          <w:szCs w:val="28"/>
          <w:u w:val="single"/>
        </w:rPr>
        <w:t xml:space="preserve">速器  </w:t>
      </w:r>
      <w:r>
        <w:rPr>
          <w:rFonts w:hint="eastAsia" w:ascii="宋体" w:hAnsi="宋体"/>
          <w:color w:val="auto"/>
          <w:sz w:val="28"/>
          <w:szCs w:val="28"/>
        </w:rPr>
        <w:t>的正常运行，经友好协商，甲乙双方就</w:t>
      </w:r>
      <w:r>
        <w:rPr>
          <w:rFonts w:hint="eastAsia" w:ascii="宋体" w:hAnsi="宋体"/>
          <w:color w:val="auto"/>
          <w:sz w:val="28"/>
          <w:szCs w:val="28"/>
          <w:u w:val="single"/>
        </w:rPr>
        <w:t>保修所提供的技术以及人员服务</w:t>
      </w:r>
      <w:r>
        <w:rPr>
          <w:rFonts w:hint="eastAsia" w:ascii="宋体" w:hAnsi="宋体"/>
          <w:color w:val="auto"/>
          <w:sz w:val="28"/>
          <w:szCs w:val="28"/>
        </w:rPr>
        <w:t>签订本合同，共同信守。</w:t>
      </w:r>
    </w:p>
    <w:p w14:paraId="294A1A68">
      <w:pPr>
        <w:spacing w:line="420" w:lineRule="exact"/>
        <w:ind w:firstLine="560" w:firstLineChars="200"/>
        <w:rPr>
          <w:rFonts w:hint="eastAsia" w:ascii="宋体" w:hAnsi="宋体"/>
          <w:color w:val="auto"/>
          <w:sz w:val="28"/>
          <w:szCs w:val="28"/>
        </w:rPr>
      </w:pPr>
      <w:r>
        <w:rPr>
          <w:rFonts w:hint="eastAsia" w:ascii="宋体" w:hAnsi="宋体"/>
          <w:color w:val="auto"/>
          <w:sz w:val="28"/>
          <w:szCs w:val="28"/>
        </w:rPr>
        <w:t>一、保修设备名称、型号：</w:t>
      </w:r>
    </w:p>
    <w:p w14:paraId="0B3F1E8D">
      <w:pPr>
        <w:spacing w:line="420" w:lineRule="exact"/>
        <w:ind w:firstLine="560" w:firstLineChars="200"/>
        <w:rPr>
          <w:rFonts w:hint="eastAsia" w:ascii="宋体" w:hAnsi="宋体"/>
          <w:color w:val="auto"/>
          <w:sz w:val="28"/>
          <w:szCs w:val="28"/>
        </w:rPr>
      </w:pPr>
      <w:r>
        <w:rPr>
          <w:rFonts w:hint="eastAsia" w:ascii="宋体" w:hAnsi="宋体"/>
          <w:color w:val="auto"/>
          <w:sz w:val="28"/>
          <w:szCs w:val="28"/>
        </w:rPr>
        <w:t>名称：</w:t>
      </w:r>
    </w:p>
    <w:p w14:paraId="3A9EDCD9">
      <w:pPr>
        <w:spacing w:line="420" w:lineRule="exact"/>
        <w:ind w:firstLine="560" w:firstLineChars="200"/>
        <w:rPr>
          <w:rFonts w:hint="eastAsia" w:ascii="宋体" w:hAnsi="宋体"/>
          <w:color w:val="auto"/>
          <w:sz w:val="28"/>
          <w:szCs w:val="28"/>
        </w:rPr>
      </w:pPr>
      <w:r>
        <w:rPr>
          <w:rFonts w:hint="eastAsia" w:ascii="宋体" w:hAnsi="宋体"/>
          <w:color w:val="auto"/>
          <w:sz w:val="28"/>
          <w:szCs w:val="28"/>
        </w:rPr>
        <w:t>型号：</w:t>
      </w:r>
    </w:p>
    <w:p w14:paraId="0E43B690">
      <w:pPr>
        <w:spacing w:line="420" w:lineRule="exact"/>
        <w:ind w:firstLine="560" w:firstLineChars="200"/>
        <w:rPr>
          <w:rFonts w:hint="eastAsia" w:ascii="宋体" w:hAnsi="宋体"/>
          <w:color w:val="auto"/>
          <w:sz w:val="28"/>
          <w:szCs w:val="28"/>
        </w:rPr>
      </w:pPr>
      <w:r>
        <w:rPr>
          <w:rFonts w:hint="eastAsia" w:ascii="宋体" w:hAnsi="宋体"/>
          <w:color w:val="auto"/>
          <w:sz w:val="28"/>
          <w:szCs w:val="28"/>
        </w:rPr>
        <w:t>二、保修期限：</w:t>
      </w:r>
    </w:p>
    <w:p w14:paraId="0C4175DE">
      <w:pPr>
        <w:spacing w:line="420" w:lineRule="exact"/>
        <w:ind w:firstLine="560" w:firstLineChars="200"/>
        <w:rPr>
          <w:rFonts w:hint="eastAsia" w:ascii="宋体" w:hAnsi="宋体"/>
          <w:color w:val="auto"/>
          <w:sz w:val="28"/>
          <w:szCs w:val="28"/>
        </w:rPr>
      </w:pPr>
      <w:r>
        <w:rPr>
          <w:rFonts w:hint="eastAsia" w:ascii="宋体" w:hAnsi="宋体"/>
          <w:color w:val="auto"/>
          <w:sz w:val="28"/>
          <w:szCs w:val="28"/>
        </w:rPr>
        <w:t>期限</w:t>
      </w:r>
      <w:r>
        <w:rPr>
          <w:rFonts w:hint="eastAsia" w:ascii="宋体" w:hAnsi="宋体"/>
          <w:color w:val="auto"/>
          <w:sz w:val="28"/>
          <w:szCs w:val="28"/>
          <w:u w:val="single"/>
        </w:rPr>
        <w:t xml:space="preserve">    </w:t>
      </w:r>
      <w:r>
        <w:rPr>
          <w:rFonts w:hint="eastAsia" w:ascii="宋体" w:hAnsi="宋体"/>
          <w:color w:val="auto"/>
          <w:sz w:val="28"/>
          <w:szCs w:val="28"/>
        </w:rPr>
        <w:t>年，自20</w:t>
      </w:r>
      <w:r>
        <w:rPr>
          <w:rFonts w:hint="eastAsia" w:ascii="宋体" w:hAnsi="宋体"/>
          <w:color w:val="auto"/>
          <w:sz w:val="28"/>
          <w:szCs w:val="28"/>
          <w:u w:val="single"/>
        </w:rPr>
        <w:t xml:space="preserve">   </w:t>
      </w:r>
      <w:r>
        <w:rPr>
          <w:rFonts w:hint="eastAsia" w:ascii="宋体" w:hAnsi="宋体"/>
          <w:color w:val="auto"/>
          <w:sz w:val="28"/>
          <w:szCs w:val="28"/>
        </w:rPr>
        <w:t>年</w:t>
      </w:r>
      <w:r>
        <w:rPr>
          <w:rFonts w:hint="eastAsia" w:ascii="宋体" w:hAnsi="宋体"/>
          <w:color w:val="auto"/>
          <w:sz w:val="28"/>
          <w:szCs w:val="28"/>
          <w:u w:val="single"/>
        </w:rPr>
        <w:t xml:space="preserve">   </w:t>
      </w:r>
      <w:r>
        <w:rPr>
          <w:rFonts w:hint="eastAsia" w:ascii="宋体" w:hAnsi="宋体"/>
          <w:color w:val="auto"/>
          <w:sz w:val="28"/>
          <w:szCs w:val="28"/>
        </w:rPr>
        <w:t>月</w:t>
      </w:r>
      <w:r>
        <w:rPr>
          <w:rFonts w:hint="eastAsia" w:ascii="宋体" w:hAnsi="宋体"/>
          <w:color w:val="auto"/>
          <w:sz w:val="28"/>
          <w:szCs w:val="28"/>
          <w:u w:val="single"/>
        </w:rPr>
        <w:t xml:space="preserve">  </w:t>
      </w:r>
      <w:r>
        <w:rPr>
          <w:rFonts w:hint="eastAsia" w:ascii="宋体" w:hAnsi="宋体"/>
          <w:color w:val="auto"/>
          <w:sz w:val="28"/>
          <w:szCs w:val="28"/>
        </w:rPr>
        <w:t>日至</w:t>
      </w:r>
      <w:r>
        <w:rPr>
          <w:rFonts w:ascii="宋体" w:hAnsi="宋体"/>
          <w:color w:val="auto"/>
          <w:sz w:val="28"/>
          <w:szCs w:val="28"/>
        </w:rPr>
        <w:t>20</w:t>
      </w:r>
      <w:r>
        <w:rPr>
          <w:rFonts w:hint="eastAsia" w:ascii="宋体" w:hAnsi="宋体"/>
          <w:color w:val="auto"/>
          <w:sz w:val="28"/>
          <w:szCs w:val="28"/>
          <w:u w:val="single"/>
        </w:rPr>
        <w:t xml:space="preserve">   </w:t>
      </w:r>
      <w:r>
        <w:rPr>
          <w:rFonts w:hint="eastAsia" w:ascii="宋体" w:hAnsi="宋体"/>
          <w:color w:val="auto"/>
          <w:sz w:val="28"/>
          <w:szCs w:val="28"/>
        </w:rPr>
        <w:t>年</w:t>
      </w:r>
      <w:r>
        <w:rPr>
          <w:rFonts w:hint="eastAsia" w:ascii="宋体" w:hAnsi="宋体"/>
          <w:color w:val="auto"/>
          <w:sz w:val="28"/>
          <w:szCs w:val="28"/>
          <w:u w:val="single"/>
        </w:rPr>
        <w:t xml:space="preserve">   </w:t>
      </w:r>
      <w:r>
        <w:rPr>
          <w:rFonts w:hint="eastAsia" w:ascii="宋体" w:hAnsi="宋体"/>
          <w:color w:val="auto"/>
          <w:sz w:val="28"/>
          <w:szCs w:val="28"/>
        </w:rPr>
        <w:t>月</w:t>
      </w:r>
      <w:r>
        <w:rPr>
          <w:rFonts w:hint="eastAsia" w:ascii="宋体" w:hAnsi="宋体"/>
          <w:color w:val="auto"/>
          <w:sz w:val="28"/>
          <w:szCs w:val="28"/>
          <w:u w:val="single"/>
        </w:rPr>
        <w:t xml:space="preserve">     </w:t>
      </w:r>
      <w:r>
        <w:rPr>
          <w:rFonts w:hint="eastAsia" w:ascii="宋体" w:hAnsi="宋体"/>
          <w:color w:val="auto"/>
          <w:sz w:val="28"/>
          <w:szCs w:val="28"/>
        </w:rPr>
        <w:t>日止。</w:t>
      </w:r>
    </w:p>
    <w:p w14:paraId="4782B84E">
      <w:pPr>
        <w:spacing w:line="420" w:lineRule="exact"/>
        <w:ind w:firstLine="560" w:firstLineChars="200"/>
        <w:rPr>
          <w:rFonts w:hint="eastAsia" w:ascii="宋体" w:hAnsi="宋体"/>
          <w:color w:val="auto"/>
          <w:sz w:val="28"/>
          <w:szCs w:val="28"/>
        </w:rPr>
      </w:pPr>
      <w:r>
        <w:rPr>
          <w:rFonts w:hint="eastAsia" w:ascii="宋体" w:hAnsi="宋体"/>
          <w:color w:val="auto"/>
          <w:sz w:val="28"/>
          <w:szCs w:val="28"/>
        </w:rPr>
        <w:t>三、保修类型：</w:t>
      </w:r>
    </w:p>
    <w:p w14:paraId="76B484FD">
      <w:pPr>
        <w:spacing w:line="420" w:lineRule="exact"/>
        <w:ind w:firstLine="560" w:firstLineChars="200"/>
        <w:rPr>
          <w:rFonts w:hint="eastAsia" w:ascii="宋体" w:hAnsi="宋体"/>
          <w:color w:val="auto"/>
          <w:sz w:val="28"/>
          <w:szCs w:val="28"/>
        </w:rPr>
      </w:pPr>
      <w:r>
        <w:rPr>
          <w:rFonts w:hint="eastAsia" w:ascii="宋体" w:hAnsi="宋体"/>
          <w:color w:val="auto"/>
          <w:sz w:val="28"/>
          <w:szCs w:val="28"/>
        </w:rPr>
        <w:t>整机保修（含人工和零配件，不含</w:t>
      </w:r>
      <w:r>
        <w:rPr>
          <w:rFonts w:hint="eastAsia" w:ascii="宋体" w:hAnsi="宋体"/>
          <w:color w:val="auto"/>
          <w:sz w:val="28"/>
          <w:szCs w:val="28"/>
          <w:u w:val="single"/>
        </w:rPr>
        <w:t xml:space="preserve">            </w:t>
      </w:r>
      <w:r>
        <w:rPr>
          <w:rFonts w:hint="eastAsia" w:ascii="宋体" w:hAnsi="宋体"/>
          <w:color w:val="auto"/>
          <w:sz w:val="28"/>
          <w:szCs w:val="28"/>
        </w:rPr>
        <w:t>）。具体保修详细项目清单及范围详见附件。</w:t>
      </w:r>
    </w:p>
    <w:p w14:paraId="1F34AE10">
      <w:pPr>
        <w:spacing w:line="420" w:lineRule="exact"/>
        <w:ind w:firstLine="560" w:firstLineChars="200"/>
        <w:rPr>
          <w:rFonts w:hint="eastAsia" w:ascii="宋体" w:hAnsi="宋体"/>
          <w:color w:val="auto"/>
          <w:sz w:val="28"/>
          <w:szCs w:val="28"/>
        </w:rPr>
      </w:pPr>
      <w:r>
        <w:rPr>
          <w:rFonts w:hint="eastAsia" w:ascii="宋体" w:hAnsi="宋体"/>
          <w:color w:val="auto"/>
          <w:sz w:val="28"/>
          <w:szCs w:val="28"/>
        </w:rPr>
        <w:t>四、保修期内双方义务：</w:t>
      </w:r>
    </w:p>
    <w:p w14:paraId="0AB9FA84">
      <w:pPr>
        <w:spacing w:line="420" w:lineRule="exact"/>
        <w:ind w:firstLine="560" w:firstLineChars="200"/>
        <w:rPr>
          <w:rFonts w:hint="eastAsia" w:ascii="宋体" w:hAnsi="宋体"/>
          <w:color w:val="auto"/>
          <w:sz w:val="28"/>
          <w:szCs w:val="28"/>
        </w:rPr>
      </w:pPr>
      <w:r>
        <w:rPr>
          <w:rFonts w:hint="eastAsia" w:ascii="宋体" w:hAnsi="宋体"/>
          <w:color w:val="auto"/>
          <w:sz w:val="28"/>
          <w:szCs w:val="28"/>
        </w:rPr>
        <w:t>（一）甲方义务：</w:t>
      </w:r>
    </w:p>
    <w:p w14:paraId="0B0A4896">
      <w:pPr>
        <w:spacing w:line="420" w:lineRule="exact"/>
        <w:ind w:firstLine="560" w:firstLineChars="200"/>
        <w:rPr>
          <w:rFonts w:hint="eastAsia" w:ascii="宋体" w:hAnsi="宋体"/>
          <w:color w:val="auto"/>
          <w:sz w:val="28"/>
          <w:szCs w:val="28"/>
        </w:rPr>
      </w:pPr>
      <w:r>
        <w:rPr>
          <w:rFonts w:hint="eastAsia" w:ascii="宋体" w:hAnsi="宋体"/>
          <w:color w:val="auto"/>
          <w:sz w:val="28"/>
          <w:szCs w:val="28"/>
        </w:rPr>
        <w:t>1、甲方应保证设备使用环境稳定、可靠，按使用说明书要求对设备进行日常清洁保养和基本维护工作，做好故障报修。</w:t>
      </w:r>
    </w:p>
    <w:p w14:paraId="203ABE98">
      <w:pPr>
        <w:spacing w:line="420" w:lineRule="exact"/>
        <w:ind w:firstLine="560" w:firstLineChars="200"/>
        <w:rPr>
          <w:rFonts w:hint="eastAsia" w:ascii="宋体" w:hAnsi="宋体"/>
          <w:color w:val="auto"/>
          <w:sz w:val="28"/>
          <w:szCs w:val="28"/>
        </w:rPr>
      </w:pPr>
      <w:r>
        <w:rPr>
          <w:rFonts w:hint="eastAsia" w:ascii="宋体" w:hAnsi="宋体"/>
          <w:color w:val="auto"/>
          <w:sz w:val="28"/>
          <w:szCs w:val="28"/>
        </w:rPr>
        <w:t>2、保修期间，甲方有义务保存乙方人员所需的设备资料及故障记录以备使用。</w:t>
      </w:r>
    </w:p>
    <w:p w14:paraId="008219B6">
      <w:pPr>
        <w:spacing w:line="420" w:lineRule="exact"/>
        <w:ind w:firstLine="560" w:firstLineChars="200"/>
        <w:rPr>
          <w:rFonts w:hint="eastAsia" w:ascii="宋体" w:hAnsi="宋体"/>
          <w:color w:val="auto"/>
          <w:sz w:val="28"/>
          <w:szCs w:val="28"/>
        </w:rPr>
      </w:pPr>
      <w:r>
        <w:rPr>
          <w:rFonts w:hint="eastAsia" w:ascii="宋体" w:hAnsi="宋体"/>
          <w:color w:val="auto"/>
          <w:sz w:val="28"/>
          <w:szCs w:val="28"/>
        </w:rPr>
        <w:t>3、保修期间，甲方应按照设备使用手册的要求正确操作设备。</w:t>
      </w:r>
    </w:p>
    <w:p w14:paraId="258FE816">
      <w:pPr>
        <w:spacing w:line="420" w:lineRule="exact"/>
        <w:ind w:firstLine="560" w:firstLineChars="200"/>
        <w:rPr>
          <w:rFonts w:hint="eastAsia" w:ascii="宋体" w:hAnsi="宋体"/>
          <w:color w:val="auto"/>
          <w:sz w:val="28"/>
          <w:szCs w:val="28"/>
        </w:rPr>
      </w:pPr>
      <w:r>
        <w:rPr>
          <w:rFonts w:hint="eastAsia" w:ascii="宋体" w:hAnsi="宋体"/>
          <w:color w:val="auto"/>
          <w:sz w:val="28"/>
          <w:szCs w:val="28"/>
        </w:rPr>
        <w:t>（二）乙方义务：</w:t>
      </w:r>
    </w:p>
    <w:p w14:paraId="5AF16044">
      <w:pPr>
        <w:spacing w:line="420" w:lineRule="exact"/>
        <w:ind w:firstLine="560" w:firstLineChars="200"/>
        <w:rPr>
          <w:rFonts w:hint="eastAsia" w:ascii="宋体" w:hAnsi="宋体"/>
          <w:color w:val="auto"/>
          <w:sz w:val="28"/>
          <w:szCs w:val="28"/>
        </w:rPr>
      </w:pPr>
      <w:r>
        <w:rPr>
          <w:rFonts w:hint="eastAsia" w:ascii="宋体" w:hAnsi="宋体"/>
          <w:color w:val="auto"/>
          <w:sz w:val="28"/>
          <w:szCs w:val="28"/>
        </w:rPr>
        <w:t>1、乙方承担协议约定的设备保修责任，在接到甲方故障通知后，须给予明确答复，在24小时内赶到现场，由原厂认证合格的专业工程师提供快速优质的现场服务。</w:t>
      </w:r>
    </w:p>
    <w:p w14:paraId="4B3FF531">
      <w:pPr>
        <w:spacing w:line="420" w:lineRule="exact"/>
        <w:ind w:firstLine="560" w:firstLineChars="200"/>
        <w:rPr>
          <w:rFonts w:hint="eastAsia" w:ascii="宋体" w:hAnsi="宋体"/>
          <w:color w:val="auto"/>
          <w:sz w:val="28"/>
          <w:szCs w:val="28"/>
        </w:rPr>
      </w:pPr>
      <w:r>
        <w:rPr>
          <w:rFonts w:hint="eastAsia" w:ascii="宋体" w:hAnsi="宋体"/>
          <w:color w:val="auto"/>
          <w:sz w:val="28"/>
          <w:szCs w:val="28"/>
        </w:rPr>
        <w:t>2、乙方人员在维修期间的往返费用由乙方自理。</w:t>
      </w:r>
    </w:p>
    <w:p w14:paraId="78006C2D">
      <w:pPr>
        <w:spacing w:line="420" w:lineRule="exact"/>
        <w:ind w:firstLine="560" w:firstLineChars="200"/>
        <w:rPr>
          <w:rFonts w:hint="eastAsia" w:ascii="宋体" w:hAnsi="宋体"/>
          <w:color w:val="auto"/>
          <w:sz w:val="28"/>
          <w:szCs w:val="28"/>
        </w:rPr>
      </w:pPr>
      <w:r>
        <w:rPr>
          <w:rFonts w:hint="eastAsia" w:ascii="宋体" w:hAnsi="宋体"/>
          <w:color w:val="auto"/>
          <w:sz w:val="28"/>
          <w:szCs w:val="28"/>
        </w:rPr>
        <w:t>3、为保证甲方设备的正常运行，乙方按使用说明书要求提供每年四次定期预防性维护检测，乙方工程师向甲方提供计划性的预防性维护报告（记录）。乙方在预期保养时间的前两周通知甲方保养时间，如因甲方原因导致不能执行保养，乙方将不对此承担责任。计划性的预防性维护服务内容应列出清单。</w:t>
      </w:r>
    </w:p>
    <w:p w14:paraId="3AA773FD">
      <w:pPr>
        <w:spacing w:line="420" w:lineRule="exact"/>
        <w:ind w:firstLine="560" w:firstLineChars="200"/>
        <w:rPr>
          <w:rFonts w:hint="eastAsia" w:ascii="宋体" w:hAnsi="宋体"/>
          <w:color w:val="auto"/>
          <w:sz w:val="28"/>
          <w:szCs w:val="28"/>
        </w:rPr>
      </w:pPr>
      <w:r>
        <w:rPr>
          <w:rFonts w:hint="eastAsia" w:ascii="宋体" w:hAnsi="宋体"/>
          <w:color w:val="auto"/>
          <w:sz w:val="28"/>
          <w:szCs w:val="28"/>
        </w:rPr>
        <w:t>4、乙方在系统故障维修过程中，必须免费更换配件，承担人工费、搬运费、安装调试费及系统软件升级费等一切费用。</w:t>
      </w:r>
    </w:p>
    <w:p w14:paraId="195A1E96">
      <w:pPr>
        <w:spacing w:line="420" w:lineRule="exact"/>
        <w:ind w:firstLine="548" w:firstLineChars="196"/>
        <w:rPr>
          <w:rFonts w:hint="eastAsia" w:ascii="宋体" w:hAnsi="宋体"/>
          <w:bCs/>
          <w:color w:val="auto"/>
          <w:sz w:val="28"/>
          <w:szCs w:val="28"/>
        </w:rPr>
      </w:pPr>
      <w:r>
        <w:rPr>
          <w:rFonts w:hint="eastAsia" w:ascii="宋体" w:hAnsi="宋体"/>
          <w:bCs/>
          <w:color w:val="auto"/>
          <w:sz w:val="28"/>
          <w:szCs w:val="28"/>
        </w:rPr>
        <w:t>5、乙方承诺在保修期内，每个保修年度内，保证设备正常开机率不低于</w:t>
      </w:r>
      <w:r>
        <w:rPr>
          <w:rFonts w:hint="eastAsia" w:ascii="宋体" w:hAnsi="宋体"/>
          <w:bCs/>
          <w:color w:val="auto"/>
          <w:sz w:val="28"/>
          <w:szCs w:val="28"/>
          <w:lang w:val="en-US" w:eastAsia="zh-CN"/>
        </w:rPr>
        <w:t>96%</w:t>
      </w:r>
      <w:r>
        <w:rPr>
          <w:rFonts w:hint="eastAsia" w:ascii="宋体" w:hAnsi="宋体"/>
          <w:bCs/>
          <w:color w:val="auto"/>
          <w:sz w:val="28"/>
          <w:szCs w:val="28"/>
        </w:rPr>
        <w:t>，不得影响科室使用。</w:t>
      </w:r>
    </w:p>
    <w:p w14:paraId="17E6EAA6">
      <w:pPr>
        <w:spacing w:line="420" w:lineRule="exact"/>
        <w:ind w:firstLine="548" w:firstLineChars="196"/>
        <w:rPr>
          <w:rFonts w:hint="eastAsia" w:ascii="宋体" w:hAnsi="宋体"/>
          <w:bCs/>
          <w:color w:val="auto"/>
          <w:sz w:val="28"/>
          <w:szCs w:val="28"/>
        </w:rPr>
      </w:pPr>
      <w:r>
        <w:rPr>
          <w:rFonts w:hint="eastAsia" w:ascii="宋体" w:hAnsi="宋体"/>
          <w:bCs/>
          <w:color w:val="auto"/>
          <w:sz w:val="28"/>
          <w:szCs w:val="28"/>
        </w:rPr>
        <w:t>6、保修期内，每次故障维修维护、检测、校准等工作，必须提供记录并到设备科确认。</w:t>
      </w:r>
    </w:p>
    <w:p w14:paraId="3421DF3A">
      <w:pPr>
        <w:spacing w:line="420" w:lineRule="exact"/>
        <w:ind w:firstLine="548" w:firstLineChars="196"/>
        <w:rPr>
          <w:rFonts w:hint="eastAsia" w:ascii="宋体" w:hAnsi="宋体"/>
          <w:bCs/>
          <w:color w:val="auto"/>
          <w:sz w:val="28"/>
          <w:szCs w:val="28"/>
        </w:rPr>
      </w:pPr>
      <w:r>
        <w:rPr>
          <w:rFonts w:hint="eastAsia" w:ascii="宋体" w:hAnsi="宋体"/>
          <w:bCs/>
          <w:color w:val="auto"/>
          <w:sz w:val="28"/>
          <w:szCs w:val="28"/>
        </w:rPr>
        <w:t>7、乙方维修人员在维修期间，必须遵守院方在安全、防盗、停车、环境卫生等方面的有关规定，否则一切后果自负。</w:t>
      </w:r>
    </w:p>
    <w:p w14:paraId="38D9D833">
      <w:pPr>
        <w:spacing w:line="420" w:lineRule="exact"/>
        <w:ind w:firstLine="548" w:firstLineChars="196"/>
        <w:rPr>
          <w:rFonts w:hint="eastAsia" w:ascii="宋体" w:hAnsi="宋体"/>
          <w:bCs/>
          <w:color w:val="auto"/>
          <w:sz w:val="28"/>
          <w:szCs w:val="28"/>
        </w:rPr>
      </w:pPr>
      <w:r>
        <w:rPr>
          <w:rFonts w:hint="eastAsia" w:ascii="宋体" w:hAnsi="宋体"/>
          <w:bCs/>
          <w:color w:val="auto"/>
          <w:sz w:val="28"/>
          <w:szCs w:val="28"/>
        </w:rPr>
        <w:t>五、保修费及支付方式：</w:t>
      </w:r>
    </w:p>
    <w:p w14:paraId="6CB6C19F">
      <w:pPr>
        <w:spacing w:line="420" w:lineRule="exact"/>
        <w:ind w:firstLine="548" w:firstLineChars="196"/>
        <w:rPr>
          <w:rFonts w:hint="eastAsia" w:ascii="宋体" w:hAnsi="宋体"/>
          <w:color w:val="auto"/>
          <w:sz w:val="28"/>
          <w:szCs w:val="28"/>
        </w:rPr>
      </w:pPr>
      <w:r>
        <w:rPr>
          <w:rFonts w:hint="eastAsia" w:ascii="宋体" w:hAnsi="宋体"/>
          <w:bCs/>
          <w:color w:val="auto"/>
          <w:sz w:val="28"/>
          <w:szCs w:val="28"/>
        </w:rPr>
        <w:t>1、保修费总额（人民币）：￥</w:t>
      </w:r>
      <w:r>
        <w:rPr>
          <w:rFonts w:hint="eastAsia" w:ascii="宋体" w:hAnsi="宋体"/>
          <w:color w:val="auto"/>
          <w:sz w:val="28"/>
          <w:szCs w:val="28"/>
          <w:u w:val="single"/>
        </w:rPr>
        <w:t xml:space="preserve">      </w:t>
      </w:r>
      <w:r>
        <w:rPr>
          <w:rFonts w:hint="eastAsia" w:ascii="宋体" w:hAnsi="宋体"/>
          <w:color w:val="auto"/>
          <w:sz w:val="28"/>
          <w:szCs w:val="28"/>
        </w:rPr>
        <w:t>元整，大写：</w:t>
      </w:r>
      <w:r>
        <w:rPr>
          <w:rFonts w:hint="eastAsia" w:ascii="宋体" w:hAnsi="宋体" w:cs="Arial"/>
          <w:color w:val="auto"/>
          <w:sz w:val="28"/>
          <w:szCs w:val="28"/>
          <w:u w:val="single"/>
          <w:shd w:val="clear" w:color="auto" w:fill="FFFFFF"/>
        </w:rPr>
        <w:t xml:space="preserve">            </w:t>
      </w:r>
      <w:r>
        <w:rPr>
          <w:rFonts w:hint="eastAsia" w:ascii="宋体" w:hAnsi="宋体" w:cs="Arial"/>
          <w:color w:val="auto"/>
          <w:sz w:val="28"/>
          <w:szCs w:val="28"/>
          <w:shd w:val="clear" w:color="auto" w:fill="FFFFFF"/>
        </w:rPr>
        <w:t>。</w:t>
      </w:r>
    </w:p>
    <w:p w14:paraId="1DF2DC81">
      <w:pPr>
        <w:widowControl/>
        <w:spacing w:line="420" w:lineRule="exact"/>
        <w:ind w:firstLine="560" w:firstLineChars="200"/>
        <w:jc w:val="left"/>
        <w:rPr>
          <w:rFonts w:ascii="宋体" w:hAnsi="宋体" w:cs="宋体"/>
          <w:color w:val="auto"/>
          <w:kern w:val="0"/>
          <w:sz w:val="28"/>
          <w:szCs w:val="28"/>
        </w:rPr>
      </w:pPr>
      <w:r>
        <w:rPr>
          <w:rFonts w:hint="eastAsia" w:ascii="宋体" w:hAnsi="宋体"/>
          <w:bCs/>
          <w:color w:val="auto"/>
          <w:sz w:val="28"/>
          <w:szCs w:val="28"/>
        </w:rPr>
        <w:t>2、支付方式：（按甲乙双方约定的方式付款）</w:t>
      </w:r>
      <w:r>
        <w:rPr>
          <w:rFonts w:hint="eastAsia" w:ascii="宋体" w:hAnsi="宋体" w:cs="宋体"/>
          <w:color w:val="auto"/>
          <w:kern w:val="0"/>
          <w:sz w:val="28"/>
          <w:szCs w:val="28"/>
        </w:rPr>
        <w:t>甲乙双方在签订合同后，乙方在</w:t>
      </w:r>
      <w:r>
        <w:rPr>
          <w:rFonts w:hint="eastAsia" w:ascii="宋体" w:hAnsi="宋体"/>
          <w:bCs/>
          <w:color w:val="auto"/>
          <w:sz w:val="28"/>
          <w:szCs w:val="28"/>
        </w:rPr>
        <w:t>一个月内开具税务发票，甲方收到税务发票后转账支付合同款的</w:t>
      </w:r>
      <w:r>
        <w:rPr>
          <w:rFonts w:hint="eastAsia" w:ascii="宋体" w:hAnsi="宋体" w:cs="宋体"/>
          <w:color w:val="auto"/>
          <w:kern w:val="0"/>
          <w:sz w:val="28"/>
          <w:szCs w:val="28"/>
        </w:rPr>
        <w:t>10%，第一保修年结束</w:t>
      </w:r>
      <w:r>
        <w:rPr>
          <w:rFonts w:hint="eastAsia" w:ascii="宋体" w:hAnsi="宋体"/>
          <w:bCs/>
          <w:color w:val="auto"/>
          <w:sz w:val="28"/>
          <w:szCs w:val="28"/>
        </w:rPr>
        <w:t>后一个月内开具税务发票，甲方收到税务发票后转账支付合同款的</w:t>
      </w:r>
      <w:r>
        <w:rPr>
          <w:rFonts w:hint="eastAsia" w:ascii="宋体" w:hAnsi="宋体" w:cs="宋体"/>
          <w:color w:val="auto"/>
          <w:kern w:val="0"/>
          <w:sz w:val="28"/>
          <w:szCs w:val="28"/>
        </w:rPr>
        <w:t>30%，第二保修年结束</w:t>
      </w:r>
      <w:r>
        <w:rPr>
          <w:rFonts w:hint="eastAsia" w:ascii="宋体" w:hAnsi="宋体"/>
          <w:bCs/>
          <w:color w:val="auto"/>
          <w:sz w:val="28"/>
          <w:szCs w:val="28"/>
        </w:rPr>
        <w:t>后一个月内开具税务发票，甲方收到税务发票后转账支付合同款的</w:t>
      </w:r>
      <w:r>
        <w:rPr>
          <w:rFonts w:hint="eastAsia" w:ascii="宋体" w:hAnsi="宋体" w:cs="宋体"/>
          <w:color w:val="auto"/>
          <w:kern w:val="0"/>
          <w:sz w:val="28"/>
          <w:szCs w:val="28"/>
        </w:rPr>
        <w:t>30%，第三保修年结束并服务合格</w:t>
      </w:r>
      <w:r>
        <w:rPr>
          <w:rFonts w:hint="eastAsia" w:ascii="宋体" w:hAnsi="宋体"/>
          <w:bCs/>
          <w:color w:val="auto"/>
          <w:sz w:val="28"/>
          <w:szCs w:val="28"/>
        </w:rPr>
        <w:t>后一个月内开具税务发票，甲方收到税务发票后转账支付合同款的</w:t>
      </w:r>
      <w:r>
        <w:rPr>
          <w:rFonts w:hint="eastAsia" w:ascii="宋体" w:hAnsi="宋体" w:cs="宋体"/>
          <w:color w:val="auto"/>
          <w:kern w:val="0"/>
          <w:sz w:val="28"/>
          <w:szCs w:val="28"/>
        </w:rPr>
        <w:t>3</w:t>
      </w:r>
      <w:r>
        <w:rPr>
          <w:rFonts w:ascii="宋体" w:hAnsi="宋体" w:cs="宋体"/>
          <w:color w:val="auto"/>
          <w:kern w:val="0"/>
          <w:sz w:val="28"/>
          <w:szCs w:val="28"/>
        </w:rPr>
        <w:t>0</w:t>
      </w:r>
      <w:r>
        <w:rPr>
          <w:rFonts w:hint="eastAsia" w:ascii="宋体" w:hAnsi="宋体" w:cs="宋体"/>
          <w:color w:val="auto"/>
          <w:kern w:val="0"/>
          <w:sz w:val="28"/>
          <w:szCs w:val="28"/>
        </w:rPr>
        <w:t>%给乙方（无息）。</w:t>
      </w:r>
    </w:p>
    <w:p w14:paraId="620E06AA">
      <w:pPr>
        <w:spacing w:line="420" w:lineRule="exact"/>
        <w:ind w:firstLine="560" w:firstLineChars="200"/>
        <w:rPr>
          <w:rFonts w:hint="eastAsia" w:ascii="宋体" w:hAnsi="宋体"/>
          <w:color w:val="auto"/>
          <w:sz w:val="28"/>
          <w:szCs w:val="28"/>
        </w:rPr>
      </w:pPr>
      <w:r>
        <w:rPr>
          <w:rFonts w:hint="eastAsia" w:ascii="宋体" w:hAnsi="宋体"/>
          <w:color w:val="auto"/>
          <w:sz w:val="28"/>
          <w:szCs w:val="28"/>
        </w:rPr>
        <w:t>六、违约责任：</w:t>
      </w:r>
    </w:p>
    <w:p w14:paraId="44B78A10">
      <w:pPr>
        <w:spacing w:line="420" w:lineRule="exact"/>
        <w:ind w:firstLine="560" w:firstLineChars="200"/>
        <w:rPr>
          <w:rFonts w:hint="eastAsia" w:ascii="宋体" w:hAnsi="宋体"/>
          <w:bCs/>
          <w:color w:val="auto"/>
          <w:sz w:val="28"/>
          <w:szCs w:val="28"/>
        </w:rPr>
      </w:pPr>
      <w:r>
        <w:rPr>
          <w:rFonts w:hint="eastAsia" w:ascii="宋体" w:hAnsi="宋体"/>
          <w:bCs/>
          <w:color w:val="auto"/>
          <w:sz w:val="28"/>
          <w:szCs w:val="28"/>
        </w:rPr>
        <w:t>1、因乙方不履行合同或履行合同不符合约定而给甲方造成损失的，乙方负责赔偿直接损失，该损失赔偿额以合同价款为限。</w:t>
      </w:r>
    </w:p>
    <w:p w14:paraId="5B3E857D">
      <w:pPr>
        <w:spacing w:line="420" w:lineRule="exact"/>
        <w:ind w:firstLine="560" w:firstLineChars="200"/>
        <w:rPr>
          <w:rFonts w:ascii="宋体" w:hAnsi="宋体"/>
          <w:color w:val="auto"/>
          <w:sz w:val="28"/>
          <w:szCs w:val="28"/>
        </w:rPr>
      </w:pPr>
      <w:r>
        <w:rPr>
          <w:rFonts w:hint="eastAsia" w:ascii="宋体" w:hAnsi="宋体"/>
          <w:bCs/>
          <w:color w:val="auto"/>
          <w:sz w:val="28"/>
          <w:szCs w:val="28"/>
        </w:rPr>
        <w:t>2、</w:t>
      </w:r>
      <w:r>
        <w:rPr>
          <w:rFonts w:hint="eastAsia" w:ascii="宋体" w:hAnsi="宋体"/>
          <w:color w:val="auto"/>
          <w:sz w:val="28"/>
          <w:szCs w:val="28"/>
        </w:rPr>
        <w:t>乙方未在承诺时间内到达现场处理设备故障的，每次扣除合同款的1%，总金额不超过合同款的5%。</w:t>
      </w:r>
    </w:p>
    <w:p w14:paraId="47AE4AE7">
      <w:pPr>
        <w:spacing w:line="420" w:lineRule="exact"/>
        <w:ind w:firstLine="548" w:firstLineChars="196"/>
        <w:rPr>
          <w:rFonts w:hint="eastAsia" w:ascii="宋体" w:hAnsi="宋体"/>
          <w:bCs/>
          <w:color w:val="auto"/>
          <w:sz w:val="28"/>
          <w:szCs w:val="28"/>
        </w:rPr>
      </w:pPr>
      <w:r>
        <w:rPr>
          <w:rFonts w:hint="eastAsia" w:ascii="宋体" w:hAnsi="宋体"/>
          <w:bCs/>
          <w:color w:val="auto"/>
          <w:sz w:val="28"/>
          <w:szCs w:val="28"/>
        </w:rPr>
        <w:t>3、</w:t>
      </w:r>
      <w:r>
        <w:rPr>
          <w:rFonts w:hint="eastAsia" w:ascii="宋体" w:hAnsi="宋体" w:eastAsia="宋体" w:cs="Times New Roman"/>
          <w:bCs/>
          <w:color w:val="auto"/>
          <w:sz w:val="28"/>
          <w:szCs w:val="28"/>
          <w:lang w:eastAsia="zh-CN"/>
        </w:rPr>
        <w:t>乙方</w:t>
      </w:r>
      <w:r>
        <w:rPr>
          <w:rFonts w:hint="eastAsia" w:ascii="宋体" w:hAnsi="宋体" w:eastAsia="宋体" w:cs="Times New Roman"/>
          <w:bCs/>
          <w:color w:val="auto"/>
          <w:sz w:val="28"/>
          <w:szCs w:val="28"/>
        </w:rPr>
        <w:t>在合同期内保证设备96%的开机率（按365日计算，停机时间不能超过15天）。对于开机率低于96%的每一个百分点(3天)，维修合同期限将相应延长7个日历日；不够一个百分点的，则每超过一天，则维保期往后顺延2天</w:t>
      </w:r>
      <w:r>
        <w:rPr>
          <w:rFonts w:hint="eastAsia" w:ascii="宋体" w:hAnsi="宋体"/>
          <w:bCs/>
          <w:color w:val="auto"/>
          <w:sz w:val="28"/>
          <w:szCs w:val="28"/>
        </w:rPr>
        <w:t>。</w:t>
      </w:r>
    </w:p>
    <w:p w14:paraId="036443CD">
      <w:pPr>
        <w:spacing w:line="420" w:lineRule="exact"/>
        <w:ind w:firstLine="548" w:firstLineChars="196"/>
        <w:rPr>
          <w:rFonts w:hint="eastAsia" w:ascii="宋体" w:hAnsi="宋体"/>
          <w:bCs/>
          <w:color w:val="auto"/>
          <w:sz w:val="28"/>
          <w:szCs w:val="28"/>
        </w:rPr>
      </w:pPr>
      <w:r>
        <w:rPr>
          <w:rFonts w:hint="eastAsia" w:ascii="宋体" w:hAnsi="宋体"/>
          <w:color w:val="auto"/>
          <w:sz w:val="28"/>
          <w:szCs w:val="28"/>
        </w:rPr>
        <w:t>七、乙方在保修期内维护保养的次数及内容、更换维修配件的数目及发生的所有费用，以保修期结束后甲乙双方共同核对为准，相关文件交甲方存档。</w:t>
      </w:r>
    </w:p>
    <w:p w14:paraId="0CC255E7">
      <w:pPr>
        <w:spacing w:line="420" w:lineRule="exact"/>
        <w:ind w:firstLine="560" w:firstLineChars="200"/>
        <w:rPr>
          <w:rFonts w:ascii="宋体" w:hAnsi="宋体"/>
          <w:color w:val="auto"/>
          <w:sz w:val="28"/>
          <w:szCs w:val="28"/>
        </w:rPr>
      </w:pPr>
      <w:r>
        <w:rPr>
          <w:rFonts w:hint="eastAsia" w:ascii="宋体" w:hAnsi="宋体"/>
          <w:bCs/>
          <w:color w:val="auto"/>
          <w:sz w:val="28"/>
          <w:szCs w:val="28"/>
        </w:rPr>
        <w:t>八、</w:t>
      </w:r>
      <w:r>
        <w:rPr>
          <w:rFonts w:hint="eastAsia" w:ascii="宋体" w:hAnsi="宋体"/>
          <w:color w:val="auto"/>
          <w:sz w:val="28"/>
          <w:szCs w:val="28"/>
        </w:rPr>
        <w:t>合同执行期间如不能履行或需要修改，必须经双方同意，并互相换文或另订合同，方为有效。</w:t>
      </w:r>
    </w:p>
    <w:p w14:paraId="3ED17CBC">
      <w:pPr>
        <w:spacing w:line="420" w:lineRule="exact"/>
        <w:ind w:firstLine="560" w:firstLineChars="200"/>
        <w:rPr>
          <w:rFonts w:ascii="宋体" w:hAnsi="宋体"/>
          <w:color w:val="auto"/>
          <w:sz w:val="28"/>
          <w:szCs w:val="28"/>
        </w:rPr>
      </w:pPr>
      <w:r>
        <w:rPr>
          <w:rFonts w:hint="eastAsia" w:ascii="宋体" w:hAnsi="宋体"/>
          <w:color w:val="auto"/>
          <w:sz w:val="28"/>
          <w:szCs w:val="28"/>
        </w:rPr>
        <w:t>九、纠纷的解决方式：因合同引起的或与本合同有关的任何争议，由双方当事人协商解决；也可以向有关部门申请调解。协商或调解不成，当事人可依照有关法律规定将争议提交仲裁，或向甲方所在地的人民法院起诉。</w:t>
      </w:r>
    </w:p>
    <w:p w14:paraId="4E70CF51">
      <w:pPr>
        <w:spacing w:line="420" w:lineRule="exact"/>
        <w:ind w:firstLine="560" w:firstLineChars="200"/>
        <w:rPr>
          <w:rFonts w:ascii="宋体" w:hAnsi="宋体"/>
          <w:color w:val="auto"/>
          <w:sz w:val="28"/>
          <w:szCs w:val="28"/>
        </w:rPr>
      </w:pPr>
      <w:r>
        <w:rPr>
          <w:rFonts w:hint="eastAsia" w:ascii="宋体" w:hAnsi="宋体"/>
          <w:color w:val="auto"/>
          <w:sz w:val="28"/>
          <w:szCs w:val="28"/>
        </w:rPr>
        <w:t>十、</w:t>
      </w:r>
      <w:r>
        <w:rPr>
          <w:rFonts w:hint="eastAsia" w:ascii="宋体" w:hAnsi="宋体" w:cs="Arial"/>
          <w:color w:val="auto"/>
          <w:sz w:val="28"/>
          <w:szCs w:val="28"/>
        </w:rPr>
        <w:t>本合同一式</w:t>
      </w:r>
      <w:r>
        <w:rPr>
          <w:rFonts w:hint="eastAsia" w:ascii="宋体" w:hAnsi="宋体" w:cs="Arial"/>
          <w:color w:val="auto"/>
          <w:sz w:val="28"/>
          <w:szCs w:val="28"/>
          <w:lang w:eastAsia="zh-CN"/>
        </w:rPr>
        <w:t>伍</w:t>
      </w:r>
      <w:r>
        <w:rPr>
          <w:rFonts w:hint="eastAsia" w:ascii="宋体" w:hAnsi="宋体" w:cs="Arial"/>
          <w:color w:val="auto"/>
          <w:sz w:val="28"/>
          <w:szCs w:val="28"/>
        </w:rPr>
        <w:t>份，甲方执叁份，乙方执壹份</w:t>
      </w:r>
      <w:r>
        <w:rPr>
          <w:rFonts w:hint="eastAsia" w:ascii="宋体" w:hAnsi="宋体" w:cs="Arial"/>
          <w:color w:val="auto"/>
          <w:sz w:val="28"/>
          <w:szCs w:val="28"/>
          <w:lang w:eastAsia="zh-CN"/>
        </w:rPr>
        <w:t>，代理机构</w:t>
      </w:r>
      <w:r>
        <w:rPr>
          <w:rFonts w:hint="eastAsia" w:ascii="宋体" w:hAnsi="宋体" w:cs="Arial"/>
          <w:color w:val="auto"/>
          <w:sz w:val="28"/>
          <w:szCs w:val="28"/>
        </w:rPr>
        <w:t>壹份。本合同经甲乙双方签字盖章后生效，补充协议含售后服务承诺书等，与本合同具有同等法律效力。本合同仅对本次临时紧急采购有效。如甲乙双方合同条款内容不一致，以甲方存档的文本为正本。</w:t>
      </w:r>
    </w:p>
    <w:p w14:paraId="03D15F93">
      <w:pPr>
        <w:spacing w:line="400" w:lineRule="exact"/>
        <w:ind w:firstLine="560" w:firstLineChars="200"/>
        <w:rPr>
          <w:rFonts w:hint="eastAsia" w:ascii="宋体" w:hAnsi="宋体" w:cs="Arial"/>
          <w:color w:val="auto"/>
          <w:sz w:val="28"/>
          <w:szCs w:val="28"/>
        </w:rPr>
      </w:pPr>
      <w:r>
        <w:rPr>
          <w:rFonts w:hint="eastAsia" w:ascii="宋体" w:hAnsi="宋体" w:cs="Arial"/>
          <w:color w:val="auto"/>
          <w:sz w:val="28"/>
          <w:szCs w:val="28"/>
        </w:rPr>
        <w:t>十一、本合同尾部及《廉洁合同》载明的乙方地址及联系人用于接收往来函件及诉讼法律文书，且适用于因本合同履行相关的一切纠纷处理程序（如仲裁、诉讼、执行等）的送达。如有变更乙方需以书面方式通知甲方，未书面通知变更的，凡向合同记载地址或联系方式发送的文件及信息，无论是否实际收到，均视为有效送达。</w:t>
      </w:r>
    </w:p>
    <w:p w14:paraId="4FE26F3D">
      <w:pPr>
        <w:spacing w:line="400" w:lineRule="exact"/>
        <w:ind w:firstLine="562" w:firstLineChars="200"/>
        <w:rPr>
          <w:rFonts w:hint="eastAsia" w:ascii="宋体" w:hAnsi="宋体" w:cs="Arial"/>
          <w:b/>
          <w:color w:val="auto"/>
          <w:sz w:val="28"/>
          <w:szCs w:val="28"/>
        </w:rPr>
      </w:pPr>
      <w:r>
        <w:rPr>
          <w:rFonts w:hint="eastAsia" w:ascii="宋体" w:hAnsi="宋体" w:cs="Arial"/>
          <w:b/>
          <w:color w:val="auto"/>
          <w:sz w:val="28"/>
          <w:szCs w:val="28"/>
        </w:rPr>
        <w:t>十二、本合同如有未尽事宜，甲乙双方另行协商。</w:t>
      </w:r>
    </w:p>
    <w:p w14:paraId="73F8F85F">
      <w:pPr>
        <w:spacing w:line="400" w:lineRule="exact"/>
        <w:ind w:firstLine="562" w:firstLineChars="200"/>
        <w:rPr>
          <w:rFonts w:hint="eastAsia" w:ascii="宋体" w:hAnsi="宋体" w:cs="Arial"/>
          <w:b/>
          <w:color w:val="auto"/>
          <w:sz w:val="28"/>
          <w:szCs w:val="28"/>
        </w:rPr>
      </w:pPr>
      <w:r>
        <w:rPr>
          <w:rFonts w:hint="eastAsia" w:ascii="宋体" w:hAnsi="宋体" w:cs="Arial"/>
          <w:b/>
          <w:color w:val="auto"/>
          <w:sz w:val="28"/>
          <w:szCs w:val="28"/>
        </w:rPr>
        <w:t>十三、附件：</w:t>
      </w:r>
    </w:p>
    <w:tbl>
      <w:tblPr>
        <w:tblStyle w:val="28"/>
        <w:tblW w:w="0" w:type="auto"/>
        <w:jc w:val="center"/>
        <w:tblLayout w:type="autofit"/>
        <w:tblCellMar>
          <w:top w:w="0" w:type="dxa"/>
          <w:left w:w="108" w:type="dxa"/>
          <w:bottom w:w="0" w:type="dxa"/>
          <w:right w:w="108" w:type="dxa"/>
        </w:tblCellMar>
      </w:tblPr>
      <w:tblGrid>
        <w:gridCol w:w="4600"/>
        <w:gridCol w:w="4495"/>
      </w:tblGrid>
      <w:tr w14:paraId="55A646AE">
        <w:tblPrEx>
          <w:tblCellMar>
            <w:top w:w="0" w:type="dxa"/>
            <w:left w:w="108" w:type="dxa"/>
            <w:bottom w:w="0" w:type="dxa"/>
            <w:right w:w="108" w:type="dxa"/>
          </w:tblCellMar>
        </w:tblPrEx>
        <w:trPr>
          <w:jc w:val="center"/>
        </w:trPr>
        <w:tc>
          <w:tcPr>
            <w:tcW w:w="4984" w:type="dxa"/>
            <w:shd w:val="clear" w:color="auto" w:fill="auto"/>
            <w:noWrap w:val="0"/>
            <w:vAlign w:val="top"/>
          </w:tcPr>
          <w:p w14:paraId="56D558FD">
            <w:pPr>
              <w:spacing w:line="480" w:lineRule="auto"/>
              <w:rPr>
                <w:rFonts w:hint="eastAsia" w:ascii="宋体" w:hAnsi="宋体" w:cs="Arial"/>
                <w:color w:val="auto"/>
                <w:sz w:val="28"/>
                <w:szCs w:val="28"/>
              </w:rPr>
            </w:pPr>
            <w:r>
              <w:rPr>
                <w:rFonts w:hint="eastAsia" w:ascii="宋体" w:hAnsi="宋体" w:cs="Arial"/>
                <w:color w:val="auto"/>
                <w:sz w:val="28"/>
                <w:szCs w:val="28"/>
              </w:rPr>
              <w:t>甲方（盖章）：桂林医科大学第一附属医院</w:t>
            </w:r>
          </w:p>
        </w:tc>
        <w:tc>
          <w:tcPr>
            <w:tcW w:w="4984" w:type="dxa"/>
            <w:shd w:val="clear" w:color="auto" w:fill="auto"/>
            <w:noWrap w:val="0"/>
            <w:vAlign w:val="top"/>
          </w:tcPr>
          <w:p w14:paraId="31FD93BB">
            <w:pPr>
              <w:spacing w:line="480" w:lineRule="auto"/>
              <w:rPr>
                <w:rFonts w:hint="eastAsia" w:ascii="宋体" w:hAnsi="宋体" w:cs="Arial"/>
                <w:color w:val="auto"/>
                <w:sz w:val="28"/>
                <w:szCs w:val="28"/>
              </w:rPr>
            </w:pPr>
            <w:r>
              <w:rPr>
                <w:rFonts w:hint="eastAsia" w:ascii="宋体" w:hAnsi="宋体" w:cs="Arial"/>
                <w:color w:val="auto"/>
                <w:sz w:val="28"/>
                <w:szCs w:val="28"/>
              </w:rPr>
              <w:t>乙方（盖章）：</w:t>
            </w:r>
          </w:p>
        </w:tc>
      </w:tr>
      <w:tr w14:paraId="510A8A5A">
        <w:tblPrEx>
          <w:tblCellMar>
            <w:top w:w="0" w:type="dxa"/>
            <w:left w:w="108" w:type="dxa"/>
            <w:bottom w:w="0" w:type="dxa"/>
            <w:right w:w="108" w:type="dxa"/>
          </w:tblCellMar>
        </w:tblPrEx>
        <w:trPr>
          <w:jc w:val="center"/>
        </w:trPr>
        <w:tc>
          <w:tcPr>
            <w:tcW w:w="4984" w:type="dxa"/>
            <w:shd w:val="clear" w:color="auto" w:fill="auto"/>
            <w:noWrap w:val="0"/>
            <w:vAlign w:val="top"/>
          </w:tcPr>
          <w:p w14:paraId="271A66CD">
            <w:pPr>
              <w:spacing w:line="480" w:lineRule="auto"/>
              <w:rPr>
                <w:rFonts w:hint="eastAsia" w:ascii="宋体" w:hAnsi="宋体" w:cs="Arial"/>
                <w:color w:val="auto"/>
                <w:sz w:val="28"/>
                <w:szCs w:val="28"/>
              </w:rPr>
            </w:pPr>
            <w:r>
              <w:rPr>
                <w:rFonts w:hint="eastAsia" w:ascii="宋体" w:hAnsi="宋体" w:cs="Arial"/>
                <w:color w:val="auto"/>
                <w:sz w:val="28"/>
                <w:szCs w:val="28"/>
              </w:rPr>
              <w:t>地址：桂林市秀峰区乐群路15号</w:t>
            </w:r>
          </w:p>
        </w:tc>
        <w:tc>
          <w:tcPr>
            <w:tcW w:w="4984" w:type="dxa"/>
            <w:shd w:val="clear" w:color="auto" w:fill="auto"/>
            <w:noWrap w:val="0"/>
            <w:vAlign w:val="top"/>
          </w:tcPr>
          <w:p w14:paraId="26909641">
            <w:pPr>
              <w:spacing w:line="480" w:lineRule="auto"/>
              <w:rPr>
                <w:rFonts w:ascii="宋体" w:hAnsi="宋体" w:cs="Arial"/>
                <w:color w:val="auto"/>
                <w:sz w:val="28"/>
                <w:szCs w:val="28"/>
              </w:rPr>
            </w:pPr>
            <w:r>
              <w:rPr>
                <w:rFonts w:hint="eastAsia" w:ascii="宋体" w:hAnsi="宋体" w:cs="Arial"/>
                <w:color w:val="auto"/>
                <w:sz w:val="28"/>
                <w:szCs w:val="28"/>
              </w:rPr>
              <w:t>地址：</w:t>
            </w:r>
          </w:p>
          <w:p w14:paraId="595D6DED">
            <w:pPr>
              <w:spacing w:line="400" w:lineRule="exact"/>
              <w:rPr>
                <w:rFonts w:ascii="宋体" w:hAnsi="宋体" w:cs="Arial"/>
                <w:color w:val="auto"/>
                <w:sz w:val="28"/>
                <w:szCs w:val="28"/>
              </w:rPr>
            </w:pPr>
            <w:r>
              <w:rPr>
                <w:rFonts w:hint="eastAsia" w:ascii="宋体" w:hAnsi="宋体" w:cs="Arial"/>
                <w:color w:val="auto"/>
                <w:sz w:val="28"/>
                <w:szCs w:val="28"/>
              </w:rPr>
              <w:t>银行账号：</w:t>
            </w:r>
          </w:p>
          <w:p w14:paraId="777BC465">
            <w:pPr>
              <w:spacing w:line="480" w:lineRule="auto"/>
              <w:rPr>
                <w:rFonts w:hint="eastAsia" w:ascii="宋体" w:hAnsi="宋体" w:cs="Arial"/>
                <w:color w:val="auto"/>
                <w:sz w:val="28"/>
                <w:szCs w:val="28"/>
              </w:rPr>
            </w:pPr>
            <w:r>
              <w:rPr>
                <w:rFonts w:hint="eastAsia" w:ascii="宋体" w:hAnsi="宋体" w:cs="Arial"/>
                <w:color w:val="auto"/>
                <w:sz w:val="28"/>
                <w:szCs w:val="28"/>
              </w:rPr>
              <w:t>开户行：</w:t>
            </w:r>
          </w:p>
        </w:tc>
      </w:tr>
      <w:tr w14:paraId="2550DC1A">
        <w:tblPrEx>
          <w:tblCellMar>
            <w:top w:w="0" w:type="dxa"/>
            <w:left w:w="108" w:type="dxa"/>
            <w:bottom w:w="0" w:type="dxa"/>
            <w:right w:w="108" w:type="dxa"/>
          </w:tblCellMar>
        </w:tblPrEx>
        <w:trPr>
          <w:jc w:val="center"/>
        </w:trPr>
        <w:tc>
          <w:tcPr>
            <w:tcW w:w="4984" w:type="dxa"/>
            <w:shd w:val="clear" w:color="auto" w:fill="auto"/>
            <w:noWrap w:val="0"/>
            <w:vAlign w:val="top"/>
          </w:tcPr>
          <w:p w14:paraId="23FB0A7E">
            <w:pPr>
              <w:spacing w:line="480" w:lineRule="auto"/>
              <w:rPr>
                <w:rFonts w:hint="eastAsia" w:ascii="宋体" w:hAnsi="宋体" w:cs="Arial"/>
                <w:color w:val="auto"/>
                <w:sz w:val="28"/>
                <w:szCs w:val="28"/>
              </w:rPr>
            </w:pPr>
            <w:r>
              <w:rPr>
                <w:rFonts w:hint="eastAsia" w:ascii="宋体" w:hAnsi="宋体" w:cs="Arial"/>
                <w:color w:val="auto"/>
                <w:sz w:val="28"/>
                <w:szCs w:val="28"/>
              </w:rPr>
              <w:t xml:space="preserve">电话：0773-2802050  </w:t>
            </w:r>
          </w:p>
        </w:tc>
        <w:tc>
          <w:tcPr>
            <w:tcW w:w="4984" w:type="dxa"/>
            <w:shd w:val="clear" w:color="auto" w:fill="auto"/>
            <w:noWrap w:val="0"/>
            <w:vAlign w:val="top"/>
          </w:tcPr>
          <w:p w14:paraId="2522D8DD">
            <w:pPr>
              <w:spacing w:line="480" w:lineRule="auto"/>
              <w:rPr>
                <w:rFonts w:hint="eastAsia" w:ascii="宋体" w:hAnsi="宋体" w:cs="Arial"/>
                <w:color w:val="auto"/>
                <w:sz w:val="28"/>
                <w:szCs w:val="28"/>
              </w:rPr>
            </w:pPr>
            <w:r>
              <w:rPr>
                <w:rFonts w:hint="eastAsia" w:ascii="宋体" w:hAnsi="宋体" w:cs="Arial"/>
                <w:color w:val="auto"/>
                <w:sz w:val="28"/>
                <w:szCs w:val="28"/>
              </w:rPr>
              <w:t>电话：</w:t>
            </w:r>
          </w:p>
        </w:tc>
      </w:tr>
      <w:tr w14:paraId="22B1A084">
        <w:tblPrEx>
          <w:tblCellMar>
            <w:top w:w="0" w:type="dxa"/>
            <w:left w:w="108" w:type="dxa"/>
            <w:bottom w:w="0" w:type="dxa"/>
            <w:right w:w="108" w:type="dxa"/>
          </w:tblCellMar>
        </w:tblPrEx>
        <w:trPr>
          <w:jc w:val="center"/>
        </w:trPr>
        <w:tc>
          <w:tcPr>
            <w:tcW w:w="4984" w:type="dxa"/>
            <w:shd w:val="clear" w:color="auto" w:fill="auto"/>
            <w:noWrap w:val="0"/>
            <w:vAlign w:val="top"/>
          </w:tcPr>
          <w:p w14:paraId="1EC90355">
            <w:pPr>
              <w:spacing w:line="480" w:lineRule="auto"/>
              <w:rPr>
                <w:rFonts w:hint="eastAsia" w:ascii="宋体" w:hAnsi="宋体" w:cs="Arial"/>
                <w:color w:val="auto"/>
                <w:sz w:val="28"/>
                <w:szCs w:val="28"/>
              </w:rPr>
            </w:pPr>
            <w:r>
              <w:rPr>
                <w:rFonts w:hint="eastAsia" w:ascii="宋体" w:hAnsi="宋体" w:cs="Arial"/>
                <w:color w:val="auto"/>
                <w:sz w:val="28"/>
                <w:szCs w:val="28"/>
              </w:rPr>
              <w:t>法人代表：</w:t>
            </w:r>
          </w:p>
        </w:tc>
        <w:tc>
          <w:tcPr>
            <w:tcW w:w="4984" w:type="dxa"/>
            <w:shd w:val="clear" w:color="auto" w:fill="auto"/>
            <w:noWrap w:val="0"/>
            <w:vAlign w:val="top"/>
          </w:tcPr>
          <w:p w14:paraId="2A65FAC6">
            <w:pPr>
              <w:spacing w:line="480" w:lineRule="auto"/>
              <w:rPr>
                <w:rFonts w:hint="eastAsia" w:ascii="宋体" w:hAnsi="宋体" w:cs="Arial"/>
                <w:color w:val="auto"/>
                <w:sz w:val="28"/>
                <w:szCs w:val="28"/>
              </w:rPr>
            </w:pPr>
            <w:r>
              <w:rPr>
                <w:rFonts w:hint="eastAsia" w:ascii="宋体" w:hAnsi="宋体" w:cs="Arial"/>
                <w:color w:val="auto"/>
                <w:sz w:val="28"/>
                <w:szCs w:val="28"/>
              </w:rPr>
              <w:t>法人代表：</w:t>
            </w:r>
          </w:p>
        </w:tc>
      </w:tr>
      <w:tr w14:paraId="6C0A2EBD">
        <w:tblPrEx>
          <w:tblCellMar>
            <w:top w:w="0" w:type="dxa"/>
            <w:left w:w="108" w:type="dxa"/>
            <w:bottom w:w="0" w:type="dxa"/>
            <w:right w:w="108" w:type="dxa"/>
          </w:tblCellMar>
        </w:tblPrEx>
        <w:trPr>
          <w:jc w:val="center"/>
        </w:trPr>
        <w:tc>
          <w:tcPr>
            <w:tcW w:w="4984" w:type="dxa"/>
            <w:shd w:val="clear" w:color="auto" w:fill="auto"/>
            <w:noWrap w:val="0"/>
            <w:vAlign w:val="top"/>
          </w:tcPr>
          <w:p w14:paraId="06F3D66E">
            <w:pPr>
              <w:spacing w:line="480" w:lineRule="auto"/>
              <w:rPr>
                <w:rFonts w:hint="eastAsia" w:ascii="宋体" w:hAnsi="宋体" w:cs="Arial"/>
                <w:color w:val="auto"/>
                <w:sz w:val="28"/>
                <w:szCs w:val="28"/>
              </w:rPr>
            </w:pPr>
            <w:r>
              <w:rPr>
                <w:rFonts w:hint="eastAsia" w:ascii="宋体" w:hAnsi="宋体" w:cs="Arial"/>
                <w:color w:val="auto"/>
                <w:sz w:val="28"/>
                <w:szCs w:val="28"/>
              </w:rPr>
              <w:t>委托代理人：</w:t>
            </w:r>
          </w:p>
        </w:tc>
        <w:tc>
          <w:tcPr>
            <w:tcW w:w="4984" w:type="dxa"/>
            <w:shd w:val="clear" w:color="auto" w:fill="auto"/>
            <w:noWrap w:val="0"/>
            <w:vAlign w:val="top"/>
          </w:tcPr>
          <w:p w14:paraId="26409F73">
            <w:pPr>
              <w:spacing w:line="480" w:lineRule="auto"/>
              <w:rPr>
                <w:rFonts w:hint="eastAsia" w:ascii="宋体" w:hAnsi="宋体" w:cs="Arial"/>
                <w:color w:val="auto"/>
                <w:sz w:val="28"/>
                <w:szCs w:val="28"/>
              </w:rPr>
            </w:pPr>
            <w:r>
              <w:rPr>
                <w:rFonts w:hint="eastAsia" w:ascii="宋体" w:hAnsi="宋体" w:cs="Arial"/>
                <w:color w:val="auto"/>
                <w:sz w:val="28"/>
                <w:szCs w:val="28"/>
              </w:rPr>
              <w:t>委托代理人：注：要与投标报价人一</w:t>
            </w:r>
            <w:r>
              <w:rPr>
                <w:rFonts w:hint="eastAsia" w:ascii="宋体" w:hAnsi="宋体"/>
                <w:b/>
                <w:color w:val="auto"/>
                <w:sz w:val="28"/>
                <w:szCs w:val="28"/>
                <w:u w:val="single"/>
              </w:rPr>
              <w:t>致</w:t>
            </w:r>
          </w:p>
        </w:tc>
      </w:tr>
      <w:tr w14:paraId="0A55FED7">
        <w:tblPrEx>
          <w:tblCellMar>
            <w:top w:w="0" w:type="dxa"/>
            <w:left w:w="108" w:type="dxa"/>
            <w:bottom w:w="0" w:type="dxa"/>
            <w:right w:w="108" w:type="dxa"/>
          </w:tblCellMar>
        </w:tblPrEx>
        <w:trPr>
          <w:jc w:val="center"/>
        </w:trPr>
        <w:tc>
          <w:tcPr>
            <w:tcW w:w="4984" w:type="dxa"/>
            <w:shd w:val="clear" w:color="auto" w:fill="auto"/>
            <w:noWrap w:val="0"/>
            <w:vAlign w:val="top"/>
          </w:tcPr>
          <w:p w14:paraId="23DDB77C">
            <w:pPr>
              <w:spacing w:line="480" w:lineRule="auto"/>
              <w:rPr>
                <w:rFonts w:hint="eastAsia" w:ascii="宋体" w:hAnsi="宋体" w:cs="Arial"/>
                <w:color w:val="auto"/>
                <w:sz w:val="28"/>
                <w:szCs w:val="28"/>
              </w:rPr>
            </w:pPr>
            <w:r>
              <w:rPr>
                <w:rFonts w:hint="eastAsia" w:ascii="宋体" w:hAnsi="宋体" w:cs="Arial"/>
                <w:color w:val="auto"/>
                <w:sz w:val="28"/>
                <w:szCs w:val="28"/>
              </w:rPr>
              <w:t>签订日期：</w:t>
            </w:r>
            <w:r>
              <w:rPr>
                <w:rFonts w:ascii="宋体" w:hAnsi="宋体" w:cs="Arial"/>
                <w:color w:val="auto"/>
                <w:sz w:val="28"/>
                <w:szCs w:val="28"/>
              </w:rPr>
              <w:t xml:space="preserve">202   </w:t>
            </w:r>
            <w:r>
              <w:rPr>
                <w:rFonts w:hint="eastAsia" w:ascii="宋体" w:hAnsi="宋体" w:cs="Arial"/>
                <w:color w:val="auto"/>
                <w:sz w:val="28"/>
                <w:szCs w:val="28"/>
              </w:rPr>
              <w:t xml:space="preserve">年   月   日  </w:t>
            </w:r>
          </w:p>
        </w:tc>
        <w:tc>
          <w:tcPr>
            <w:tcW w:w="4984" w:type="dxa"/>
            <w:shd w:val="clear" w:color="auto" w:fill="auto"/>
            <w:noWrap w:val="0"/>
            <w:vAlign w:val="top"/>
          </w:tcPr>
          <w:p w14:paraId="1E5A28C2">
            <w:pPr>
              <w:spacing w:line="480" w:lineRule="auto"/>
              <w:rPr>
                <w:rFonts w:hint="eastAsia" w:ascii="宋体" w:hAnsi="宋体" w:cs="Arial"/>
                <w:color w:val="auto"/>
                <w:sz w:val="28"/>
                <w:szCs w:val="28"/>
              </w:rPr>
            </w:pPr>
            <w:r>
              <w:rPr>
                <w:rFonts w:hint="eastAsia" w:ascii="宋体" w:hAnsi="宋体" w:cs="Arial"/>
                <w:color w:val="auto"/>
                <w:sz w:val="28"/>
                <w:szCs w:val="28"/>
              </w:rPr>
              <w:t xml:space="preserve">  </w:t>
            </w:r>
          </w:p>
        </w:tc>
      </w:tr>
    </w:tbl>
    <w:p w14:paraId="65EEB308">
      <w:pPr>
        <w:spacing w:line="400" w:lineRule="exact"/>
        <w:ind w:firstLine="960" w:firstLineChars="200"/>
        <w:rPr>
          <w:rFonts w:ascii="宋体" w:hAnsi="宋体" w:cs="Arial"/>
          <w:color w:val="auto"/>
          <w:sz w:val="48"/>
          <w:szCs w:val="48"/>
        </w:rPr>
      </w:pPr>
    </w:p>
    <w:p w14:paraId="63124238">
      <w:pPr>
        <w:spacing w:line="400" w:lineRule="exact"/>
        <w:jc w:val="center"/>
        <w:rPr>
          <w:rFonts w:hint="eastAsia" w:ascii="宋体" w:hAnsi="宋体"/>
          <w:b/>
          <w:color w:val="auto"/>
          <w:sz w:val="36"/>
          <w:szCs w:val="36"/>
        </w:rPr>
      </w:pPr>
      <w:r>
        <w:rPr>
          <w:rFonts w:hint="eastAsia" w:ascii="宋体" w:hAnsi="宋体"/>
          <w:b/>
          <w:color w:val="auto"/>
          <w:sz w:val="36"/>
          <w:szCs w:val="36"/>
        </w:rPr>
        <w:t>医疗卫生机构医药产品廉洁购销合同</w:t>
      </w:r>
    </w:p>
    <w:p w14:paraId="6EE7942D">
      <w:pPr>
        <w:spacing w:line="400" w:lineRule="exact"/>
        <w:ind w:firstLine="1405" w:firstLineChars="500"/>
        <w:rPr>
          <w:rFonts w:hint="eastAsia" w:ascii="宋体" w:hAnsi="宋体"/>
          <w:b/>
          <w:color w:val="auto"/>
          <w:sz w:val="28"/>
          <w:szCs w:val="28"/>
        </w:rPr>
      </w:pPr>
      <w:r>
        <w:rPr>
          <w:rFonts w:hint="eastAsia" w:ascii="宋体" w:hAnsi="宋体"/>
          <w:b/>
          <w:color w:val="auto"/>
          <w:sz w:val="28"/>
          <w:szCs w:val="28"/>
        </w:rPr>
        <w:t>（含设备、耗材、后勤物资、基建工程、行业服务等）</w:t>
      </w:r>
    </w:p>
    <w:p w14:paraId="7026ABA0">
      <w:pPr>
        <w:spacing w:line="400" w:lineRule="exact"/>
        <w:rPr>
          <w:rFonts w:hint="eastAsia" w:ascii="宋体" w:hAnsi="宋体"/>
          <w:b/>
          <w:color w:val="auto"/>
          <w:sz w:val="24"/>
        </w:rPr>
      </w:pPr>
      <w:r>
        <w:rPr>
          <w:rFonts w:hint="eastAsia" w:ascii="宋体" w:hAnsi="宋体"/>
          <w:b/>
          <w:color w:val="auto"/>
          <w:sz w:val="24"/>
        </w:rPr>
        <w:t>甲方（医疗卫生机构）：桂林医科大学第一附属医院</w:t>
      </w:r>
    </w:p>
    <w:p w14:paraId="76F86A4A">
      <w:pPr>
        <w:spacing w:line="400" w:lineRule="exact"/>
        <w:rPr>
          <w:rFonts w:ascii="宋体" w:hAnsi="宋体"/>
          <w:b/>
          <w:color w:val="auto"/>
          <w:sz w:val="24"/>
        </w:rPr>
      </w:pPr>
      <w:r>
        <w:rPr>
          <w:rFonts w:hint="eastAsia" w:ascii="宋体" w:hAnsi="宋体"/>
          <w:b/>
          <w:color w:val="auto"/>
          <w:sz w:val="24"/>
        </w:rPr>
        <w:t>乙方（医药生产经营企业及其代理人）：X</w:t>
      </w:r>
      <w:r>
        <w:rPr>
          <w:rFonts w:ascii="宋体" w:hAnsi="宋体"/>
          <w:b/>
          <w:color w:val="auto"/>
          <w:sz w:val="24"/>
        </w:rPr>
        <w:t>XXXXXX</w:t>
      </w:r>
    </w:p>
    <w:p w14:paraId="3E3B3924">
      <w:pPr>
        <w:spacing w:line="400" w:lineRule="exact"/>
        <w:rPr>
          <w:rFonts w:hint="eastAsia" w:ascii="宋体" w:hAnsi="宋体"/>
          <w:color w:val="auto"/>
          <w:sz w:val="24"/>
        </w:rPr>
      </w:pPr>
      <w:r>
        <w:rPr>
          <w:rFonts w:hint="eastAsia" w:ascii="宋体" w:hAnsi="宋体"/>
          <w:color w:val="auto"/>
          <w:sz w:val="24"/>
        </w:rPr>
        <w:t>为进一步加强医疗卫生行风建设，规范医疗卫生机构医药购销行为，有效防范商业贿赂行为，营造公平交易、诚实守信的购销环境，经甲、乙双方协商，同意签订本合同，并共同遵守：</w:t>
      </w:r>
    </w:p>
    <w:p w14:paraId="37356E42">
      <w:pPr>
        <w:spacing w:line="400" w:lineRule="exact"/>
        <w:ind w:firstLine="491" w:firstLineChars="205"/>
        <w:rPr>
          <w:rFonts w:hint="eastAsia" w:ascii="宋体" w:hAnsi="宋体"/>
          <w:color w:val="auto"/>
          <w:sz w:val="24"/>
        </w:rPr>
      </w:pPr>
      <w:r>
        <w:rPr>
          <w:rFonts w:hint="eastAsia" w:ascii="宋体" w:hAnsi="宋体"/>
          <w:color w:val="auto"/>
          <w:sz w:val="24"/>
        </w:rPr>
        <w:t>一、甲乙双方按照《中华人民共和国民法典》及医药产品购销合同约定购销药品、医用设备、医用耗材试剂等医药产品。</w:t>
      </w:r>
    </w:p>
    <w:p w14:paraId="6334CCA3">
      <w:pPr>
        <w:spacing w:line="400" w:lineRule="exact"/>
        <w:ind w:firstLine="491" w:firstLineChars="205"/>
        <w:rPr>
          <w:rFonts w:hint="eastAsia" w:ascii="宋体" w:hAnsi="宋体"/>
          <w:color w:val="auto"/>
          <w:sz w:val="24"/>
        </w:rPr>
      </w:pPr>
      <w:r>
        <w:rPr>
          <w:rFonts w:hint="eastAsia" w:ascii="宋体" w:hAnsi="宋体"/>
          <w:color w:val="auto"/>
          <w:sz w:val="24"/>
        </w:rPr>
        <w:t>二、甲方应当严格执行医药产品购销合同验收、入库制度，对采购医药产品及发票进行查验，不得违反有关规定合同外采购、违价采购或从非规定渠道采购。</w:t>
      </w:r>
    </w:p>
    <w:p w14:paraId="2E618010">
      <w:pPr>
        <w:spacing w:line="400" w:lineRule="exact"/>
        <w:ind w:firstLine="491" w:firstLineChars="205"/>
        <w:rPr>
          <w:rFonts w:hint="eastAsia" w:ascii="宋体" w:hAnsi="宋体"/>
          <w:color w:val="auto"/>
          <w:sz w:val="24"/>
        </w:rPr>
      </w:pPr>
      <w:r>
        <w:rPr>
          <w:rFonts w:hint="eastAsia" w:ascii="宋体" w:hAnsi="宋体"/>
          <w:color w:val="auto"/>
          <w:sz w:val="24"/>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14:paraId="1A72012A">
      <w:pPr>
        <w:spacing w:line="400" w:lineRule="exact"/>
        <w:ind w:firstLine="491" w:firstLineChars="205"/>
        <w:rPr>
          <w:rFonts w:hint="eastAsia" w:ascii="宋体" w:hAnsi="宋体"/>
          <w:color w:val="auto"/>
          <w:sz w:val="24"/>
        </w:rPr>
      </w:pPr>
      <w:r>
        <w:rPr>
          <w:rFonts w:hint="eastAsia" w:ascii="宋体" w:hAnsi="宋体"/>
          <w:color w:val="auto"/>
          <w:sz w:val="24"/>
        </w:rPr>
        <w:t>四、严禁甲方工作人员利用任何途径和方式，为乙方统计医师个人及临床科室有关医药产品用量信息，或为乙方统计提供便利。</w:t>
      </w:r>
    </w:p>
    <w:p w14:paraId="2EC18D01">
      <w:pPr>
        <w:spacing w:line="400" w:lineRule="exact"/>
        <w:ind w:firstLine="491" w:firstLineChars="205"/>
        <w:rPr>
          <w:rFonts w:hint="eastAsia" w:ascii="宋体" w:hAnsi="宋体"/>
          <w:color w:val="auto"/>
          <w:sz w:val="24"/>
        </w:rPr>
      </w:pPr>
      <w:r>
        <w:rPr>
          <w:rFonts w:hint="eastAsia" w:ascii="宋体" w:hAnsi="宋体"/>
          <w:color w:val="auto"/>
          <w:sz w:val="24"/>
        </w:rPr>
        <w:t>五、乙方不得以回扣、宴请等方式影响甲方工作人员采购或使用医药产品的选择权，不得在学术活动中提供旅游、超标准支付食宿费用。</w:t>
      </w:r>
    </w:p>
    <w:p w14:paraId="5E0F1FB9">
      <w:pPr>
        <w:spacing w:line="400" w:lineRule="exact"/>
        <w:ind w:firstLine="491" w:firstLineChars="205"/>
        <w:rPr>
          <w:rFonts w:hint="eastAsia" w:ascii="宋体" w:hAnsi="宋体"/>
          <w:color w:val="auto"/>
          <w:sz w:val="24"/>
        </w:rPr>
      </w:pPr>
      <w:r>
        <w:rPr>
          <w:rFonts w:hint="eastAsia" w:ascii="宋体" w:hAnsi="宋体"/>
          <w:color w:val="auto"/>
          <w:sz w:val="24"/>
        </w:rPr>
        <w:t>六、乙方指定</w:t>
      </w:r>
      <w:r>
        <w:rPr>
          <w:rFonts w:hint="eastAsia" w:ascii="宋体" w:hAnsi="宋体"/>
          <w:color w:val="auto"/>
          <w:sz w:val="24"/>
          <w:u w:val="single"/>
        </w:rPr>
        <w:t xml:space="preserve">    姓名：</w:t>
      </w:r>
      <w:r>
        <w:rPr>
          <w:rFonts w:hint="eastAsia" w:ascii="宋体" w:hAnsi="宋体"/>
          <w:b/>
          <w:color w:val="auto"/>
          <w:sz w:val="24"/>
        </w:rPr>
        <w:t>X</w:t>
      </w:r>
      <w:r>
        <w:rPr>
          <w:rFonts w:ascii="宋体" w:hAnsi="宋体"/>
          <w:b/>
          <w:color w:val="auto"/>
          <w:sz w:val="24"/>
        </w:rPr>
        <w:t>XXX</w:t>
      </w:r>
      <w:r>
        <w:rPr>
          <w:rFonts w:hint="eastAsia" w:ascii="宋体" w:hAnsi="宋体"/>
          <w:b/>
          <w:color w:val="auto"/>
          <w:sz w:val="24"/>
        </w:rPr>
        <w:t>电话：</w:t>
      </w:r>
      <w:r>
        <w:rPr>
          <w:rFonts w:ascii="宋体" w:hAnsi="宋体"/>
          <w:b/>
          <w:color w:val="auto"/>
          <w:sz w:val="24"/>
        </w:rPr>
        <w:t>XXX</w:t>
      </w:r>
      <w:r>
        <w:rPr>
          <w:rFonts w:hint="eastAsia" w:ascii="宋体" w:hAnsi="宋体"/>
          <w:color w:val="auto"/>
          <w:sz w:val="24"/>
          <w:u w:val="single"/>
        </w:rPr>
        <w:t xml:space="preserve">    </w:t>
      </w:r>
      <w:r>
        <w:rPr>
          <w:rFonts w:hint="eastAsia" w:ascii="宋体" w:hAnsi="宋体"/>
          <w:color w:val="auto"/>
          <w:sz w:val="24"/>
        </w:rPr>
        <w:t>作为销售代表洽谈业务。销售代表必须在工作时间到甲方指定地点联系商谈，不得到住院部、门诊部、医技科室等推销医药产品，不得借故到甲方相关领导、部门负责人及相关工作人员家中访谈并提供任何好处费。</w:t>
      </w:r>
    </w:p>
    <w:p w14:paraId="4D21EA60">
      <w:pPr>
        <w:spacing w:line="400" w:lineRule="exact"/>
        <w:ind w:firstLine="491" w:firstLineChars="205"/>
        <w:rPr>
          <w:rFonts w:hint="eastAsia" w:ascii="宋体" w:hAnsi="宋体"/>
          <w:color w:val="auto"/>
          <w:sz w:val="24"/>
        </w:rPr>
      </w:pPr>
      <w:r>
        <w:rPr>
          <w:rFonts w:hint="eastAsia" w:ascii="宋体" w:hAnsi="宋体"/>
          <w:color w:val="auto"/>
          <w:sz w:val="24"/>
        </w:rPr>
        <w:t>七、乙方如违反本合同，一经发现，甲方有权终止购销合同，并向有关卫生计生行政部门报告。如乙方被列入商业贿赂不良记录，则按照《国家卫生计生委关于建立医药购销领域商业贿赂不良记录的规定》（国卫法制发[2013]50号）相关规定处理。</w:t>
      </w:r>
    </w:p>
    <w:p w14:paraId="6C9D7C31">
      <w:pPr>
        <w:spacing w:line="400" w:lineRule="exact"/>
        <w:ind w:firstLine="491" w:firstLineChars="205"/>
        <w:rPr>
          <w:rFonts w:hint="eastAsia" w:ascii="宋体" w:hAnsi="宋体"/>
          <w:color w:val="auto"/>
          <w:sz w:val="24"/>
        </w:rPr>
      </w:pPr>
      <w:r>
        <w:rPr>
          <w:rFonts w:hint="eastAsia" w:ascii="宋体" w:hAnsi="宋体"/>
          <w:color w:val="auto"/>
          <w:sz w:val="24"/>
        </w:rPr>
        <w:t>八、本合同作为医药产品购销合同的重要组成部分，与购销合同一并执行，具有同等的法律效力。</w:t>
      </w:r>
    </w:p>
    <w:p w14:paraId="16D3AF6B">
      <w:pPr>
        <w:spacing w:line="400" w:lineRule="exact"/>
        <w:ind w:firstLine="491" w:firstLineChars="205"/>
        <w:rPr>
          <w:rFonts w:hint="eastAsia" w:ascii="宋体" w:hAnsi="宋体"/>
          <w:color w:val="auto"/>
          <w:sz w:val="24"/>
        </w:rPr>
      </w:pPr>
      <w:r>
        <w:rPr>
          <w:rFonts w:hint="eastAsia" w:ascii="宋体" w:hAnsi="宋体"/>
          <w:color w:val="auto"/>
          <w:sz w:val="24"/>
        </w:rPr>
        <w:t>九、本合同一式</w:t>
      </w:r>
      <w:r>
        <w:rPr>
          <w:rFonts w:hint="eastAsia" w:ascii="宋体" w:hAnsi="宋体"/>
          <w:color w:val="auto"/>
          <w:sz w:val="24"/>
          <w:lang w:eastAsia="zh-CN"/>
        </w:rPr>
        <w:t>伍</w:t>
      </w:r>
      <w:r>
        <w:rPr>
          <w:rFonts w:hint="eastAsia" w:ascii="宋体" w:hAnsi="宋体"/>
          <w:color w:val="auto"/>
          <w:sz w:val="24"/>
        </w:rPr>
        <w:t>份，甲方执叁份，乙方执壹份</w:t>
      </w:r>
      <w:r>
        <w:rPr>
          <w:rFonts w:hint="eastAsia" w:ascii="宋体" w:hAnsi="宋体"/>
          <w:color w:val="auto"/>
          <w:sz w:val="24"/>
          <w:lang w:eastAsia="zh-CN"/>
        </w:rPr>
        <w:t>，代理机构</w:t>
      </w:r>
      <w:r>
        <w:rPr>
          <w:rFonts w:hint="eastAsia" w:ascii="宋体" w:hAnsi="宋体"/>
          <w:color w:val="auto"/>
          <w:sz w:val="24"/>
        </w:rPr>
        <w:t>执壹份，并从签订之日起生效。</w:t>
      </w:r>
    </w:p>
    <w:p w14:paraId="096B01C2">
      <w:pPr>
        <w:spacing w:line="400" w:lineRule="exact"/>
        <w:rPr>
          <w:rFonts w:hint="eastAsia" w:ascii="宋体" w:hAnsi="宋体"/>
          <w:b/>
          <w:color w:val="auto"/>
          <w:sz w:val="24"/>
        </w:rPr>
      </w:pPr>
      <w:r>
        <w:rPr>
          <w:rFonts w:hint="eastAsia" w:ascii="宋体" w:hAnsi="宋体"/>
          <w:b/>
          <w:color w:val="auto"/>
          <w:sz w:val="24"/>
        </w:rPr>
        <w:t>甲方（盖章）：桂林医科大学第一附属医院     乙方（盖章）：X</w:t>
      </w:r>
      <w:r>
        <w:rPr>
          <w:rFonts w:ascii="宋体" w:hAnsi="宋体"/>
          <w:b/>
          <w:color w:val="auto"/>
          <w:sz w:val="24"/>
        </w:rPr>
        <w:t>XXXXXX</w:t>
      </w:r>
    </w:p>
    <w:p w14:paraId="6CB91C5E">
      <w:pPr>
        <w:spacing w:line="400" w:lineRule="exact"/>
        <w:rPr>
          <w:rFonts w:hint="eastAsia" w:ascii="宋体" w:hAnsi="宋体"/>
          <w:b/>
          <w:color w:val="auto"/>
          <w:sz w:val="24"/>
        </w:rPr>
      </w:pPr>
      <w:r>
        <w:rPr>
          <w:rFonts w:hint="eastAsia" w:ascii="宋体" w:hAnsi="宋体"/>
          <w:b/>
          <w:color w:val="auto"/>
          <w:sz w:val="24"/>
        </w:rPr>
        <w:t>法定代表人（负责人）：                     法定代表人（负责人）：</w:t>
      </w:r>
    </w:p>
    <w:p w14:paraId="464BE3EB">
      <w:pPr>
        <w:spacing w:line="400" w:lineRule="exact"/>
        <w:rPr>
          <w:rFonts w:hint="eastAsia" w:ascii="宋体" w:hAnsi="宋体"/>
          <w:b/>
          <w:color w:val="auto"/>
          <w:sz w:val="24"/>
          <w:u w:val="single"/>
        </w:rPr>
      </w:pPr>
      <w:r>
        <w:rPr>
          <w:rFonts w:hint="eastAsia" w:ascii="宋体" w:hAnsi="宋体"/>
          <w:b/>
          <w:color w:val="auto"/>
          <w:sz w:val="24"/>
        </w:rPr>
        <w:t>经办人签名：                              经办人签名：</w:t>
      </w:r>
    </w:p>
    <w:p w14:paraId="24A7F100">
      <w:pPr>
        <w:spacing w:line="400" w:lineRule="exact"/>
        <w:rPr>
          <w:rFonts w:hint="eastAsia" w:ascii="宋体" w:hAnsi="宋体"/>
          <w:b/>
          <w:color w:val="auto"/>
          <w:sz w:val="24"/>
        </w:rPr>
      </w:pPr>
      <w:r>
        <w:rPr>
          <w:rFonts w:hint="eastAsia" w:ascii="宋体" w:hAnsi="宋体"/>
          <w:b/>
          <w:color w:val="auto"/>
          <w:sz w:val="24"/>
        </w:rPr>
        <w:t>签订日期：</w:t>
      </w:r>
      <w:r>
        <w:rPr>
          <w:rFonts w:ascii="宋体" w:hAnsi="宋体"/>
          <w:b/>
          <w:color w:val="auto"/>
          <w:sz w:val="24"/>
        </w:rPr>
        <w:t xml:space="preserve">202     </w:t>
      </w:r>
      <w:r>
        <w:rPr>
          <w:rFonts w:hint="eastAsia" w:ascii="宋体" w:hAnsi="宋体"/>
          <w:b/>
          <w:color w:val="auto"/>
          <w:sz w:val="24"/>
        </w:rPr>
        <w:t xml:space="preserve">年   月   日            </w:t>
      </w:r>
    </w:p>
    <w:p w14:paraId="5444F57D">
      <w:pPr>
        <w:spacing w:line="420" w:lineRule="exact"/>
        <w:ind w:left="5040" w:hanging="5040" w:hangingChars="1800"/>
        <w:jc w:val="left"/>
        <w:rPr>
          <w:rFonts w:hint="eastAsia" w:ascii="宋体" w:hAnsi="宋体"/>
          <w:color w:val="auto"/>
          <w:sz w:val="28"/>
          <w:szCs w:val="28"/>
        </w:rPr>
      </w:pPr>
    </w:p>
    <w:p w14:paraId="00916820">
      <w:pPr>
        <w:spacing w:line="360" w:lineRule="auto"/>
        <w:jc w:val="left"/>
        <w:rPr>
          <w:rFonts w:ascii="宋体" w:hAnsi="宋体"/>
          <w:b/>
          <w:color w:val="auto"/>
          <w:sz w:val="28"/>
          <w:szCs w:val="28"/>
        </w:rPr>
      </w:pPr>
    </w:p>
    <w:p w14:paraId="300A4EC0">
      <w:pPr>
        <w:spacing w:line="360" w:lineRule="auto"/>
        <w:ind w:left="5060" w:hanging="5060" w:hangingChars="1800"/>
        <w:jc w:val="left"/>
        <w:rPr>
          <w:rFonts w:ascii="宋体" w:hAnsi="宋体"/>
          <w:b/>
          <w:color w:val="auto"/>
          <w:sz w:val="28"/>
          <w:szCs w:val="28"/>
        </w:rPr>
      </w:pPr>
      <w:r>
        <w:rPr>
          <w:rFonts w:hint="eastAsia" w:ascii="宋体" w:hAnsi="宋体"/>
          <w:b/>
          <w:color w:val="auto"/>
          <w:sz w:val="28"/>
          <w:szCs w:val="28"/>
        </w:rPr>
        <w:t>附件：</w:t>
      </w:r>
    </w:p>
    <w:p w14:paraId="77246139">
      <w:pPr>
        <w:spacing w:line="360" w:lineRule="auto"/>
        <w:ind w:left="5060" w:hanging="5060" w:hangingChars="1800"/>
        <w:jc w:val="center"/>
        <w:rPr>
          <w:rFonts w:ascii="宋体" w:hAnsi="宋体"/>
          <w:b/>
          <w:color w:val="auto"/>
          <w:sz w:val="28"/>
          <w:szCs w:val="28"/>
        </w:rPr>
      </w:pPr>
      <w:r>
        <w:rPr>
          <w:rFonts w:hint="eastAsia" w:ascii="宋体" w:hAnsi="宋体"/>
          <w:b/>
          <w:color w:val="auto"/>
          <w:sz w:val="28"/>
          <w:szCs w:val="28"/>
        </w:rPr>
        <w:t>保修详细项目清单及范围</w:t>
      </w:r>
      <w:bookmarkStart w:id="92" w:name="_GoBack"/>
      <w:bookmarkEnd w:id="92"/>
    </w:p>
    <w:p w14:paraId="3BE5CD78">
      <w:pPr>
        <w:snapToGrid w:val="0"/>
        <w:spacing w:line="360" w:lineRule="auto"/>
        <w:rPr>
          <w:rFonts w:ascii="宋体" w:hAnsi="宋体"/>
          <w:color w:val="auto"/>
          <w:szCs w:val="21"/>
        </w:rPr>
      </w:pPr>
    </w:p>
    <w:sectPr>
      <w:footerReference r:id="rId7" w:type="first"/>
      <w:footerReference r:id="rId6" w:type="default"/>
      <w:pgSz w:w="11906" w:h="16838"/>
      <w:pgMar w:top="1440" w:right="1440" w:bottom="1440" w:left="1587" w:header="851" w:footer="992"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C5B0E8E0-DE1C-40D4-A58A-74F677904BFB}"/>
  </w:font>
  <w:font w:name="黑体">
    <w:panose1 w:val="02010609060101010101"/>
    <w:charset w:val="86"/>
    <w:family w:val="auto"/>
    <w:pitch w:val="default"/>
    <w:sig w:usb0="800002BF" w:usb1="38CF7CFA" w:usb2="00000016" w:usb3="00000000" w:csb0="00040001" w:csb1="00000000"/>
    <w:embedRegular r:id="rId2" w:fontKey="{B2A6E9E1-8B2D-4C91-A2B9-B0885220348E}"/>
  </w:font>
  <w:font w:name="Courier New">
    <w:panose1 w:val="02070309020205020404"/>
    <w:charset w:val="01"/>
    <w:family w:val="modern"/>
    <w:pitch w:val="default"/>
    <w:sig w:usb0="E0002AFF" w:usb1="C0007843" w:usb2="00000009" w:usb3="00000000" w:csb0="400001FF" w:csb1="FFFF0000"/>
    <w:embedRegular r:id="rId3" w:fontKey="{2330F6AC-CFE3-4FBD-BDA9-3CE22CCF5A4A}"/>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4" w:fontKey="{B35AD260-A6BF-49C3-B128-2BD58E8A761A}"/>
  </w:font>
  <w:font w:name="Cambria">
    <w:panose1 w:val="02040503050406030204"/>
    <w:charset w:val="00"/>
    <w:family w:val="roman"/>
    <w:pitch w:val="default"/>
    <w:sig w:usb0="E00002FF" w:usb1="400004FF" w:usb2="00000000"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仿宋_GB2312">
    <w:altName w:val="仿宋"/>
    <w:panose1 w:val="00000000000000000000"/>
    <w:charset w:val="86"/>
    <w:family w:val="modern"/>
    <w:pitch w:val="default"/>
    <w:sig w:usb0="00000000" w:usb1="00000000" w:usb2="00000000" w:usb3="00000000" w:csb0="00040000" w:csb1="00000000"/>
    <w:embedRegular r:id="rId5" w:fontKey="{27D5A836-6F5A-41F0-BF31-12471E5A3EAB}"/>
  </w:font>
  <w:font w:name="仿宋">
    <w:panose1 w:val="02010609060101010101"/>
    <w:charset w:val="86"/>
    <w:family w:val="modern"/>
    <w:pitch w:val="default"/>
    <w:sig w:usb0="800002BF" w:usb1="38CF7CFA" w:usb2="00000016" w:usb3="00000000" w:csb0="00040001" w:csb1="00000000"/>
    <w:embedRegular r:id="rId6" w:fontKey="{5F0FBC7D-E332-4806-B1CF-C47E782D1DDE}"/>
  </w:font>
  <w:font w:name="Tahoma">
    <w:panose1 w:val="020B0604030504040204"/>
    <w:charset w:val="00"/>
    <w:family w:val="swiss"/>
    <w:pitch w:val="default"/>
    <w:sig w:usb0="E1002EFF" w:usb1="C000605B" w:usb2="00000029" w:usb3="00000000" w:csb0="200101FF" w:csb1="20280000"/>
    <w:embedRegular r:id="rId7" w:fontKey="{6840EA05-E072-42FB-9AAE-647F4945E6A5}"/>
  </w:font>
  <w:font w:name="Verdana">
    <w:panose1 w:val="020B0604030504040204"/>
    <w:charset w:val="00"/>
    <w:family w:val="swiss"/>
    <w:pitch w:val="default"/>
    <w:sig w:usb0="A10006FF" w:usb1="4000205B" w:usb2="00000010" w:usb3="00000000" w:csb0="2000019F" w:csb1="00000000"/>
  </w:font>
  <w:font w:name="方正小标宋简体">
    <w:altName w:val="黑体"/>
    <w:panose1 w:val="00000000000000000000"/>
    <w:charset w:val="86"/>
    <w:family w:val="script"/>
    <w:pitch w:val="default"/>
    <w:sig w:usb0="00000000" w:usb1="00000000" w:usb2="00000000" w:usb3="00000000" w:csb0="00040000" w:csb1="00000000"/>
    <w:embedRegular r:id="rId8" w:fontKey="{52B1CDE1-12F3-495E-B117-0D6FA57DE779}"/>
  </w:font>
  <w:font w:name="华文新魏">
    <w:panose1 w:val="02010800040101010101"/>
    <w:charset w:val="86"/>
    <w:family w:val="auto"/>
    <w:pitch w:val="default"/>
    <w:sig w:usb0="00000001" w:usb1="080F0000" w:usb2="00000000" w:usb3="00000000" w:csb0="00040000" w:csb1="00000000"/>
    <w:embedRegular r:id="rId9" w:fontKey="{97FB8F3B-9B7C-467F-AA8F-3810082AE06B}"/>
  </w:font>
  <w:font w:name="Segoe UI Symbol">
    <w:panose1 w:val="020B0502040204020203"/>
    <w:charset w:val="00"/>
    <w:family w:val="swiss"/>
    <w:pitch w:val="default"/>
    <w:sig w:usb0="8000006F" w:usb1="1200FBEF" w:usb2="0064C000" w:usb3="00000002" w:csb0="00000001" w:csb1="40000000"/>
    <w:embedRegular r:id="rId10" w:fontKey="{79BBC02D-32B8-4791-9684-49BFC0228541}"/>
  </w:font>
  <w:font w:name="华文细黑">
    <w:panose1 w:val="02010600040101010101"/>
    <w:charset w:val="86"/>
    <w:family w:val="auto"/>
    <w:pitch w:val="default"/>
    <w:sig w:usb0="00000287" w:usb1="080F0000" w:usb2="00000000" w:usb3="00000000" w:csb0="0004009F" w:csb1="DFD70000"/>
    <w:embedRegular r:id="rId11" w:fontKey="{B9591585-8020-49A7-8FC8-E460DC4A14C8}"/>
  </w:font>
  <w:font w:name="隶书">
    <w:panose1 w:val="02010509060101010101"/>
    <w:charset w:val="86"/>
    <w:family w:val="modern"/>
    <w:pitch w:val="default"/>
    <w:sig w:usb0="00000001" w:usb1="080E0000" w:usb2="00000000" w:usb3="00000000" w:csb0="00040000" w:csb1="00000000"/>
    <w:embedRegular r:id="rId12" w:fontKey="{ABB3738C-DE87-4A06-B17E-FEB2CFA59FD1}"/>
  </w:font>
  <w:font w:name="华文中宋">
    <w:panose1 w:val="02010600040101010101"/>
    <w:charset w:val="86"/>
    <w:family w:val="auto"/>
    <w:pitch w:val="default"/>
    <w:sig w:usb0="00000287" w:usb1="080F0000" w:usb2="00000000" w:usb3="00000000" w:csb0="0004009F" w:csb1="DFD70000"/>
    <w:embedRegular r:id="rId13" w:fontKey="{482776EA-ED78-4EED-823F-D94AE4A7BB03}"/>
  </w:font>
  <w:font w:name="WPSEMBED1">
    <w:panose1 w:val="02010800040101010101"/>
    <w:charset w:val="86"/>
    <w:family w:val="auto"/>
    <w:pitch w:val="default"/>
    <w:sig w:usb0="00000001" w:usb1="080F0000" w:usb2="00000000" w:usb3="00000000" w:csb0="00040000" w:csb1="00000000"/>
  </w:font>
  <w:font w:name="WPSEMBED2">
    <w:panose1 w:val="02010600040101010101"/>
    <w:charset w:val="86"/>
    <w:family w:val="auto"/>
    <w:pitch w:val="default"/>
    <w:sig w:usb0="00000287" w:usb1="080F0000" w:usb2="00000000" w:usb3="00000000" w:csb0="0004009F" w:csb1="DFD70000"/>
  </w:font>
  <w:font w:name="WPSEMBED3">
    <w:panose1 w:val="02010509060101010101"/>
    <w:charset w:val="86"/>
    <w:family w:val="auto"/>
    <w:pitch w:val="default"/>
    <w:sig w:usb0="00000001" w:usb1="080E0000" w:usb2="00000000" w:usb3="00000000" w:csb0="00040000" w:csb1="00000000"/>
  </w:font>
  <w:font w:name="WPSEMBED4">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3215C">
    <w:pPr>
      <w:pStyle w:val="20"/>
      <w:jc w:val="center"/>
    </w:pPr>
    <w:r>
      <w:fldChar w:fldCharType="begin"/>
    </w:r>
    <w:r>
      <w:instrText xml:space="preserve"> PAGE   \* MERGEFORMAT </w:instrText>
    </w:r>
    <w:r>
      <w:fldChar w:fldCharType="separate"/>
    </w:r>
    <w:r>
      <w:rPr>
        <w:lang w:val="zh-CN"/>
      </w:rPr>
      <w:t>1</w:t>
    </w:r>
    <w:r>
      <w:fldChar w:fldCharType="end"/>
    </w:r>
  </w:p>
  <w:p w14:paraId="1BCFEE29">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54B03">
    <w:pPr>
      <w:pStyle w:val="2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51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F739C7">
                          <w:pPr>
                            <w:pStyle w:val="20"/>
                            <w:jc w:val="center"/>
                          </w:pPr>
                          <w:r>
                            <w:fldChar w:fldCharType="begin"/>
                          </w:r>
                          <w:r>
                            <w:instrText xml:space="preserve"> PAGE   \* MERGEFORMAT </w:instrText>
                          </w:r>
                          <w:r>
                            <w:fldChar w:fldCharType="separate"/>
                          </w:r>
                          <w:r>
                            <w:rPr>
                              <w:lang w:val="zh-CN"/>
                            </w:rPr>
                            <w:t>27</w:t>
                          </w:r>
                          <w:r>
                            <w:fldChar w:fldCharType="end"/>
                          </w:r>
                        </w:p>
                      </w:txbxContent>
                    </wps:txbx>
                    <wps:bodyPr wrap="none" lIns="0" tIns="0" rIns="0" bIns="0">
                      <a:spAutoFit/>
                    </wps:bodyPr>
                  </wps:wsp>
                </a:graphicData>
              </a:graphic>
            </wp:anchor>
          </w:drawing>
        </mc:Choice>
        <mc:Fallback>
          <w:pict>
            <v:shape id="文本框 512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FoHzfHFAQAAkAMAAA4AAAAAAAAAAQAgAAAAHgEAAGRycy9lMm9Eb2MueG1s&#10;UEsFBgAAAAAGAAYAWQEAAFUFAAAAAA==&#10;">
              <v:fill on="f" focussize="0,0"/>
              <v:stroke on="f"/>
              <v:imagedata o:title=""/>
              <o:lock v:ext="edit" aspectratio="f"/>
              <v:textbox inset="0mm,0mm,0mm,0mm" style="mso-fit-shape-to-text:t;">
                <w:txbxContent>
                  <w:p w14:paraId="37F739C7">
                    <w:pPr>
                      <w:pStyle w:val="20"/>
                      <w:jc w:val="center"/>
                    </w:pPr>
                    <w:r>
                      <w:fldChar w:fldCharType="begin"/>
                    </w:r>
                    <w:r>
                      <w:instrText xml:space="preserve"> PAGE   \* MERGEFORMAT </w:instrText>
                    </w:r>
                    <w:r>
                      <w:fldChar w:fldCharType="separate"/>
                    </w:r>
                    <w:r>
                      <w:rPr>
                        <w:lang w:val="zh-CN"/>
                      </w:rPr>
                      <w:t>27</w:t>
                    </w:r>
                    <w:r>
                      <w:fldChar w:fldCharType="end"/>
                    </w:r>
                  </w:p>
                </w:txbxContent>
              </v:textbox>
            </v:shape>
          </w:pict>
        </mc:Fallback>
      </mc:AlternateContent>
    </w:r>
  </w:p>
  <w:p w14:paraId="2E3E2435">
    <w:pPr>
      <w:pStyle w:val="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E5B5D">
    <w:pPr>
      <w:pStyle w:val="2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1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4E7040E">
                          <w:pPr>
                            <w:pStyle w:val="20"/>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wrap="none" lIns="0" tIns="0" rIns="0" bIns="0">
                      <a:spAutoFit/>
                    </wps:bodyPr>
                  </wps:wsp>
                </a:graphicData>
              </a:graphic>
            </wp:anchor>
          </w:drawing>
        </mc:Choice>
        <mc:Fallback>
          <w:pict>
            <v:shape id="文本框 512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M7uMX7FAQAAkAMAAA4AAAAAAAAAAQAgAAAAHgEAAGRycy9lMm9Eb2MueG1s&#10;UEsFBgAAAAAGAAYAWQEAAFUFAAAAAA==&#10;">
              <v:fill on="f" focussize="0,0"/>
              <v:stroke on="f"/>
              <v:imagedata o:title=""/>
              <o:lock v:ext="edit" aspectratio="f"/>
              <v:textbox inset="0mm,0mm,0mm,0mm" style="mso-fit-shape-to-text:t;">
                <w:txbxContent>
                  <w:p w14:paraId="64E7040E">
                    <w:pPr>
                      <w:pStyle w:val="20"/>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2FF43">
    <w:pPr>
      <w:pStyle w:val="2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916A8">
    <w:pPr>
      <w:pStyle w:val="2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5A1AD7"/>
    <w:multiLevelType w:val="singleLevel"/>
    <w:tmpl w:val="AD5A1AD7"/>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2Y2IyZWVmMzYxYTQ4ZWRjZGQ1YTM3ZTI4NzYzMDQifQ=="/>
  </w:docVars>
  <w:rsids>
    <w:rsidRoot w:val="00F34B14"/>
    <w:rsid w:val="00000672"/>
    <w:rsid w:val="00000795"/>
    <w:rsid w:val="00000B94"/>
    <w:rsid w:val="00000E60"/>
    <w:rsid w:val="00001013"/>
    <w:rsid w:val="00001799"/>
    <w:rsid w:val="00001AF2"/>
    <w:rsid w:val="00001DBD"/>
    <w:rsid w:val="00001ECA"/>
    <w:rsid w:val="00002D29"/>
    <w:rsid w:val="0000375A"/>
    <w:rsid w:val="00003B93"/>
    <w:rsid w:val="0000432C"/>
    <w:rsid w:val="000043CF"/>
    <w:rsid w:val="000045C6"/>
    <w:rsid w:val="0000474D"/>
    <w:rsid w:val="0000585B"/>
    <w:rsid w:val="00005870"/>
    <w:rsid w:val="00005E72"/>
    <w:rsid w:val="00005FDF"/>
    <w:rsid w:val="00006F58"/>
    <w:rsid w:val="000070B3"/>
    <w:rsid w:val="000076B8"/>
    <w:rsid w:val="00007876"/>
    <w:rsid w:val="0000787C"/>
    <w:rsid w:val="00010393"/>
    <w:rsid w:val="000109DC"/>
    <w:rsid w:val="00010D39"/>
    <w:rsid w:val="00010DD2"/>
    <w:rsid w:val="000112B0"/>
    <w:rsid w:val="0001172C"/>
    <w:rsid w:val="00012510"/>
    <w:rsid w:val="00012854"/>
    <w:rsid w:val="00012BAA"/>
    <w:rsid w:val="00012EA6"/>
    <w:rsid w:val="0001364D"/>
    <w:rsid w:val="000139CF"/>
    <w:rsid w:val="00013AA4"/>
    <w:rsid w:val="00013BF8"/>
    <w:rsid w:val="00013DE2"/>
    <w:rsid w:val="00013DFE"/>
    <w:rsid w:val="000141EA"/>
    <w:rsid w:val="000155A2"/>
    <w:rsid w:val="00016479"/>
    <w:rsid w:val="00016ABC"/>
    <w:rsid w:val="000177DB"/>
    <w:rsid w:val="000179C9"/>
    <w:rsid w:val="00017CCC"/>
    <w:rsid w:val="00020227"/>
    <w:rsid w:val="00020455"/>
    <w:rsid w:val="00020813"/>
    <w:rsid w:val="00020B67"/>
    <w:rsid w:val="00020F7F"/>
    <w:rsid w:val="00021E1F"/>
    <w:rsid w:val="000220B2"/>
    <w:rsid w:val="0002264C"/>
    <w:rsid w:val="00022731"/>
    <w:rsid w:val="00022792"/>
    <w:rsid w:val="000228DD"/>
    <w:rsid w:val="00022F5F"/>
    <w:rsid w:val="00024463"/>
    <w:rsid w:val="00024B27"/>
    <w:rsid w:val="00025461"/>
    <w:rsid w:val="000254D9"/>
    <w:rsid w:val="00025636"/>
    <w:rsid w:val="00025B06"/>
    <w:rsid w:val="00025E36"/>
    <w:rsid w:val="00026886"/>
    <w:rsid w:val="00027343"/>
    <w:rsid w:val="0003094F"/>
    <w:rsid w:val="00030A61"/>
    <w:rsid w:val="00030D44"/>
    <w:rsid w:val="0003109D"/>
    <w:rsid w:val="000316FB"/>
    <w:rsid w:val="000329E0"/>
    <w:rsid w:val="00032C2D"/>
    <w:rsid w:val="00033AFB"/>
    <w:rsid w:val="00034AF4"/>
    <w:rsid w:val="0003517D"/>
    <w:rsid w:val="00035214"/>
    <w:rsid w:val="000352E9"/>
    <w:rsid w:val="00035494"/>
    <w:rsid w:val="00035618"/>
    <w:rsid w:val="00036125"/>
    <w:rsid w:val="00036A07"/>
    <w:rsid w:val="00036ABB"/>
    <w:rsid w:val="0003721D"/>
    <w:rsid w:val="00037291"/>
    <w:rsid w:val="0003749B"/>
    <w:rsid w:val="0003780B"/>
    <w:rsid w:val="000403E7"/>
    <w:rsid w:val="00040571"/>
    <w:rsid w:val="00040973"/>
    <w:rsid w:val="00040F3E"/>
    <w:rsid w:val="00041099"/>
    <w:rsid w:val="0004156E"/>
    <w:rsid w:val="00041713"/>
    <w:rsid w:val="000430F9"/>
    <w:rsid w:val="0004397E"/>
    <w:rsid w:val="0004440C"/>
    <w:rsid w:val="00044933"/>
    <w:rsid w:val="00044D42"/>
    <w:rsid w:val="000452AC"/>
    <w:rsid w:val="0004535B"/>
    <w:rsid w:val="0004596B"/>
    <w:rsid w:val="000459CB"/>
    <w:rsid w:val="000468F1"/>
    <w:rsid w:val="00046B5E"/>
    <w:rsid w:val="000470CB"/>
    <w:rsid w:val="00050337"/>
    <w:rsid w:val="000509D9"/>
    <w:rsid w:val="00050AD1"/>
    <w:rsid w:val="000518C7"/>
    <w:rsid w:val="00051ACB"/>
    <w:rsid w:val="00051BCA"/>
    <w:rsid w:val="0005287B"/>
    <w:rsid w:val="000533E7"/>
    <w:rsid w:val="00053514"/>
    <w:rsid w:val="00053BBB"/>
    <w:rsid w:val="00054688"/>
    <w:rsid w:val="00055418"/>
    <w:rsid w:val="00055675"/>
    <w:rsid w:val="00055A31"/>
    <w:rsid w:val="00055D41"/>
    <w:rsid w:val="0005680A"/>
    <w:rsid w:val="000568A8"/>
    <w:rsid w:val="000568DA"/>
    <w:rsid w:val="0005721E"/>
    <w:rsid w:val="00057CD6"/>
    <w:rsid w:val="00060551"/>
    <w:rsid w:val="00060BAE"/>
    <w:rsid w:val="00060DCE"/>
    <w:rsid w:val="000610E3"/>
    <w:rsid w:val="000614F3"/>
    <w:rsid w:val="00061E83"/>
    <w:rsid w:val="00061ED8"/>
    <w:rsid w:val="00062223"/>
    <w:rsid w:val="000623B4"/>
    <w:rsid w:val="00062405"/>
    <w:rsid w:val="00062CB5"/>
    <w:rsid w:val="000634A7"/>
    <w:rsid w:val="00063B0B"/>
    <w:rsid w:val="00063F81"/>
    <w:rsid w:val="00064847"/>
    <w:rsid w:val="00065573"/>
    <w:rsid w:val="000655B1"/>
    <w:rsid w:val="00065E08"/>
    <w:rsid w:val="00066C21"/>
    <w:rsid w:val="00067093"/>
    <w:rsid w:val="000670E8"/>
    <w:rsid w:val="000672FE"/>
    <w:rsid w:val="000673E2"/>
    <w:rsid w:val="000675B0"/>
    <w:rsid w:val="00067C17"/>
    <w:rsid w:val="00067C7D"/>
    <w:rsid w:val="0007054B"/>
    <w:rsid w:val="0007063F"/>
    <w:rsid w:val="00070949"/>
    <w:rsid w:val="00070B1F"/>
    <w:rsid w:val="000710EF"/>
    <w:rsid w:val="000711E4"/>
    <w:rsid w:val="000711E5"/>
    <w:rsid w:val="00071681"/>
    <w:rsid w:val="00071682"/>
    <w:rsid w:val="000726FD"/>
    <w:rsid w:val="0007284A"/>
    <w:rsid w:val="00072AED"/>
    <w:rsid w:val="00073F47"/>
    <w:rsid w:val="000745AA"/>
    <w:rsid w:val="000745BF"/>
    <w:rsid w:val="0007492F"/>
    <w:rsid w:val="00074ED8"/>
    <w:rsid w:val="00075AF1"/>
    <w:rsid w:val="00075B30"/>
    <w:rsid w:val="00075B7E"/>
    <w:rsid w:val="00077033"/>
    <w:rsid w:val="00077C70"/>
    <w:rsid w:val="00077F0A"/>
    <w:rsid w:val="00080268"/>
    <w:rsid w:val="000806E4"/>
    <w:rsid w:val="000813B5"/>
    <w:rsid w:val="0008184E"/>
    <w:rsid w:val="00081A91"/>
    <w:rsid w:val="00081BA3"/>
    <w:rsid w:val="00081D2E"/>
    <w:rsid w:val="00081F12"/>
    <w:rsid w:val="00081F89"/>
    <w:rsid w:val="00082619"/>
    <w:rsid w:val="00082D02"/>
    <w:rsid w:val="00083177"/>
    <w:rsid w:val="00083871"/>
    <w:rsid w:val="00083A22"/>
    <w:rsid w:val="00083B91"/>
    <w:rsid w:val="00083F72"/>
    <w:rsid w:val="000840C2"/>
    <w:rsid w:val="0008473C"/>
    <w:rsid w:val="000848AB"/>
    <w:rsid w:val="0008520B"/>
    <w:rsid w:val="000853CA"/>
    <w:rsid w:val="00085DF0"/>
    <w:rsid w:val="00085F11"/>
    <w:rsid w:val="000860BD"/>
    <w:rsid w:val="000871B8"/>
    <w:rsid w:val="0008768B"/>
    <w:rsid w:val="00087E81"/>
    <w:rsid w:val="000907C5"/>
    <w:rsid w:val="000916DA"/>
    <w:rsid w:val="00091BE7"/>
    <w:rsid w:val="00091FE0"/>
    <w:rsid w:val="000922D2"/>
    <w:rsid w:val="00092442"/>
    <w:rsid w:val="000929EF"/>
    <w:rsid w:val="00092E76"/>
    <w:rsid w:val="00094B0B"/>
    <w:rsid w:val="00095572"/>
    <w:rsid w:val="0009560F"/>
    <w:rsid w:val="0009588E"/>
    <w:rsid w:val="000959EE"/>
    <w:rsid w:val="00095A35"/>
    <w:rsid w:val="00095DE1"/>
    <w:rsid w:val="000962BE"/>
    <w:rsid w:val="00097183"/>
    <w:rsid w:val="000972CB"/>
    <w:rsid w:val="00097608"/>
    <w:rsid w:val="000A042B"/>
    <w:rsid w:val="000A0AE1"/>
    <w:rsid w:val="000A13F3"/>
    <w:rsid w:val="000A23B1"/>
    <w:rsid w:val="000A2553"/>
    <w:rsid w:val="000A2B0E"/>
    <w:rsid w:val="000A3007"/>
    <w:rsid w:val="000A337B"/>
    <w:rsid w:val="000A36F2"/>
    <w:rsid w:val="000A398F"/>
    <w:rsid w:val="000A39A8"/>
    <w:rsid w:val="000A3EA5"/>
    <w:rsid w:val="000A4145"/>
    <w:rsid w:val="000A4976"/>
    <w:rsid w:val="000A4D96"/>
    <w:rsid w:val="000A4DEE"/>
    <w:rsid w:val="000A509C"/>
    <w:rsid w:val="000A6007"/>
    <w:rsid w:val="000A65A6"/>
    <w:rsid w:val="000A6CC2"/>
    <w:rsid w:val="000A70E3"/>
    <w:rsid w:val="000A7275"/>
    <w:rsid w:val="000A7A12"/>
    <w:rsid w:val="000A7A72"/>
    <w:rsid w:val="000B073B"/>
    <w:rsid w:val="000B11EB"/>
    <w:rsid w:val="000B1202"/>
    <w:rsid w:val="000B1434"/>
    <w:rsid w:val="000B1801"/>
    <w:rsid w:val="000B1D0C"/>
    <w:rsid w:val="000B2113"/>
    <w:rsid w:val="000B2273"/>
    <w:rsid w:val="000B2BC6"/>
    <w:rsid w:val="000B2D03"/>
    <w:rsid w:val="000B3815"/>
    <w:rsid w:val="000B3C7B"/>
    <w:rsid w:val="000B47C7"/>
    <w:rsid w:val="000B652F"/>
    <w:rsid w:val="000B6A6B"/>
    <w:rsid w:val="000B6C95"/>
    <w:rsid w:val="000B79FC"/>
    <w:rsid w:val="000C060D"/>
    <w:rsid w:val="000C1300"/>
    <w:rsid w:val="000C1679"/>
    <w:rsid w:val="000C1B94"/>
    <w:rsid w:val="000C1D81"/>
    <w:rsid w:val="000C1EE3"/>
    <w:rsid w:val="000C2F05"/>
    <w:rsid w:val="000C3AE7"/>
    <w:rsid w:val="000C3CC9"/>
    <w:rsid w:val="000C3D7F"/>
    <w:rsid w:val="000C4215"/>
    <w:rsid w:val="000C46C5"/>
    <w:rsid w:val="000C4885"/>
    <w:rsid w:val="000C48E4"/>
    <w:rsid w:val="000C4DC9"/>
    <w:rsid w:val="000C53D7"/>
    <w:rsid w:val="000C5583"/>
    <w:rsid w:val="000C6DE4"/>
    <w:rsid w:val="000C7202"/>
    <w:rsid w:val="000C749B"/>
    <w:rsid w:val="000C74D9"/>
    <w:rsid w:val="000C7AD3"/>
    <w:rsid w:val="000D0243"/>
    <w:rsid w:val="000D0A89"/>
    <w:rsid w:val="000D106C"/>
    <w:rsid w:val="000D1389"/>
    <w:rsid w:val="000D1798"/>
    <w:rsid w:val="000D2039"/>
    <w:rsid w:val="000D2626"/>
    <w:rsid w:val="000D26E7"/>
    <w:rsid w:val="000D29CA"/>
    <w:rsid w:val="000D3A93"/>
    <w:rsid w:val="000D3AD7"/>
    <w:rsid w:val="000D3F76"/>
    <w:rsid w:val="000D411D"/>
    <w:rsid w:val="000D4163"/>
    <w:rsid w:val="000D432A"/>
    <w:rsid w:val="000D4589"/>
    <w:rsid w:val="000D570D"/>
    <w:rsid w:val="000D5E27"/>
    <w:rsid w:val="000D73DD"/>
    <w:rsid w:val="000D7AEC"/>
    <w:rsid w:val="000E0835"/>
    <w:rsid w:val="000E141A"/>
    <w:rsid w:val="000E181F"/>
    <w:rsid w:val="000E1C51"/>
    <w:rsid w:val="000E244D"/>
    <w:rsid w:val="000E28AB"/>
    <w:rsid w:val="000E2AA1"/>
    <w:rsid w:val="000E2E3E"/>
    <w:rsid w:val="000E3583"/>
    <w:rsid w:val="000E36FE"/>
    <w:rsid w:val="000E3AF0"/>
    <w:rsid w:val="000E3D93"/>
    <w:rsid w:val="000E4348"/>
    <w:rsid w:val="000E485B"/>
    <w:rsid w:val="000E490E"/>
    <w:rsid w:val="000E4E04"/>
    <w:rsid w:val="000E6D5C"/>
    <w:rsid w:val="000E6EC9"/>
    <w:rsid w:val="000E70B4"/>
    <w:rsid w:val="000E7523"/>
    <w:rsid w:val="000E7847"/>
    <w:rsid w:val="000E78B2"/>
    <w:rsid w:val="000E7B62"/>
    <w:rsid w:val="000F0E1E"/>
    <w:rsid w:val="000F0E20"/>
    <w:rsid w:val="000F0EE6"/>
    <w:rsid w:val="000F18A8"/>
    <w:rsid w:val="000F1A1B"/>
    <w:rsid w:val="000F2740"/>
    <w:rsid w:val="000F28B2"/>
    <w:rsid w:val="000F2A95"/>
    <w:rsid w:val="000F3281"/>
    <w:rsid w:val="000F32FD"/>
    <w:rsid w:val="000F3733"/>
    <w:rsid w:val="000F375F"/>
    <w:rsid w:val="000F396F"/>
    <w:rsid w:val="000F4754"/>
    <w:rsid w:val="000F499F"/>
    <w:rsid w:val="000F5266"/>
    <w:rsid w:val="000F5509"/>
    <w:rsid w:val="000F5882"/>
    <w:rsid w:val="000F5F8B"/>
    <w:rsid w:val="000F627C"/>
    <w:rsid w:val="000F641E"/>
    <w:rsid w:val="000F64A5"/>
    <w:rsid w:val="000F64AA"/>
    <w:rsid w:val="000F69BC"/>
    <w:rsid w:val="000F6AB1"/>
    <w:rsid w:val="000F7AF4"/>
    <w:rsid w:val="000F7C33"/>
    <w:rsid w:val="000F7E09"/>
    <w:rsid w:val="000F7F0C"/>
    <w:rsid w:val="001004D6"/>
    <w:rsid w:val="001005A7"/>
    <w:rsid w:val="00100982"/>
    <w:rsid w:val="0010176A"/>
    <w:rsid w:val="00102117"/>
    <w:rsid w:val="0010228F"/>
    <w:rsid w:val="00102676"/>
    <w:rsid w:val="00103646"/>
    <w:rsid w:val="00103918"/>
    <w:rsid w:val="00103D46"/>
    <w:rsid w:val="0010478C"/>
    <w:rsid w:val="00104897"/>
    <w:rsid w:val="00104EDE"/>
    <w:rsid w:val="00105CDA"/>
    <w:rsid w:val="00106B0E"/>
    <w:rsid w:val="00106BA4"/>
    <w:rsid w:val="00106BEE"/>
    <w:rsid w:val="001073C7"/>
    <w:rsid w:val="00107C5E"/>
    <w:rsid w:val="00107C74"/>
    <w:rsid w:val="00110338"/>
    <w:rsid w:val="0011091C"/>
    <w:rsid w:val="0011108B"/>
    <w:rsid w:val="001112EB"/>
    <w:rsid w:val="001126FC"/>
    <w:rsid w:val="00113390"/>
    <w:rsid w:val="00113678"/>
    <w:rsid w:val="001138CE"/>
    <w:rsid w:val="00113C30"/>
    <w:rsid w:val="00113C3E"/>
    <w:rsid w:val="00113F7A"/>
    <w:rsid w:val="0011489E"/>
    <w:rsid w:val="00115E11"/>
    <w:rsid w:val="00115EEE"/>
    <w:rsid w:val="00115F56"/>
    <w:rsid w:val="001160DE"/>
    <w:rsid w:val="00116CA9"/>
    <w:rsid w:val="001170A4"/>
    <w:rsid w:val="00117776"/>
    <w:rsid w:val="00117AE7"/>
    <w:rsid w:val="00117B42"/>
    <w:rsid w:val="00117CBD"/>
    <w:rsid w:val="0012006A"/>
    <w:rsid w:val="00120526"/>
    <w:rsid w:val="00120BC9"/>
    <w:rsid w:val="00120C86"/>
    <w:rsid w:val="00120E0D"/>
    <w:rsid w:val="00121979"/>
    <w:rsid w:val="00121AA3"/>
    <w:rsid w:val="00121B9F"/>
    <w:rsid w:val="00122064"/>
    <w:rsid w:val="00122623"/>
    <w:rsid w:val="00122DDD"/>
    <w:rsid w:val="00122FC4"/>
    <w:rsid w:val="0012349B"/>
    <w:rsid w:val="00123E44"/>
    <w:rsid w:val="00123F9C"/>
    <w:rsid w:val="00124341"/>
    <w:rsid w:val="00124492"/>
    <w:rsid w:val="00124B12"/>
    <w:rsid w:val="00124D6D"/>
    <w:rsid w:val="001250A0"/>
    <w:rsid w:val="001263B8"/>
    <w:rsid w:val="00126751"/>
    <w:rsid w:val="00126777"/>
    <w:rsid w:val="00130217"/>
    <w:rsid w:val="00130783"/>
    <w:rsid w:val="001307EB"/>
    <w:rsid w:val="00130A47"/>
    <w:rsid w:val="00130E68"/>
    <w:rsid w:val="001310FC"/>
    <w:rsid w:val="001311DB"/>
    <w:rsid w:val="001318E5"/>
    <w:rsid w:val="00131C59"/>
    <w:rsid w:val="00132688"/>
    <w:rsid w:val="00132B47"/>
    <w:rsid w:val="001337F8"/>
    <w:rsid w:val="00133D3E"/>
    <w:rsid w:val="00133E19"/>
    <w:rsid w:val="001348B4"/>
    <w:rsid w:val="001349CB"/>
    <w:rsid w:val="00134BBF"/>
    <w:rsid w:val="001351CB"/>
    <w:rsid w:val="00135947"/>
    <w:rsid w:val="001359A2"/>
    <w:rsid w:val="00136020"/>
    <w:rsid w:val="00136445"/>
    <w:rsid w:val="00137438"/>
    <w:rsid w:val="001379B3"/>
    <w:rsid w:val="00140132"/>
    <w:rsid w:val="00141C9C"/>
    <w:rsid w:val="00141F34"/>
    <w:rsid w:val="0014277F"/>
    <w:rsid w:val="001431E9"/>
    <w:rsid w:val="001434BE"/>
    <w:rsid w:val="00144050"/>
    <w:rsid w:val="00144753"/>
    <w:rsid w:val="0014479F"/>
    <w:rsid w:val="001452B4"/>
    <w:rsid w:val="00145320"/>
    <w:rsid w:val="001453F1"/>
    <w:rsid w:val="001457AE"/>
    <w:rsid w:val="001467D0"/>
    <w:rsid w:val="001476D3"/>
    <w:rsid w:val="001509CF"/>
    <w:rsid w:val="001509D9"/>
    <w:rsid w:val="001509E4"/>
    <w:rsid w:val="00150BB7"/>
    <w:rsid w:val="00150D1D"/>
    <w:rsid w:val="00150EF2"/>
    <w:rsid w:val="001518FE"/>
    <w:rsid w:val="001525AA"/>
    <w:rsid w:val="00152717"/>
    <w:rsid w:val="00152A87"/>
    <w:rsid w:val="00153BB5"/>
    <w:rsid w:val="00153C29"/>
    <w:rsid w:val="00154518"/>
    <w:rsid w:val="00154A0C"/>
    <w:rsid w:val="00154C38"/>
    <w:rsid w:val="00154CD9"/>
    <w:rsid w:val="00156359"/>
    <w:rsid w:val="00156800"/>
    <w:rsid w:val="00156DD6"/>
    <w:rsid w:val="00156E2F"/>
    <w:rsid w:val="0016056A"/>
    <w:rsid w:val="0016086E"/>
    <w:rsid w:val="00160D0C"/>
    <w:rsid w:val="00161172"/>
    <w:rsid w:val="00161998"/>
    <w:rsid w:val="00161A4D"/>
    <w:rsid w:val="00161E65"/>
    <w:rsid w:val="0016202C"/>
    <w:rsid w:val="00162597"/>
    <w:rsid w:val="001629AF"/>
    <w:rsid w:val="001629FD"/>
    <w:rsid w:val="00162ABF"/>
    <w:rsid w:val="00162CD9"/>
    <w:rsid w:val="0016418E"/>
    <w:rsid w:val="0016428A"/>
    <w:rsid w:val="001647C9"/>
    <w:rsid w:val="00164F71"/>
    <w:rsid w:val="0016501B"/>
    <w:rsid w:val="001654EE"/>
    <w:rsid w:val="00165627"/>
    <w:rsid w:val="001661A3"/>
    <w:rsid w:val="00166394"/>
    <w:rsid w:val="001668AA"/>
    <w:rsid w:val="001668F4"/>
    <w:rsid w:val="00167226"/>
    <w:rsid w:val="0016782B"/>
    <w:rsid w:val="0016784D"/>
    <w:rsid w:val="001678CA"/>
    <w:rsid w:val="001679CB"/>
    <w:rsid w:val="00171409"/>
    <w:rsid w:val="00172E68"/>
    <w:rsid w:val="00172E75"/>
    <w:rsid w:val="00172FE6"/>
    <w:rsid w:val="00173256"/>
    <w:rsid w:val="00173A0C"/>
    <w:rsid w:val="00173A1D"/>
    <w:rsid w:val="00173B0E"/>
    <w:rsid w:val="00173E03"/>
    <w:rsid w:val="0017512C"/>
    <w:rsid w:val="001757AD"/>
    <w:rsid w:val="0017586A"/>
    <w:rsid w:val="00175BA6"/>
    <w:rsid w:val="0017610B"/>
    <w:rsid w:val="001769AC"/>
    <w:rsid w:val="00176CA7"/>
    <w:rsid w:val="001778C5"/>
    <w:rsid w:val="0017794A"/>
    <w:rsid w:val="00177BE9"/>
    <w:rsid w:val="00177C63"/>
    <w:rsid w:val="00177E56"/>
    <w:rsid w:val="00177F0A"/>
    <w:rsid w:val="00180728"/>
    <w:rsid w:val="001807BC"/>
    <w:rsid w:val="00180DA0"/>
    <w:rsid w:val="00181917"/>
    <w:rsid w:val="001819E3"/>
    <w:rsid w:val="00181EAD"/>
    <w:rsid w:val="00182594"/>
    <w:rsid w:val="00182862"/>
    <w:rsid w:val="00184F57"/>
    <w:rsid w:val="00185258"/>
    <w:rsid w:val="00185544"/>
    <w:rsid w:val="00185617"/>
    <w:rsid w:val="00185F26"/>
    <w:rsid w:val="0018776C"/>
    <w:rsid w:val="00187971"/>
    <w:rsid w:val="00187A14"/>
    <w:rsid w:val="001904EE"/>
    <w:rsid w:val="001908D7"/>
    <w:rsid w:val="00190DC2"/>
    <w:rsid w:val="00190EB0"/>
    <w:rsid w:val="00190ED3"/>
    <w:rsid w:val="0019171E"/>
    <w:rsid w:val="00192368"/>
    <w:rsid w:val="001923A0"/>
    <w:rsid w:val="0019248A"/>
    <w:rsid w:val="001925BE"/>
    <w:rsid w:val="001927C2"/>
    <w:rsid w:val="001928B1"/>
    <w:rsid w:val="00192E66"/>
    <w:rsid w:val="00193537"/>
    <w:rsid w:val="00193846"/>
    <w:rsid w:val="00193FE1"/>
    <w:rsid w:val="001952AC"/>
    <w:rsid w:val="00195424"/>
    <w:rsid w:val="001955FF"/>
    <w:rsid w:val="001958C8"/>
    <w:rsid w:val="00196B1E"/>
    <w:rsid w:val="00197A9A"/>
    <w:rsid w:val="00197AFB"/>
    <w:rsid w:val="00197B2C"/>
    <w:rsid w:val="00197EDD"/>
    <w:rsid w:val="001A02B3"/>
    <w:rsid w:val="001A04BB"/>
    <w:rsid w:val="001A08D0"/>
    <w:rsid w:val="001A0E74"/>
    <w:rsid w:val="001A1B39"/>
    <w:rsid w:val="001A2120"/>
    <w:rsid w:val="001A28C6"/>
    <w:rsid w:val="001A2CF3"/>
    <w:rsid w:val="001A2E69"/>
    <w:rsid w:val="001A3961"/>
    <w:rsid w:val="001A3B6A"/>
    <w:rsid w:val="001A3C34"/>
    <w:rsid w:val="001A3EDE"/>
    <w:rsid w:val="001A4222"/>
    <w:rsid w:val="001A488B"/>
    <w:rsid w:val="001A4E99"/>
    <w:rsid w:val="001A5027"/>
    <w:rsid w:val="001A50EA"/>
    <w:rsid w:val="001A5DEF"/>
    <w:rsid w:val="001A5E24"/>
    <w:rsid w:val="001A6D8B"/>
    <w:rsid w:val="001A6DAA"/>
    <w:rsid w:val="001A7717"/>
    <w:rsid w:val="001A7B92"/>
    <w:rsid w:val="001A7BBE"/>
    <w:rsid w:val="001B04DB"/>
    <w:rsid w:val="001B08CE"/>
    <w:rsid w:val="001B0CBB"/>
    <w:rsid w:val="001B125A"/>
    <w:rsid w:val="001B19D4"/>
    <w:rsid w:val="001B1B6A"/>
    <w:rsid w:val="001B1EBA"/>
    <w:rsid w:val="001B2142"/>
    <w:rsid w:val="001B216C"/>
    <w:rsid w:val="001B2278"/>
    <w:rsid w:val="001B2F2B"/>
    <w:rsid w:val="001B3061"/>
    <w:rsid w:val="001B30A5"/>
    <w:rsid w:val="001B327A"/>
    <w:rsid w:val="001B35DE"/>
    <w:rsid w:val="001B3A13"/>
    <w:rsid w:val="001B4311"/>
    <w:rsid w:val="001B5153"/>
    <w:rsid w:val="001B59FF"/>
    <w:rsid w:val="001B648F"/>
    <w:rsid w:val="001B6512"/>
    <w:rsid w:val="001B65D7"/>
    <w:rsid w:val="001B6752"/>
    <w:rsid w:val="001B6768"/>
    <w:rsid w:val="001B67E4"/>
    <w:rsid w:val="001B6F1F"/>
    <w:rsid w:val="001B7ECC"/>
    <w:rsid w:val="001C025B"/>
    <w:rsid w:val="001C0730"/>
    <w:rsid w:val="001C115F"/>
    <w:rsid w:val="001C240A"/>
    <w:rsid w:val="001C25A7"/>
    <w:rsid w:val="001C2C51"/>
    <w:rsid w:val="001C2F4D"/>
    <w:rsid w:val="001C318C"/>
    <w:rsid w:val="001C3313"/>
    <w:rsid w:val="001C35C4"/>
    <w:rsid w:val="001C3663"/>
    <w:rsid w:val="001C408A"/>
    <w:rsid w:val="001C4287"/>
    <w:rsid w:val="001C4479"/>
    <w:rsid w:val="001C5190"/>
    <w:rsid w:val="001C606D"/>
    <w:rsid w:val="001C6081"/>
    <w:rsid w:val="001C755B"/>
    <w:rsid w:val="001C7B48"/>
    <w:rsid w:val="001D0273"/>
    <w:rsid w:val="001D02F2"/>
    <w:rsid w:val="001D07E1"/>
    <w:rsid w:val="001D0CFB"/>
    <w:rsid w:val="001D0D81"/>
    <w:rsid w:val="001D0FBB"/>
    <w:rsid w:val="001D15A6"/>
    <w:rsid w:val="001D1A0D"/>
    <w:rsid w:val="001D343C"/>
    <w:rsid w:val="001D35AA"/>
    <w:rsid w:val="001D53FC"/>
    <w:rsid w:val="001D54EE"/>
    <w:rsid w:val="001D58A1"/>
    <w:rsid w:val="001D58C2"/>
    <w:rsid w:val="001D595A"/>
    <w:rsid w:val="001D5A8A"/>
    <w:rsid w:val="001D722F"/>
    <w:rsid w:val="001D735E"/>
    <w:rsid w:val="001D73C8"/>
    <w:rsid w:val="001D7BC6"/>
    <w:rsid w:val="001E129E"/>
    <w:rsid w:val="001E13FD"/>
    <w:rsid w:val="001E175C"/>
    <w:rsid w:val="001E1B0E"/>
    <w:rsid w:val="001E2A4E"/>
    <w:rsid w:val="001E30E7"/>
    <w:rsid w:val="001E388B"/>
    <w:rsid w:val="001E5A03"/>
    <w:rsid w:val="001E5A94"/>
    <w:rsid w:val="001E6992"/>
    <w:rsid w:val="001E6E2A"/>
    <w:rsid w:val="001E76EA"/>
    <w:rsid w:val="001E7934"/>
    <w:rsid w:val="001E7F09"/>
    <w:rsid w:val="001F1048"/>
    <w:rsid w:val="001F2A2E"/>
    <w:rsid w:val="001F3356"/>
    <w:rsid w:val="001F3A83"/>
    <w:rsid w:val="001F3C63"/>
    <w:rsid w:val="001F4460"/>
    <w:rsid w:val="001F452C"/>
    <w:rsid w:val="001F51BB"/>
    <w:rsid w:val="001F526C"/>
    <w:rsid w:val="001F711A"/>
    <w:rsid w:val="001F73EE"/>
    <w:rsid w:val="001F75B0"/>
    <w:rsid w:val="00200CE5"/>
    <w:rsid w:val="00200F7C"/>
    <w:rsid w:val="002014DB"/>
    <w:rsid w:val="00201D08"/>
    <w:rsid w:val="00201E12"/>
    <w:rsid w:val="0020228E"/>
    <w:rsid w:val="002033B5"/>
    <w:rsid w:val="0020375B"/>
    <w:rsid w:val="0020382C"/>
    <w:rsid w:val="0020437A"/>
    <w:rsid w:val="0020454C"/>
    <w:rsid w:val="0020521F"/>
    <w:rsid w:val="0020532C"/>
    <w:rsid w:val="00205914"/>
    <w:rsid w:val="00205CD0"/>
    <w:rsid w:val="00205E5D"/>
    <w:rsid w:val="0020602B"/>
    <w:rsid w:val="002072E5"/>
    <w:rsid w:val="00210647"/>
    <w:rsid w:val="002114C7"/>
    <w:rsid w:val="00211CE3"/>
    <w:rsid w:val="002128CC"/>
    <w:rsid w:val="0021302C"/>
    <w:rsid w:val="00213B1C"/>
    <w:rsid w:val="00213CDE"/>
    <w:rsid w:val="00213F72"/>
    <w:rsid w:val="00214202"/>
    <w:rsid w:val="002145F0"/>
    <w:rsid w:val="002148E3"/>
    <w:rsid w:val="0021552D"/>
    <w:rsid w:val="002156AE"/>
    <w:rsid w:val="00215E99"/>
    <w:rsid w:val="0021644F"/>
    <w:rsid w:val="00216978"/>
    <w:rsid w:val="00216DE8"/>
    <w:rsid w:val="00217094"/>
    <w:rsid w:val="0022054D"/>
    <w:rsid w:val="00220C61"/>
    <w:rsid w:val="00221F49"/>
    <w:rsid w:val="002238B2"/>
    <w:rsid w:val="00223DDB"/>
    <w:rsid w:val="00223FA4"/>
    <w:rsid w:val="00224067"/>
    <w:rsid w:val="0022421C"/>
    <w:rsid w:val="00224E83"/>
    <w:rsid w:val="00225664"/>
    <w:rsid w:val="0022663D"/>
    <w:rsid w:val="002266FE"/>
    <w:rsid w:val="00227F2D"/>
    <w:rsid w:val="00230828"/>
    <w:rsid w:val="00230990"/>
    <w:rsid w:val="00230C46"/>
    <w:rsid w:val="00231851"/>
    <w:rsid w:val="002319FB"/>
    <w:rsid w:val="00231B89"/>
    <w:rsid w:val="00231BBE"/>
    <w:rsid w:val="00231F11"/>
    <w:rsid w:val="00231F5E"/>
    <w:rsid w:val="00232010"/>
    <w:rsid w:val="00233051"/>
    <w:rsid w:val="00233660"/>
    <w:rsid w:val="00233732"/>
    <w:rsid w:val="002346B4"/>
    <w:rsid w:val="00234F6E"/>
    <w:rsid w:val="002355BE"/>
    <w:rsid w:val="002358EA"/>
    <w:rsid w:val="00236578"/>
    <w:rsid w:val="00236B68"/>
    <w:rsid w:val="00236DE9"/>
    <w:rsid w:val="00237342"/>
    <w:rsid w:val="00237D5A"/>
    <w:rsid w:val="00240E6D"/>
    <w:rsid w:val="002415AE"/>
    <w:rsid w:val="0024172F"/>
    <w:rsid w:val="00241D02"/>
    <w:rsid w:val="00241D3C"/>
    <w:rsid w:val="00242109"/>
    <w:rsid w:val="00242669"/>
    <w:rsid w:val="002426D4"/>
    <w:rsid w:val="00242E4D"/>
    <w:rsid w:val="00243189"/>
    <w:rsid w:val="002437CA"/>
    <w:rsid w:val="002439AB"/>
    <w:rsid w:val="00243C19"/>
    <w:rsid w:val="00243EA8"/>
    <w:rsid w:val="00244AE8"/>
    <w:rsid w:val="00245587"/>
    <w:rsid w:val="00245F2B"/>
    <w:rsid w:val="002460AF"/>
    <w:rsid w:val="002473DE"/>
    <w:rsid w:val="00247F3A"/>
    <w:rsid w:val="00250122"/>
    <w:rsid w:val="00250755"/>
    <w:rsid w:val="00251043"/>
    <w:rsid w:val="0025153C"/>
    <w:rsid w:val="00251771"/>
    <w:rsid w:val="00251C4A"/>
    <w:rsid w:val="00252098"/>
    <w:rsid w:val="002521D8"/>
    <w:rsid w:val="0025271C"/>
    <w:rsid w:val="00252EFA"/>
    <w:rsid w:val="002533CD"/>
    <w:rsid w:val="00254EA6"/>
    <w:rsid w:val="00254EAB"/>
    <w:rsid w:val="002557AF"/>
    <w:rsid w:val="0025589C"/>
    <w:rsid w:val="00255B62"/>
    <w:rsid w:val="00255E89"/>
    <w:rsid w:val="002566B1"/>
    <w:rsid w:val="002575E3"/>
    <w:rsid w:val="00257A74"/>
    <w:rsid w:val="002603C1"/>
    <w:rsid w:val="002605C5"/>
    <w:rsid w:val="002609A1"/>
    <w:rsid w:val="00261171"/>
    <w:rsid w:val="002612B1"/>
    <w:rsid w:val="00263553"/>
    <w:rsid w:val="00263A62"/>
    <w:rsid w:val="00264D4D"/>
    <w:rsid w:val="00264F18"/>
    <w:rsid w:val="0026503E"/>
    <w:rsid w:val="00266165"/>
    <w:rsid w:val="00266973"/>
    <w:rsid w:val="00266F2C"/>
    <w:rsid w:val="002678BC"/>
    <w:rsid w:val="00270356"/>
    <w:rsid w:val="00270FF7"/>
    <w:rsid w:val="0027125E"/>
    <w:rsid w:val="00271767"/>
    <w:rsid w:val="00271E40"/>
    <w:rsid w:val="00272293"/>
    <w:rsid w:val="0027234F"/>
    <w:rsid w:val="002723C8"/>
    <w:rsid w:val="002725D8"/>
    <w:rsid w:val="00272984"/>
    <w:rsid w:val="00272DAB"/>
    <w:rsid w:val="00273C2A"/>
    <w:rsid w:val="00273CBE"/>
    <w:rsid w:val="00274110"/>
    <w:rsid w:val="002742DE"/>
    <w:rsid w:val="002746B1"/>
    <w:rsid w:val="00276D9D"/>
    <w:rsid w:val="002778C4"/>
    <w:rsid w:val="0028047E"/>
    <w:rsid w:val="00280A48"/>
    <w:rsid w:val="002811E8"/>
    <w:rsid w:val="00282D56"/>
    <w:rsid w:val="002834D1"/>
    <w:rsid w:val="002835AB"/>
    <w:rsid w:val="002835B0"/>
    <w:rsid w:val="00283C27"/>
    <w:rsid w:val="00283C74"/>
    <w:rsid w:val="00283F40"/>
    <w:rsid w:val="0028407E"/>
    <w:rsid w:val="0028410F"/>
    <w:rsid w:val="00284572"/>
    <w:rsid w:val="00284C05"/>
    <w:rsid w:val="00284D51"/>
    <w:rsid w:val="002850B3"/>
    <w:rsid w:val="00285221"/>
    <w:rsid w:val="00285B65"/>
    <w:rsid w:val="00285E19"/>
    <w:rsid w:val="00286FB5"/>
    <w:rsid w:val="00287281"/>
    <w:rsid w:val="00287763"/>
    <w:rsid w:val="00287E53"/>
    <w:rsid w:val="00290606"/>
    <w:rsid w:val="002909B2"/>
    <w:rsid w:val="00291D6D"/>
    <w:rsid w:val="00291EA9"/>
    <w:rsid w:val="00291FF1"/>
    <w:rsid w:val="00292634"/>
    <w:rsid w:val="00292AA2"/>
    <w:rsid w:val="00293361"/>
    <w:rsid w:val="00293EB9"/>
    <w:rsid w:val="00294EA5"/>
    <w:rsid w:val="002952B1"/>
    <w:rsid w:val="00295D11"/>
    <w:rsid w:val="00296685"/>
    <w:rsid w:val="00296FB6"/>
    <w:rsid w:val="002970D6"/>
    <w:rsid w:val="0029786F"/>
    <w:rsid w:val="002A0BD9"/>
    <w:rsid w:val="002A0C3A"/>
    <w:rsid w:val="002A1130"/>
    <w:rsid w:val="002A126B"/>
    <w:rsid w:val="002A1880"/>
    <w:rsid w:val="002A23B7"/>
    <w:rsid w:val="002A303A"/>
    <w:rsid w:val="002A352C"/>
    <w:rsid w:val="002A3A57"/>
    <w:rsid w:val="002A43CF"/>
    <w:rsid w:val="002A4B4F"/>
    <w:rsid w:val="002A4BEC"/>
    <w:rsid w:val="002A4F86"/>
    <w:rsid w:val="002A4FB3"/>
    <w:rsid w:val="002A5435"/>
    <w:rsid w:val="002A565C"/>
    <w:rsid w:val="002A57A8"/>
    <w:rsid w:val="002A5E16"/>
    <w:rsid w:val="002A686C"/>
    <w:rsid w:val="002A6DEF"/>
    <w:rsid w:val="002A7113"/>
    <w:rsid w:val="002A770B"/>
    <w:rsid w:val="002B013E"/>
    <w:rsid w:val="002B058D"/>
    <w:rsid w:val="002B0C16"/>
    <w:rsid w:val="002B0FD0"/>
    <w:rsid w:val="002B1DFE"/>
    <w:rsid w:val="002B1ED3"/>
    <w:rsid w:val="002B27BF"/>
    <w:rsid w:val="002B28E5"/>
    <w:rsid w:val="002B2AC5"/>
    <w:rsid w:val="002B3528"/>
    <w:rsid w:val="002B3539"/>
    <w:rsid w:val="002B4011"/>
    <w:rsid w:val="002B4921"/>
    <w:rsid w:val="002B5042"/>
    <w:rsid w:val="002B50C9"/>
    <w:rsid w:val="002B5251"/>
    <w:rsid w:val="002B5BA4"/>
    <w:rsid w:val="002B6510"/>
    <w:rsid w:val="002B67ED"/>
    <w:rsid w:val="002B69CC"/>
    <w:rsid w:val="002B6D71"/>
    <w:rsid w:val="002C00F2"/>
    <w:rsid w:val="002C027C"/>
    <w:rsid w:val="002C0676"/>
    <w:rsid w:val="002C0870"/>
    <w:rsid w:val="002C0C1C"/>
    <w:rsid w:val="002C2D91"/>
    <w:rsid w:val="002C38D6"/>
    <w:rsid w:val="002C45EB"/>
    <w:rsid w:val="002C54C2"/>
    <w:rsid w:val="002C54D7"/>
    <w:rsid w:val="002C579C"/>
    <w:rsid w:val="002C57B8"/>
    <w:rsid w:val="002C5C9B"/>
    <w:rsid w:val="002C5D34"/>
    <w:rsid w:val="002C60BB"/>
    <w:rsid w:val="002C661A"/>
    <w:rsid w:val="002C6911"/>
    <w:rsid w:val="002C7102"/>
    <w:rsid w:val="002C7B2D"/>
    <w:rsid w:val="002C7B86"/>
    <w:rsid w:val="002D0600"/>
    <w:rsid w:val="002D0A48"/>
    <w:rsid w:val="002D0D6F"/>
    <w:rsid w:val="002D25FC"/>
    <w:rsid w:val="002D2734"/>
    <w:rsid w:val="002D37E8"/>
    <w:rsid w:val="002D4AC6"/>
    <w:rsid w:val="002D5099"/>
    <w:rsid w:val="002D5BF5"/>
    <w:rsid w:val="002D5C74"/>
    <w:rsid w:val="002D5EE8"/>
    <w:rsid w:val="002D6B30"/>
    <w:rsid w:val="002D7360"/>
    <w:rsid w:val="002D7648"/>
    <w:rsid w:val="002D781E"/>
    <w:rsid w:val="002E0CA6"/>
    <w:rsid w:val="002E109C"/>
    <w:rsid w:val="002E1347"/>
    <w:rsid w:val="002E193E"/>
    <w:rsid w:val="002E1A94"/>
    <w:rsid w:val="002E1B5D"/>
    <w:rsid w:val="002E1D55"/>
    <w:rsid w:val="002E1FF3"/>
    <w:rsid w:val="002E2630"/>
    <w:rsid w:val="002E26C4"/>
    <w:rsid w:val="002E2860"/>
    <w:rsid w:val="002E2B15"/>
    <w:rsid w:val="002E30A5"/>
    <w:rsid w:val="002E3806"/>
    <w:rsid w:val="002E3C0E"/>
    <w:rsid w:val="002E47E4"/>
    <w:rsid w:val="002E4BF9"/>
    <w:rsid w:val="002E4D61"/>
    <w:rsid w:val="002E6520"/>
    <w:rsid w:val="002E6E19"/>
    <w:rsid w:val="002E6E6C"/>
    <w:rsid w:val="002E6EE1"/>
    <w:rsid w:val="002E7D08"/>
    <w:rsid w:val="002F0522"/>
    <w:rsid w:val="002F121F"/>
    <w:rsid w:val="002F16DD"/>
    <w:rsid w:val="002F199D"/>
    <w:rsid w:val="002F213C"/>
    <w:rsid w:val="002F2586"/>
    <w:rsid w:val="002F352D"/>
    <w:rsid w:val="002F4084"/>
    <w:rsid w:val="002F4A08"/>
    <w:rsid w:val="002F4A77"/>
    <w:rsid w:val="002F4ADB"/>
    <w:rsid w:val="002F531E"/>
    <w:rsid w:val="002F548D"/>
    <w:rsid w:val="002F5ACC"/>
    <w:rsid w:val="002F5FE5"/>
    <w:rsid w:val="002F66D9"/>
    <w:rsid w:val="002F6A7E"/>
    <w:rsid w:val="002F704B"/>
    <w:rsid w:val="002F72C3"/>
    <w:rsid w:val="002F768C"/>
    <w:rsid w:val="002F7D1E"/>
    <w:rsid w:val="00300201"/>
    <w:rsid w:val="0030025A"/>
    <w:rsid w:val="0030043A"/>
    <w:rsid w:val="003006C1"/>
    <w:rsid w:val="003011CD"/>
    <w:rsid w:val="003019DC"/>
    <w:rsid w:val="00301C83"/>
    <w:rsid w:val="0030241F"/>
    <w:rsid w:val="00302EFC"/>
    <w:rsid w:val="00303243"/>
    <w:rsid w:val="00303BCC"/>
    <w:rsid w:val="00303F2B"/>
    <w:rsid w:val="00303F8D"/>
    <w:rsid w:val="003054E2"/>
    <w:rsid w:val="0030572D"/>
    <w:rsid w:val="0030586A"/>
    <w:rsid w:val="003059F9"/>
    <w:rsid w:val="0030622D"/>
    <w:rsid w:val="00306599"/>
    <w:rsid w:val="00306811"/>
    <w:rsid w:val="00306F32"/>
    <w:rsid w:val="00306FA8"/>
    <w:rsid w:val="003074C5"/>
    <w:rsid w:val="003078D9"/>
    <w:rsid w:val="00307A3C"/>
    <w:rsid w:val="00307FA4"/>
    <w:rsid w:val="00310290"/>
    <w:rsid w:val="003105A7"/>
    <w:rsid w:val="00310CC1"/>
    <w:rsid w:val="00311AE1"/>
    <w:rsid w:val="003121BE"/>
    <w:rsid w:val="00312504"/>
    <w:rsid w:val="00313026"/>
    <w:rsid w:val="0031371C"/>
    <w:rsid w:val="00313913"/>
    <w:rsid w:val="00313C99"/>
    <w:rsid w:val="00314101"/>
    <w:rsid w:val="0031421F"/>
    <w:rsid w:val="00314282"/>
    <w:rsid w:val="00314B31"/>
    <w:rsid w:val="00315A65"/>
    <w:rsid w:val="003176DC"/>
    <w:rsid w:val="003176E9"/>
    <w:rsid w:val="00317BA7"/>
    <w:rsid w:val="00317D62"/>
    <w:rsid w:val="00320312"/>
    <w:rsid w:val="00320454"/>
    <w:rsid w:val="00320BE2"/>
    <w:rsid w:val="00321363"/>
    <w:rsid w:val="00321886"/>
    <w:rsid w:val="00323694"/>
    <w:rsid w:val="003237DA"/>
    <w:rsid w:val="00323BE7"/>
    <w:rsid w:val="00323D95"/>
    <w:rsid w:val="00324C3A"/>
    <w:rsid w:val="00324D63"/>
    <w:rsid w:val="003255AF"/>
    <w:rsid w:val="003256EB"/>
    <w:rsid w:val="003259DB"/>
    <w:rsid w:val="00326297"/>
    <w:rsid w:val="0032736D"/>
    <w:rsid w:val="00327408"/>
    <w:rsid w:val="00327409"/>
    <w:rsid w:val="00330900"/>
    <w:rsid w:val="003314D9"/>
    <w:rsid w:val="00331653"/>
    <w:rsid w:val="00331A3B"/>
    <w:rsid w:val="00331A48"/>
    <w:rsid w:val="00331BCC"/>
    <w:rsid w:val="00331E71"/>
    <w:rsid w:val="0033205D"/>
    <w:rsid w:val="0033244A"/>
    <w:rsid w:val="003330C9"/>
    <w:rsid w:val="0033364C"/>
    <w:rsid w:val="003340B7"/>
    <w:rsid w:val="00334415"/>
    <w:rsid w:val="003346A8"/>
    <w:rsid w:val="00334954"/>
    <w:rsid w:val="00334EE2"/>
    <w:rsid w:val="00334F46"/>
    <w:rsid w:val="00335333"/>
    <w:rsid w:val="00335EA1"/>
    <w:rsid w:val="0033691E"/>
    <w:rsid w:val="00336A6A"/>
    <w:rsid w:val="00336B7D"/>
    <w:rsid w:val="00336C09"/>
    <w:rsid w:val="00336C28"/>
    <w:rsid w:val="00336CCB"/>
    <w:rsid w:val="00337FEB"/>
    <w:rsid w:val="00340499"/>
    <w:rsid w:val="003411D1"/>
    <w:rsid w:val="003416BA"/>
    <w:rsid w:val="00341CA0"/>
    <w:rsid w:val="00342148"/>
    <w:rsid w:val="00342F99"/>
    <w:rsid w:val="00344014"/>
    <w:rsid w:val="00344AC3"/>
    <w:rsid w:val="003453C7"/>
    <w:rsid w:val="003454B1"/>
    <w:rsid w:val="00345F57"/>
    <w:rsid w:val="003463F0"/>
    <w:rsid w:val="00347611"/>
    <w:rsid w:val="00347C0A"/>
    <w:rsid w:val="003509FB"/>
    <w:rsid w:val="00350BF0"/>
    <w:rsid w:val="00350E6C"/>
    <w:rsid w:val="0035157C"/>
    <w:rsid w:val="0035159A"/>
    <w:rsid w:val="003515A4"/>
    <w:rsid w:val="0035171D"/>
    <w:rsid w:val="003517C6"/>
    <w:rsid w:val="003518A6"/>
    <w:rsid w:val="00351E7F"/>
    <w:rsid w:val="0035230D"/>
    <w:rsid w:val="0035244E"/>
    <w:rsid w:val="00352953"/>
    <w:rsid w:val="00354062"/>
    <w:rsid w:val="00355484"/>
    <w:rsid w:val="0035596A"/>
    <w:rsid w:val="00355C0D"/>
    <w:rsid w:val="00355C92"/>
    <w:rsid w:val="00355CEA"/>
    <w:rsid w:val="003566A9"/>
    <w:rsid w:val="00356988"/>
    <w:rsid w:val="003569FF"/>
    <w:rsid w:val="00356CE9"/>
    <w:rsid w:val="003570BB"/>
    <w:rsid w:val="00357128"/>
    <w:rsid w:val="0035755E"/>
    <w:rsid w:val="00357A80"/>
    <w:rsid w:val="00360134"/>
    <w:rsid w:val="00360A8B"/>
    <w:rsid w:val="00360DC3"/>
    <w:rsid w:val="0036112A"/>
    <w:rsid w:val="00361441"/>
    <w:rsid w:val="00361535"/>
    <w:rsid w:val="00361695"/>
    <w:rsid w:val="00361AD4"/>
    <w:rsid w:val="00361B1A"/>
    <w:rsid w:val="00361B8B"/>
    <w:rsid w:val="0036220D"/>
    <w:rsid w:val="00363F39"/>
    <w:rsid w:val="0036445C"/>
    <w:rsid w:val="00364627"/>
    <w:rsid w:val="00364AB0"/>
    <w:rsid w:val="00364C6F"/>
    <w:rsid w:val="00365A9F"/>
    <w:rsid w:val="00365B4D"/>
    <w:rsid w:val="0036601F"/>
    <w:rsid w:val="00366605"/>
    <w:rsid w:val="003667B0"/>
    <w:rsid w:val="003667DD"/>
    <w:rsid w:val="00366910"/>
    <w:rsid w:val="00366B48"/>
    <w:rsid w:val="003675A2"/>
    <w:rsid w:val="003675C4"/>
    <w:rsid w:val="00367764"/>
    <w:rsid w:val="003701C0"/>
    <w:rsid w:val="00370316"/>
    <w:rsid w:val="00370DC7"/>
    <w:rsid w:val="00371CBD"/>
    <w:rsid w:val="00371F20"/>
    <w:rsid w:val="00372B98"/>
    <w:rsid w:val="003737B7"/>
    <w:rsid w:val="00373F41"/>
    <w:rsid w:val="003740CC"/>
    <w:rsid w:val="003745F4"/>
    <w:rsid w:val="00374E79"/>
    <w:rsid w:val="0037529A"/>
    <w:rsid w:val="00375388"/>
    <w:rsid w:val="00375758"/>
    <w:rsid w:val="00375FB9"/>
    <w:rsid w:val="00376742"/>
    <w:rsid w:val="00376851"/>
    <w:rsid w:val="00376CC3"/>
    <w:rsid w:val="00376FA2"/>
    <w:rsid w:val="003772C8"/>
    <w:rsid w:val="00377A3B"/>
    <w:rsid w:val="00377E3C"/>
    <w:rsid w:val="003802A5"/>
    <w:rsid w:val="00380BBE"/>
    <w:rsid w:val="00380F3E"/>
    <w:rsid w:val="00381299"/>
    <w:rsid w:val="00381B59"/>
    <w:rsid w:val="00381D70"/>
    <w:rsid w:val="0038235E"/>
    <w:rsid w:val="003829D0"/>
    <w:rsid w:val="00383006"/>
    <w:rsid w:val="00383E49"/>
    <w:rsid w:val="0038444F"/>
    <w:rsid w:val="003849F1"/>
    <w:rsid w:val="003861F0"/>
    <w:rsid w:val="00386D56"/>
    <w:rsid w:val="00387051"/>
    <w:rsid w:val="0038724B"/>
    <w:rsid w:val="00387ECF"/>
    <w:rsid w:val="00387F04"/>
    <w:rsid w:val="0039021B"/>
    <w:rsid w:val="00390429"/>
    <w:rsid w:val="003921F5"/>
    <w:rsid w:val="00392995"/>
    <w:rsid w:val="0039366C"/>
    <w:rsid w:val="00393EC8"/>
    <w:rsid w:val="0039505B"/>
    <w:rsid w:val="00395C92"/>
    <w:rsid w:val="00395E42"/>
    <w:rsid w:val="00396409"/>
    <w:rsid w:val="00396A2D"/>
    <w:rsid w:val="00396FC3"/>
    <w:rsid w:val="00397357"/>
    <w:rsid w:val="00397621"/>
    <w:rsid w:val="003A15B5"/>
    <w:rsid w:val="003A173A"/>
    <w:rsid w:val="003A1A94"/>
    <w:rsid w:val="003A204E"/>
    <w:rsid w:val="003A222F"/>
    <w:rsid w:val="003A2D25"/>
    <w:rsid w:val="003A3FFC"/>
    <w:rsid w:val="003A425B"/>
    <w:rsid w:val="003A4262"/>
    <w:rsid w:val="003A4FB3"/>
    <w:rsid w:val="003A514E"/>
    <w:rsid w:val="003A5954"/>
    <w:rsid w:val="003A5C48"/>
    <w:rsid w:val="003A5DFF"/>
    <w:rsid w:val="003A5FDB"/>
    <w:rsid w:val="003A60E7"/>
    <w:rsid w:val="003A67BE"/>
    <w:rsid w:val="003A7092"/>
    <w:rsid w:val="003A72A1"/>
    <w:rsid w:val="003A7611"/>
    <w:rsid w:val="003A7694"/>
    <w:rsid w:val="003A774D"/>
    <w:rsid w:val="003A7781"/>
    <w:rsid w:val="003A7D1F"/>
    <w:rsid w:val="003B0B6A"/>
    <w:rsid w:val="003B18C4"/>
    <w:rsid w:val="003B21ED"/>
    <w:rsid w:val="003B22F7"/>
    <w:rsid w:val="003B2444"/>
    <w:rsid w:val="003B29CF"/>
    <w:rsid w:val="003B34EF"/>
    <w:rsid w:val="003B3A90"/>
    <w:rsid w:val="003B452F"/>
    <w:rsid w:val="003B4ED7"/>
    <w:rsid w:val="003B534F"/>
    <w:rsid w:val="003B689D"/>
    <w:rsid w:val="003B788F"/>
    <w:rsid w:val="003B7A79"/>
    <w:rsid w:val="003C007A"/>
    <w:rsid w:val="003C0781"/>
    <w:rsid w:val="003C0AF1"/>
    <w:rsid w:val="003C151A"/>
    <w:rsid w:val="003C1A25"/>
    <w:rsid w:val="003C2548"/>
    <w:rsid w:val="003C2617"/>
    <w:rsid w:val="003C2AB4"/>
    <w:rsid w:val="003C2BF1"/>
    <w:rsid w:val="003C33C2"/>
    <w:rsid w:val="003C350C"/>
    <w:rsid w:val="003C3903"/>
    <w:rsid w:val="003C3BA0"/>
    <w:rsid w:val="003C3E10"/>
    <w:rsid w:val="003C3E37"/>
    <w:rsid w:val="003C3E8F"/>
    <w:rsid w:val="003C3ED8"/>
    <w:rsid w:val="003C3ED9"/>
    <w:rsid w:val="003C3F07"/>
    <w:rsid w:val="003C4580"/>
    <w:rsid w:val="003C46A4"/>
    <w:rsid w:val="003C4E8B"/>
    <w:rsid w:val="003C4F4A"/>
    <w:rsid w:val="003C5775"/>
    <w:rsid w:val="003C5B4D"/>
    <w:rsid w:val="003C5C5E"/>
    <w:rsid w:val="003C6746"/>
    <w:rsid w:val="003C7555"/>
    <w:rsid w:val="003C7898"/>
    <w:rsid w:val="003C7B2A"/>
    <w:rsid w:val="003D06CD"/>
    <w:rsid w:val="003D0FF5"/>
    <w:rsid w:val="003D11A3"/>
    <w:rsid w:val="003D1537"/>
    <w:rsid w:val="003D183C"/>
    <w:rsid w:val="003D2D1B"/>
    <w:rsid w:val="003D3DEB"/>
    <w:rsid w:val="003D48C7"/>
    <w:rsid w:val="003D4C27"/>
    <w:rsid w:val="003D4F94"/>
    <w:rsid w:val="003D57EB"/>
    <w:rsid w:val="003D6998"/>
    <w:rsid w:val="003D7109"/>
    <w:rsid w:val="003D7813"/>
    <w:rsid w:val="003D7CE8"/>
    <w:rsid w:val="003E02FC"/>
    <w:rsid w:val="003E0514"/>
    <w:rsid w:val="003E0886"/>
    <w:rsid w:val="003E1032"/>
    <w:rsid w:val="003E1904"/>
    <w:rsid w:val="003E20C5"/>
    <w:rsid w:val="003E285E"/>
    <w:rsid w:val="003E2951"/>
    <w:rsid w:val="003E3124"/>
    <w:rsid w:val="003E3300"/>
    <w:rsid w:val="003E34F9"/>
    <w:rsid w:val="003E38E9"/>
    <w:rsid w:val="003E43D3"/>
    <w:rsid w:val="003E4793"/>
    <w:rsid w:val="003E48E1"/>
    <w:rsid w:val="003E59BB"/>
    <w:rsid w:val="003E5BA9"/>
    <w:rsid w:val="003E6225"/>
    <w:rsid w:val="003E6271"/>
    <w:rsid w:val="003E65AC"/>
    <w:rsid w:val="003E66AE"/>
    <w:rsid w:val="003E6D55"/>
    <w:rsid w:val="003E720F"/>
    <w:rsid w:val="003E72B9"/>
    <w:rsid w:val="003E78B8"/>
    <w:rsid w:val="003E7ED4"/>
    <w:rsid w:val="003F0985"/>
    <w:rsid w:val="003F0E52"/>
    <w:rsid w:val="003F0F6B"/>
    <w:rsid w:val="003F1FC6"/>
    <w:rsid w:val="003F1FDE"/>
    <w:rsid w:val="003F1FE3"/>
    <w:rsid w:val="003F2359"/>
    <w:rsid w:val="003F3865"/>
    <w:rsid w:val="003F3B87"/>
    <w:rsid w:val="003F3D55"/>
    <w:rsid w:val="003F4020"/>
    <w:rsid w:val="003F44E2"/>
    <w:rsid w:val="003F4632"/>
    <w:rsid w:val="003F47BA"/>
    <w:rsid w:val="003F4FE6"/>
    <w:rsid w:val="003F50C3"/>
    <w:rsid w:val="003F5689"/>
    <w:rsid w:val="003F6617"/>
    <w:rsid w:val="003F69DF"/>
    <w:rsid w:val="003F7DA7"/>
    <w:rsid w:val="00401126"/>
    <w:rsid w:val="00402332"/>
    <w:rsid w:val="0040247E"/>
    <w:rsid w:val="004025C2"/>
    <w:rsid w:val="00402841"/>
    <w:rsid w:val="00402BB2"/>
    <w:rsid w:val="00403195"/>
    <w:rsid w:val="004033A9"/>
    <w:rsid w:val="00403587"/>
    <w:rsid w:val="00403D1D"/>
    <w:rsid w:val="00403E55"/>
    <w:rsid w:val="0040407C"/>
    <w:rsid w:val="0040416C"/>
    <w:rsid w:val="0040456E"/>
    <w:rsid w:val="00404681"/>
    <w:rsid w:val="00404A88"/>
    <w:rsid w:val="00405AC1"/>
    <w:rsid w:val="00406092"/>
    <w:rsid w:val="00406923"/>
    <w:rsid w:val="00406EB9"/>
    <w:rsid w:val="0040763D"/>
    <w:rsid w:val="00410590"/>
    <w:rsid w:val="00410D17"/>
    <w:rsid w:val="00411190"/>
    <w:rsid w:val="00411588"/>
    <w:rsid w:val="0041180B"/>
    <w:rsid w:val="004118BF"/>
    <w:rsid w:val="00412039"/>
    <w:rsid w:val="00412673"/>
    <w:rsid w:val="00412B25"/>
    <w:rsid w:val="004131E2"/>
    <w:rsid w:val="00413442"/>
    <w:rsid w:val="00413821"/>
    <w:rsid w:val="00413BA5"/>
    <w:rsid w:val="004141A3"/>
    <w:rsid w:val="00414909"/>
    <w:rsid w:val="00415146"/>
    <w:rsid w:val="004156D0"/>
    <w:rsid w:val="004157C6"/>
    <w:rsid w:val="0041582F"/>
    <w:rsid w:val="00415899"/>
    <w:rsid w:val="00415B89"/>
    <w:rsid w:val="00415C0F"/>
    <w:rsid w:val="00416112"/>
    <w:rsid w:val="00416FDD"/>
    <w:rsid w:val="00417AE0"/>
    <w:rsid w:val="00417BAA"/>
    <w:rsid w:val="00417C2B"/>
    <w:rsid w:val="0042034C"/>
    <w:rsid w:val="0042042B"/>
    <w:rsid w:val="00420B45"/>
    <w:rsid w:val="00420D7A"/>
    <w:rsid w:val="00421257"/>
    <w:rsid w:val="004219CC"/>
    <w:rsid w:val="00422193"/>
    <w:rsid w:val="004223DE"/>
    <w:rsid w:val="00422581"/>
    <w:rsid w:val="00422A10"/>
    <w:rsid w:val="004232E7"/>
    <w:rsid w:val="0042362D"/>
    <w:rsid w:val="00423969"/>
    <w:rsid w:val="00423C89"/>
    <w:rsid w:val="00424D17"/>
    <w:rsid w:val="004258A1"/>
    <w:rsid w:val="00425DFD"/>
    <w:rsid w:val="00425F8E"/>
    <w:rsid w:val="004263A3"/>
    <w:rsid w:val="00426AB0"/>
    <w:rsid w:val="00426DE0"/>
    <w:rsid w:val="00427713"/>
    <w:rsid w:val="00427CCC"/>
    <w:rsid w:val="0043013A"/>
    <w:rsid w:val="00430421"/>
    <w:rsid w:val="00430B4F"/>
    <w:rsid w:val="00431084"/>
    <w:rsid w:val="004310D7"/>
    <w:rsid w:val="004319FE"/>
    <w:rsid w:val="004322D6"/>
    <w:rsid w:val="00432589"/>
    <w:rsid w:val="00432A94"/>
    <w:rsid w:val="00432B6A"/>
    <w:rsid w:val="00432C95"/>
    <w:rsid w:val="004330D8"/>
    <w:rsid w:val="00433827"/>
    <w:rsid w:val="00433A40"/>
    <w:rsid w:val="00434B70"/>
    <w:rsid w:val="00435036"/>
    <w:rsid w:val="004350C1"/>
    <w:rsid w:val="00436021"/>
    <w:rsid w:val="004360C8"/>
    <w:rsid w:val="00436485"/>
    <w:rsid w:val="0043715C"/>
    <w:rsid w:val="004371D5"/>
    <w:rsid w:val="0044005C"/>
    <w:rsid w:val="0044006B"/>
    <w:rsid w:val="0044020D"/>
    <w:rsid w:val="0044033F"/>
    <w:rsid w:val="00440450"/>
    <w:rsid w:val="00440630"/>
    <w:rsid w:val="004408A0"/>
    <w:rsid w:val="00440A93"/>
    <w:rsid w:val="00441F0F"/>
    <w:rsid w:val="004420EA"/>
    <w:rsid w:val="00442965"/>
    <w:rsid w:val="00444157"/>
    <w:rsid w:val="0044417C"/>
    <w:rsid w:val="004441B8"/>
    <w:rsid w:val="004446BA"/>
    <w:rsid w:val="00444DB3"/>
    <w:rsid w:val="00444FB7"/>
    <w:rsid w:val="00445829"/>
    <w:rsid w:val="00445A2F"/>
    <w:rsid w:val="00445F45"/>
    <w:rsid w:val="0044610C"/>
    <w:rsid w:val="0044684E"/>
    <w:rsid w:val="00446D79"/>
    <w:rsid w:val="00446F22"/>
    <w:rsid w:val="0044762A"/>
    <w:rsid w:val="00447CCD"/>
    <w:rsid w:val="0045019F"/>
    <w:rsid w:val="004503A4"/>
    <w:rsid w:val="00450555"/>
    <w:rsid w:val="004506FA"/>
    <w:rsid w:val="004507BE"/>
    <w:rsid w:val="00450DC6"/>
    <w:rsid w:val="004516A5"/>
    <w:rsid w:val="00451980"/>
    <w:rsid w:val="00451E9C"/>
    <w:rsid w:val="0045280F"/>
    <w:rsid w:val="004528A0"/>
    <w:rsid w:val="0045334D"/>
    <w:rsid w:val="004535AE"/>
    <w:rsid w:val="00453C56"/>
    <w:rsid w:val="0045444D"/>
    <w:rsid w:val="0045463A"/>
    <w:rsid w:val="00454AC9"/>
    <w:rsid w:val="00455050"/>
    <w:rsid w:val="004554A3"/>
    <w:rsid w:val="00455A6E"/>
    <w:rsid w:val="00455B0F"/>
    <w:rsid w:val="00455EAD"/>
    <w:rsid w:val="004560A4"/>
    <w:rsid w:val="0045628B"/>
    <w:rsid w:val="004563D0"/>
    <w:rsid w:val="004578DD"/>
    <w:rsid w:val="004578EB"/>
    <w:rsid w:val="004604D5"/>
    <w:rsid w:val="00460697"/>
    <w:rsid w:val="0046117B"/>
    <w:rsid w:val="00461739"/>
    <w:rsid w:val="004639AF"/>
    <w:rsid w:val="00464003"/>
    <w:rsid w:val="004645A1"/>
    <w:rsid w:val="004648CD"/>
    <w:rsid w:val="00464AB7"/>
    <w:rsid w:val="00464CC2"/>
    <w:rsid w:val="00465E9D"/>
    <w:rsid w:val="004661A7"/>
    <w:rsid w:val="00466688"/>
    <w:rsid w:val="00467EF8"/>
    <w:rsid w:val="004710E2"/>
    <w:rsid w:val="004721C8"/>
    <w:rsid w:val="00472429"/>
    <w:rsid w:val="00472444"/>
    <w:rsid w:val="004725E5"/>
    <w:rsid w:val="00472751"/>
    <w:rsid w:val="00473128"/>
    <w:rsid w:val="00473AAB"/>
    <w:rsid w:val="00474C19"/>
    <w:rsid w:val="00475078"/>
    <w:rsid w:val="00475767"/>
    <w:rsid w:val="00476440"/>
    <w:rsid w:val="0047694F"/>
    <w:rsid w:val="00476BE0"/>
    <w:rsid w:val="00476EC6"/>
    <w:rsid w:val="0047787B"/>
    <w:rsid w:val="004779A0"/>
    <w:rsid w:val="00477F58"/>
    <w:rsid w:val="004808E3"/>
    <w:rsid w:val="00480B2A"/>
    <w:rsid w:val="00481016"/>
    <w:rsid w:val="0048204C"/>
    <w:rsid w:val="004821BB"/>
    <w:rsid w:val="004826FE"/>
    <w:rsid w:val="004827D5"/>
    <w:rsid w:val="00482AF2"/>
    <w:rsid w:val="004830C9"/>
    <w:rsid w:val="00483347"/>
    <w:rsid w:val="00483C34"/>
    <w:rsid w:val="00483E2E"/>
    <w:rsid w:val="00484B69"/>
    <w:rsid w:val="00485406"/>
    <w:rsid w:val="00485580"/>
    <w:rsid w:val="0048590F"/>
    <w:rsid w:val="00485E5F"/>
    <w:rsid w:val="0048670E"/>
    <w:rsid w:val="00486A82"/>
    <w:rsid w:val="00486D60"/>
    <w:rsid w:val="00487649"/>
    <w:rsid w:val="0049079E"/>
    <w:rsid w:val="00490C0A"/>
    <w:rsid w:val="00490CA2"/>
    <w:rsid w:val="00491660"/>
    <w:rsid w:val="00491ACC"/>
    <w:rsid w:val="00491C06"/>
    <w:rsid w:val="00491FA1"/>
    <w:rsid w:val="00492A25"/>
    <w:rsid w:val="004938A3"/>
    <w:rsid w:val="004946E3"/>
    <w:rsid w:val="004960CB"/>
    <w:rsid w:val="00496350"/>
    <w:rsid w:val="00496AF0"/>
    <w:rsid w:val="00496D82"/>
    <w:rsid w:val="00496E87"/>
    <w:rsid w:val="0049797C"/>
    <w:rsid w:val="004A0380"/>
    <w:rsid w:val="004A0541"/>
    <w:rsid w:val="004A110D"/>
    <w:rsid w:val="004A1405"/>
    <w:rsid w:val="004A1FC6"/>
    <w:rsid w:val="004A2B8C"/>
    <w:rsid w:val="004A2E5F"/>
    <w:rsid w:val="004A38C2"/>
    <w:rsid w:val="004A3C03"/>
    <w:rsid w:val="004A3DB7"/>
    <w:rsid w:val="004A4B8E"/>
    <w:rsid w:val="004A5088"/>
    <w:rsid w:val="004A5255"/>
    <w:rsid w:val="004A533E"/>
    <w:rsid w:val="004A5880"/>
    <w:rsid w:val="004A62C6"/>
    <w:rsid w:val="004A661B"/>
    <w:rsid w:val="004A6CB0"/>
    <w:rsid w:val="004A6F25"/>
    <w:rsid w:val="004A70FF"/>
    <w:rsid w:val="004A755A"/>
    <w:rsid w:val="004A7EDE"/>
    <w:rsid w:val="004B06DC"/>
    <w:rsid w:val="004B0834"/>
    <w:rsid w:val="004B0D93"/>
    <w:rsid w:val="004B0EA6"/>
    <w:rsid w:val="004B0F18"/>
    <w:rsid w:val="004B13F0"/>
    <w:rsid w:val="004B1480"/>
    <w:rsid w:val="004B1586"/>
    <w:rsid w:val="004B1FA4"/>
    <w:rsid w:val="004B23CB"/>
    <w:rsid w:val="004B2871"/>
    <w:rsid w:val="004B29AC"/>
    <w:rsid w:val="004B35DF"/>
    <w:rsid w:val="004B3627"/>
    <w:rsid w:val="004B4062"/>
    <w:rsid w:val="004B44B3"/>
    <w:rsid w:val="004B460E"/>
    <w:rsid w:val="004B4922"/>
    <w:rsid w:val="004B4B4A"/>
    <w:rsid w:val="004B50A7"/>
    <w:rsid w:val="004B57DF"/>
    <w:rsid w:val="004B5976"/>
    <w:rsid w:val="004B6790"/>
    <w:rsid w:val="004B722E"/>
    <w:rsid w:val="004B72E8"/>
    <w:rsid w:val="004C01A5"/>
    <w:rsid w:val="004C0412"/>
    <w:rsid w:val="004C083B"/>
    <w:rsid w:val="004C101E"/>
    <w:rsid w:val="004C1261"/>
    <w:rsid w:val="004C1AAE"/>
    <w:rsid w:val="004C1D80"/>
    <w:rsid w:val="004C2138"/>
    <w:rsid w:val="004C2F84"/>
    <w:rsid w:val="004C3935"/>
    <w:rsid w:val="004C3940"/>
    <w:rsid w:val="004C51FD"/>
    <w:rsid w:val="004C5ED7"/>
    <w:rsid w:val="004C641C"/>
    <w:rsid w:val="004C65A8"/>
    <w:rsid w:val="004C6689"/>
    <w:rsid w:val="004C6DA6"/>
    <w:rsid w:val="004C733D"/>
    <w:rsid w:val="004C7508"/>
    <w:rsid w:val="004C792C"/>
    <w:rsid w:val="004C7F66"/>
    <w:rsid w:val="004D139A"/>
    <w:rsid w:val="004D1414"/>
    <w:rsid w:val="004D14DC"/>
    <w:rsid w:val="004D17C6"/>
    <w:rsid w:val="004D2858"/>
    <w:rsid w:val="004D35BA"/>
    <w:rsid w:val="004D38E5"/>
    <w:rsid w:val="004D3C5A"/>
    <w:rsid w:val="004D3FE6"/>
    <w:rsid w:val="004D4350"/>
    <w:rsid w:val="004D449A"/>
    <w:rsid w:val="004D4701"/>
    <w:rsid w:val="004D47C7"/>
    <w:rsid w:val="004D4CA1"/>
    <w:rsid w:val="004D4F35"/>
    <w:rsid w:val="004D516A"/>
    <w:rsid w:val="004D5D45"/>
    <w:rsid w:val="004D618D"/>
    <w:rsid w:val="004D62A9"/>
    <w:rsid w:val="004D6862"/>
    <w:rsid w:val="004D6939"/>
    <w:rsid w:val="004D6C12"/>
    <w:rsid w:val="004D6FC3"/>
    <w:rsid w:val="004D7476"/>
    <w:rsid w:val="004D7716"/>
    <w:rsid w:val="004D7D80"/>
    <w:rsid w:val="004E0288"/>
    <w:rsid w:val="004E02F2"/>
    <w:rsid w:val="004E0306"/>
    <w:rsid w:val="004E0572"/>
    <w:rsid w:val="004E0C2A"/>
    <w:rsid w:val="004E1641"/>
    <w:rsid w:val="004E1818"/>
    <w:rsid w:val="004E1990"/>
    <w:rsid w:val="004E25A8"/>
    <w:rsid w:val="004E3930"/>
    <w:rsid w:val="004E3ED9"/>
    <w:rsid w:val="004E42F4"/>
    <w:rsid w:val="004E4D34"/>
    <w:rsid w:val="004E4D87"/>
    <w:rsid w:val="004E4FE0"/>
    <w:rsid w:val="004E545F"/>
    <w:rsid w:val="004E5866"/>
    <w:rsid w:val="004E59FC"/>
    <w:rsid w:val="004E5F9F"/>
    <w:rsid w:val="004E6097"/>
    <w:rsid w:val="004E61EF"/>
    <w:rsid w:val="004E63C6"/>
    <w:rsid w:val="004E76A7"/>
    <w:rsid w:val="004E7A60"/>
    <w:rsid w:val="004E7B03"/>
    <w:rsid w:val="004F0064"/>
    <w:rsid w:val="004F0558"/>
    <w:rsid w:val="004F06AC"/>
    <w:rsid w:val="004F1B53"/>
    <w:rsid w:val="004F1D2A"/>
    <w:rsid w:val="004F1E89"/>
    <w:rsid w:val="004F243F"/>
    <w:rsid w:val="004F252C"/>
    <w:rsid w:val="004F36A3"/>
    <w:rsid w:val="004F3E0C"/>
    <w:rsid w:val="004F4377"/>
    <w:rsid w:val="004F625F"/>
    <w:rsid w:val="004F6554"/>
    <w:rsid w:val="004F7160"/>
    <w:rsid w:val="00500258"/>
    <w:rsid w:val="005005DF"/>
    <w:rsid w:val="00500B2D"/>
    <w:rsid w:val="00501804"/>
    <w:rsid w:val="00501A99"/>
    <w:rsid w:val="005024F4"/>
    <w:rsid w:val="00503180"/>
    <w:rsid w:val="005038A4"/>
    <w:rsid w:val="00503B16"/>
    <w:rsid w:val="00503B2A"/>
    <w:rsid w:val="00503C48"/>
    <w:rsid w:val="00503EA2"/>
    <w:rsid w:val="00504CD7"/>
    <w:rsid w:val="00505450"/>
    <w:rsid w:val="00507472"/>
    <w:rsid w:val="005100B7"/>
    <w:rsid w:val="00510CCA"/>
    <w:rsid w:val="005113C9"/>
    <w:rsid w:val="00511460"/>
    <w:rsid w:val="00512025"/>
    <w:rsid w:val="00512050"/>
    <w:rsid w:val="00512055"/>
    <w:rsid w:val="00512179"/>
    <w:rsid w:val="0051280C"/>
    <w:rsid w:val="00512842"/>
    <w:rsid w:val="005128BE"/>
    <w:rsid w:val="00512C20"/>
    <w:rsid w:val="00512E49"/>
    <w:rsid w:val="00513464"/>
    <w:rsid w:val="0051356F"/>
    <w:rsid w:val="00513E7C"/>
    <w:rsid w:val="005140BB"/>
    <w:rsid w:val="00514837"/>
    <w:rsid w:val="00514FD9"/>
    <w:rsid w:val="00515187"/>
    <w:rsid w:val="00515441"/>
    <w:rsid w:val="0051550A"/>
    <w:rsid w:val="0051561D"/>
    <w:rsid w:val="0051608F"/>
    <w:rsid w:val="0051656F"/>
    <w:rsid w:val="00517E04"/>
    <w:rsid w:val="00520EF8"/>
    <w:rsid w:val="00520F0C"/>
    <w:rsid w:val="005210F7"/>
    <w:rsid w:val="005214F0"/>
    <w:rsid w:val="00521753"/>
    <w:rsid w:val="005224EE"/>
    <w:rsid w:val="00522879"/>
    <w:rsid w:val="005236DB"/>
    <w:rsid w:val="00523BB1"/>
    <w:rsid w:val="005257F6"/>
    <w:rsid w:val="00525889"/>
    <w:rsid w:val="005260CD"/>
    <w:rsid w:val="00526265"/>
    <w:rsid w:val="0052655D"/>
    <w:rsid w:val="005265E0"/>
    <w:rsid w:val="00526BC3"/>
    <w:rsid w:val="00527505"/>
    <w:rsid w:val="00527AA2"/>
    <w:rsid w:val="00527B05"/>
    <w:rsid w:val="00531761"/>
    <w:rsid w:val="0053248F"/>
    <w:rsid w:val="0053332A"/>
    <w:rsid w:val="00533336"/>
    <w:rsid w:val="0053358A"/>
    <w:rsid w:val="00534668"/>
    <w:rsid w:val="00534723"/>
    <w:rsid w:val="00534ACA"/>
    <w:rsid w:val="00534DDD"/>
    <w:rsid w:val="00535291"/>
    <w:rsid w:val="005352A9"/>
    <w:rsid w:val="00535A94"/>
    <w:rsid w:val="00535F83"/>
    <w:rsid w:val="00536E37"/>
    <w:rsid w:val="00537874"/>
    <w:rsid w:val="0053795F"/>
    <w:rsid w:val="005379C4"/>
    <w:rsid w:val="00540406"/>
    <w:rsid w:val="00540511"/>
    <w:rsid w:val="00540578"/>
    <w:rsid w:val="00540808"/>
    <w:rsid w:val="0054080E"/>
    <w:rsid w:val="00540EA1"/>
    <w:rsid w:val="005411E4"/>
    <w:rsid w:val="00541503"/>
    <w:rsid w:val="00541697"/>
    <w:rsid w:val="005416A8"/>
    <w:rsid w:val="005417BF"/>
    <w:rsid w:val="005420E4"/>
    <w:rsid w:val="0054358E"/>
    <w:rsid w:val="00543950"/>
    <w:rsid w:val="00543AF4"/>
    <w:rsid w:val="00543FD3"/>
    <w:rsid w:val="00544191"/>
    <w:rsid w:val="005443E5"/>
    <w:rsid w:val="005448EC"/>
    <w:rsid w:val="00544931"/>
    <w:rsid w:val="00544A4F"/>
    <w:rsid w:val="00544F39"/>
    <w:rsid w:val="00544F82"/>
    <w:rsid w:val="0054514F"/>
    <w:rsid w:val="005458D8"/>
    <w:rsid w:val="00546F90"/>
    <w:rsid w:val="00547EFB"/>
    <w:rsid w:val="0055033C"/>
    <w:rsid w:val="005511C4"/>
    <w:rsid w:val="00551B86"/>
    <w:rsid w:val="005522F2"/>
    <w:rsid w:val="00552555"/>
    <w:rsid w:val="005525E5"/>
    <w:rsid w:val="005527F5"/>
    <w:rsid w:val="005531DF"/>
    <w:rsid w:val="00553320"/>
    <w:rsid w:val="00553874"/>
    <w:rsid w:val="00553ECF"/>
    <w:rsid w:val="00554AD8"/>
    <w:rsid w:val="00554F78"/>
    <w:rsid w:val="00555565"/>
    <w:rsid w:val="005557BC"/>
    <w:rsid w:val="00555DA1"/>
    <w:rsid w:val="00556BF7"/>
    <w:rsid w:val="00556F14"/>
    <w:rsid w:val="0055737F"/>
    <w:rsid w:val="00557556"/>
    <w:rsid w:val="00557F60"/>
    <w:rsid w:val="0056011B"/>
    <w:rsid w:val="005603F9"/>
    <w:rsid w:val="00560C19"/>
    <w:rsid w:val="00561602"/>
    <w:rsid w:val="00561730"/>
    <w:rsid w:val="00561B97"/>
    <w:rsid w:val="00562149"/>
    <w:rsid w:val="0056242B"/>
    <w:rsid w:val="00564F6D"/>
    <w:rsid w:val="00566FC1"/>
    <w:rsid w:val="00567B5D"/>
    <w:rsid w:val="005706C1"/>
    <w:rsid w:val="00570757"/>
    <w:rsid w:val="00571243"/>
    <w:rsid w:val="0057148D"/>
    <w:rsid w:val="00571846"/>
    <w:rsid w:val="00572F0A"/>
    <w:rsid w:val="00573733"/>
    <w:rsid w:val="00573F8B"/>
    <w:rsid w:val="00574554"/>
    <w:rsid w:val="005747A8"/>
    <w:rsid w:val="00574E06"/>
    <w:rsid w:val="005751BB"/>
    <w:rsid w:val="00575A87"/>
    <w:rsid w:val="00576089"/>
    <w:rsid w:val="0057611E"/>
    <w:rsid w:val="005764B1"/>
    <w:rsid w:val="00576852"/>
    <w:rsid w:val="00576D06"/>
    <w:rsid w:val="005779E4"/>
    <w:rsid w:val="00577AA5"/>
    <w:rsid w:val="00580664"/>
    <w:rsid w:val="00581D82"/>
    <w:rsid w:val="005825A5"/>
    <w:rsid w:val="0058289C"/>
    <w:rsid w:val="005836C7"/>
    <w:rsid w:val="005838C7"/>
    <w:rsid w:val="00583ADB"/>
    <w:rsid w:val="0058408E"/>
    <w:rsid w:val="00585374"/>
    <w:rsid w:val="005854CA"/>
    <w:rsid w:val="00585FAB"/>
    <w:rsid w:val="00586107"/>
    <w:rsid w:val="00590B77"/>
    <w:rsid w:val="00590D9A"/>
    <w:rsid w:val="005913A3"/>
    <w:rsid w:val="00592BDD"/>
    <w:rsid w:val="005940D4"/>
    <w:rsid w:val="00594A09"/>
    <w:rsid w:val="00594A7B"/>
    <w:rsid w:val="0059580E"/>
    <w:rsid w:val="00595D90"/>
    <w:rsid w:val="00596A6F"/>
    <w:rsid w:val="00596E40"/>
    <w:rsid w:val="00596FCE"/>
    <w:rsid w:val="00597B42"/>
    <w:rsid w:val="005A03AB"/>
    <w:rsid w:val="005A0B9A"/>
    <w:rsid w:val="005A0F60"/>
    <w:rsid w:val="005A11BC"/>
    <w:rsid w:val="005A1525"/>
    <w:rsid w:val="005A1575"/>
    <w:rsid w:val="005A1904"/>
    <w:rsid w:val="005A1E17"/>
    <w:rsid w:val="005A223D"/>
    <w:rsid w:val="005A252B"/>
    <w:rsid w:val="005A2BD4"/>
    <w:rsid w:val="005A3204"/>
    <w:rsid w:val="005A3341"/>
    <w:rsid w:val="005A3884"/>
    <w:rsid w:val="005A3C3D"/>
    <w:rsid w:val="005A4688"/>
    <w:rsid w:val="005A46EC"/>
    <w:rsid w:val="005A5EAE"/>
    <w:rsid w:val="005A6254"/>
    <w:rsid w:val="005A6407"/>
    <w:rsid w:val="005A7AD2"/>
    <w:rsid w:val="005B0372"/>
    <w:rsid w:val="005B056C"/>
    <w:rsid w:val="005B0735"/>
    <w:rsid w:val="005B07EC"/>
    <w:rsid w:val="005B1AF9"/>
    <w:rsid w:val="005B21B3"/>
    <w:rsid w:val="005B23C1"/>
    <w:rsid w:val="005B2B11"/>
    <w:rsid w:val="005B32A4"/>
    <w:rsid w:val="005B3BAF"/>
    <w:rsid w:val="005B4DA3"/>
    <w:rsid w:val="005B5448"/>
    <w:rsid w:val="005B58D5"/>
    <w:rsid w:val="005B5BEE"/>
    <w:rsid w:val="005B6351"/>
    <w:rsid w:val="005B708B"/>
    <w:rsid w:val="005B72FA"/>
    <w:rsid w:val="005B759E"/>
    <w:rsid w:val="005B77D2"/>
    <w:rsid w:val="005C019B"/>
    <w:rsid w:val="005C10A8"/>
    <w:rsid w:val="005C145E"/>
    <w:rsid w:val="005C1AED"/>
    <w:rsid w:val="005C30E7"/>
    <w:rsid w:val="005C30F5"/>
    <w:rsid w:val="005C3B73"/>
    <w:rsid w:val="005C3CA0"/>
    <w:rsid w:val="005C3CCA"/>
    <w:rsid w:val="005C4284"/>
    <w:rsid w:val="005C4DF4"/>
    <w:rsid w:val="005C4FDE"/>
    <w:rsid w:val="005C51A5"/>
    <w:rsid w:val="005C557A"/>
    <w:rsid w:val="005C5BFE"/>
    <w:rsid w:val="005C5C47"/>
    <w:rsid w:val="005C61DD"/>
    <w:rsid w:val="005C6438"/>
    <w:rsid w:val="005C664A"/>
    <w:rsid w:val="005C6B8B"/>
    <w:rsid w:val="005C727F"/>
    <w:rsid w:val="005C7C7F"/>
    <w:rsid w:val="005D02E3"/>
    <w:rsid w:val="005D0FBF"/>
    <w:rsid w:val="005D114E"/>
    <w:rsid w:val="005D1B3F"/>
    <w:rsid w:val="005D1F34"/>
    <w:rsid w:val="005D25ED"/>
    <w:rsid w:val="005D2C1F"/>
    <w:rsid w:val="005D34B2"/>
    <w:rsid w:val="005D38D5"/>
    <w:rsid w:val="005D3967"/>
    <w:rsid w:val="005D3B54"/>
    <w:rsid w:val="005D40CD"/>
    <w:rsid w:val="005D5522"/>
    <w:rsid w:val="005D5751"/>
    <w:rsid w:val="005D6B59"/>
    <w:rsid w:val="005D6CC7"/>
    <w:rsid w:val="005D6EC5"/>
    <w:rsid w:val="005D7334"/>
    <w:rsid w:val="005D784B"/>
    <w:rsid w:val="005E032C"/>
    <w:rsid w:val="005E03E4"/>
    <w:rsid w:val="005E0454"/>
    <w:rsid w:val="005E05F6"/>
    <w:rsid w:val="005E0E17"/>
    <w:rsid w:val="005E0FF8"/>
    <w:rsid w:val="005E1B14"/>
    <w:rsid w:val="005E1CB1"/>
    <w:rsid w:val="005E1E96"/>
    <w:rsid w:val="005E240F"/>
    <w:rsid w:val="005E2442"/>
    <w:rsid w:val="005E2457"/>
    <w:rsid w:val="005E29A1"/>
    <w:rsid w:val="005E3111"/>
    <w:rsid w:val="005E34BF"/>
    <w:rsid w:val="005E37B9"/>
    <w:rsid w:val="005E3F85"/>
    <w:rsid w:val="005E41C9"/>
    <w:rsid w:val="005E4527"/>
    <w:rsid w:val="005E5387"/>
    <w:rsid w:val="005E57B0"/>
    <w:rsid w:val="005E5851"/>
    <w:rsid w:val="005E5B01"/>
    <w:rsid w:val="005E5EE5"/>
    <w:rsid w:val="005E614A"/>
    <w:rsid w:val="005E6D3B"/>
    <w:rsid w:val="005E75CF"/>
    <w:rsid w:val="005F009E"/>
    <w:rsid w:val="005F0DF1"/>
    <w:rsid w:val="005F1516"/>
    <w:rsid w:val="005F1585"/>
    <w:rsid w:val="005F2205"/>
    <w:rsid w:val="005F229E"/>
    <w:rsid w:val="005F2400"/>
    <w:rsid w:val="005F2564"/>
    <w:rsid w:val="005F2694"/>
    <w:rsid w:val="005F318E"/>
    <w:rsid w:val="005F3822"/>
    <w:rsid w:val="005F3901"/>
    <w:rsid w:val="005F39B8"/>
    <w:rsid w:val="005F4352"/>
    <w:rsid w:val="005F43EF"/>
    <w:rsid w:val="005F4635"/>
    <w:rsid w:val="005F4729"/>
    <w:rsid w:val="005F4900"/>
    <w:rsid w:val="005F4E52"/>
    <w:rsid w:val="005F5B2B"/>
    <w:rsid w:val="005F6858"/>
    <w:rsid w:val="005F6DB2"/>
    <w:rsid w:val="005F7383"/>
    <w:rsid w:val="005F7854"/>
    <w:rsid w:val="0060058E"/>
    <w:rsid w:val="006010A8"/>
    <w:rsid w:val="00601260"/>
    <w:rsid w:val="0060161F"/>
    <w:rsid w:val="00601A1D"/>
    <w:rsid w:val="00602049"/>
    <w:rsid w:val="00602A3C"/>
    <w:rsid w:val="00602C6B"/>
    <w:rsid w:val="00602DED"/>
    <w:rsid w:val="00603BF3"/>
    <w:rsid w:val="00603EFD"/>
    <w:rsid w:val="0060475B"/>
    <w:rsid w:val="00604A48"/>
    <w:rsid w:val="00604E05"/>
    <w:rsid w:val="00604FA9"/>
    <w:rsid w:val="00604FB6"/>
    <w:rsid w:val="00605387"/>
    <w:rsid w:val="00605499"/>
    <w:rsid w:val="00605DBE"/>
    <w:rsid w:val="00605E6F"/>
    <w:rsid w:val="00606302"/>
    <w:rsid w:val="00607533"/>
    <w:rsid w:val="006076FD"/>
    <w:rsid w:val="00610E10"/>
    <w:rsid w:val="006113CB"/>
    <w:rsid w:val="0061143F"/>
    <w:rsid w:val="006114D8"/>
    <w:rsid w:val="006116AE"/>
    <w:rsid w:val="00611B31"/>
    <w:rsid w:val="0061203A"/>
    <w:rsid w:val="0061332D"/>
    <w:rsid w:val="00613553"/>
    <w:rsid w:val="00613601"/>
    <w:rsid w:val="00613788"/>
    <w:rsid w:val="00613791"/>
    <w:rsid w:val="00614DF9"/>
    <w:rsid w:val="006150D6"/>
    <w:rsid w:val="00615245"/>
    <w:rsid w:val="0061590D"/>
    <w:rsid w:val="00615B6B"/>
    <w:rsid w:val="00615CC5"/>
    <w:rsid w:val="00615DF2"/>
    <w:rsid w:val="0061676C"/>
    <w:rsid w:val="00616CF9"/>
    <w:rsid w:val="00617750"/>
    <w:rsid w:val="00617EEE"/>
    <w:rsid w:val="0062027D"/>
    <w:rsid w:val="00620A1F"/>
    <w:rsid w:val="00621251"/>
    <w:rsid w:val="006212C4"/>
    <w:rsid w:val="0062169D"/>
    <w:rsid w:val="0062181E"/>
    <w:rsid w:val="00621A27"/>
    <w:rsid w:val="00621E04"/>
    <w:rsid w:val="00622725"/>
    <w:rsid w:val="00622BB7"/>
    <w:rsid w:val="00622C1E"/>
    <w:rsid w:val="0062301B"/>
    <w:rsid w:val="00623389"/>
    <w:rsid w:val="00623DAA"/>
    <w:rsid w:val="00623FAF"/>
    <w:rsid w:val="00624339"/>
    <w:rsid w:val="00625F68"/>
    <w:rsid w:val="006261EC"/>
    <w:rsid w:val="00626485"/>
    <w:rsid w:val="006265C4"/>
    <w:rsid w:val="0062678A"/>
    <w:rsid w:val="006270AF"/>
    <w:rsid w:val="00627583"/>
    <w:rsid w:val="00630684"/>
    <w:rsid w:val="006308A5"/>
    <w:rsid w:val="006319CE"/>
    <w:rsid w:val="00632FE4"/>
    <w:rsid w:val="00633324"/>
    <w:rsid w:val="00633353"/>
    <w:rsid w:val="0063414B"/>
    <w:rsid w:val="00634367"/>
    <w:rsid w:val="00634AD9"/>
    <w:rsid w:val="00634FDB"/>
    <w:rsid w:val="00635CFE"/>
    <w:rsid w:val="00635DEA"/>
    <w:rsid w:val="006363E7"/>
    <w:rsid w:val="00637B5D"/>
    <w:rsid w:val="00640082"/>
    <w:rsid w:val="00640291"/>
    <w:rsid w:val="00640EFE"/>
    <w:rsid w:val="00640FEF"/>
    <w:rsid w:val="006413AB"/>
    <w:rsid w:val="00641711"/>
    <w:rsid w:val="00641CB6"/>
    <w:rsid w:val="00641D6D"/>
    <w:rsid w:val="00641FAC"/>
    <w:rsid w:val="00643135"/>
    <w:rsid w:val="00643664"/>
    <w:rsid w:val="00643CAA"/>
    <w:rsid w:val="00643F69"/>
    <w:rsid w:val="0064482A"/>
    <w:rsid w:val="00644F16"/>
    <w:rsid w:val="006455EB"/>
    <w:rsid w:val="006456C2"/>
    <w:rsid w:val="00645AD8"/>
    <w:rsid w:val="0064648C"/>
    <w:rsid w:val="006466D0"/>
    <w:rsid w:val="00647783"/>
    <w:rsid w:val="006477F0"/>
    <w:rsid w:val="006478E4"/>
    <w:rsid w:val="00647EAF"/>
    <w:rsid w:val="006503A6"/>
    <w:rsid w:val="006506DE"/>
    <w:rsid w:val="00650971"/>
    <w:rsid w:val="00651501"/>
    <w:rsid w:val="0065171A"/>
    <w:rsid w:val="00651732"/>
    <w:rsid w:val="00651959"/>
    <w:rsid w:val="00651FC9"/>
    <w:rsid w:val="006522BB"/>
    <w:rsid w:val="00652680"/>
    <w:rsid w:val="006526A2"/>
    <w:rsid w:val="006530A9"/>
    <w:rsid w:val="0065349E"/>
    <w:rsid w:val="00653CDE"/>
    <w:rsid w:val="00653D93"/>
    <w:rsid w:val="00653DC6"/>
    <w:rsid w:val="00654585"/>
    <w:rsid w:val="006551B0"/>
    <w:rsid w:val="00655AB6"/>
    <w:rsid w:val="00655E59"/>
    <w:rsid w:val="0065636A"/>
    <w:rsid w:val="00656A4A"/>
    <w:rsid w:val="00656F95"/>
    <w:rsid w:val="00657003"/>
    <w:rsid w:val="00657A14"/>
    <w:rsid w:val="00657E61"/>
    <w:rsid w:val="0066013F"/>
    <w:rsid w:val="00660238"/>
    <w:rsid w:val="006602EF"/>
    <w:rsid w:val="00661277"/>
    <w:rsid w:val="006619E0"/>
    <w:rsid w:val="0066283F"/>
    <w:rsid w:val="006632BB"/>
    <w:rsid w:val="006638A4"/>
    <w:rsid w:val="00663FEA"/>
    <w:rsid w:val="00664803"/>
    <w:rsid w:val="00664F46"/>
    <w:rsid w:val="0066508D"/>
    <w:rsid w:val="006651D6"/>
    <w:rsid w:val="0066557C"/>
    <w:rsid w:val="006657C5"/>
    <w:rsid w:val="00665F09"/>
    <w:rsid w:val="006661A4"/>
    <w:rsid w:val="00666A54"/>
    <w:rsid w:val="00666AC0"/>
    <w:rsid w:val="006670E0"/>
    <w:rsid w:val="006671B8"/>
    <w:rsid w:val="00667275"/>
    <w:rsid w:val="00667532"/>
    <w:rsid w:val="00667603"/>
    <w:rsid w:val="006677B3"/>
    <w:rsid w:val="0066783E"/>
    <w:rsid w:val="00667E53"/>
    <w:rsid w:val="00670384"/>
    <w:rsid w:val="0067065F"/>
    <w:rsid w:val="006708DC"/>
    <w:rsid w:val="006713AB"/>
    <w:rsid w:val="00671687"/>
    <w:rsid w:val="00672882"/>
    <w:rsid w:val="00672CA5"/>
    <w:rsid w:val="006736A6"/>
    <w:rsid w:val="00673711"/>
    <w:rsid w:val="00673F82"/>
    <w:rsid w:val="006744BC"/>
    <w:rsid w:val="00674F74"/>
    <w:rsid w:val="0067508F"/>
    <w:rsid w:val="006756C3"/>
    <w:rsid w:val="00675881"/>
    <w:rsid w:val="00676E55"/>
    <w:rsid w:val="00677576"/>
    <w:rsid w:val="00677EF3"/>
    <w:rsid w:val="0068051E"/>
    <w:rsid w:val="00680B9D"/>
    <w:rsid w:val="00681F13"/>
    <w:rsid w:val="0068231C"/>
    <w:rsid w:val="00682344"/>
    <w:rsid w:val="00682F28"/>
    <w:rsid w:val="006846ED"/>
    <w:rsid w:val="00684842"/>
    <w:rsid w:val="006859AA"/>
    <w:rsid w:val="00685B58"/>
    <w:rsid w:val="00685BD6"/>
    <w:rsid w:val="00687116"/>
    <w:rsid w:val="006875C4"/>
    <w:rsid w:val="006878A6"/>
    <w:rsid w:val="00687D5F"/>
    <w:rsid w:val="006902FB"/>
    <w:rsid w:val="00690437"/>
    <w:rsid w:val="00690BFE"/>
    <w:rsid w:val="00690DC3"/>
    <w:rsid w:val="00690E65"/>
    <w:rsid w:val="006911B7"/>
    <w:rsid w:val="00691387"/>
    <w:rsid w:val="00691641"/>
    <w:rsid w:val="0069188E"/>
    <w:rsid w:val="006918BD"/>
    <w:rsid w:val="00691974"/>
    <w:rsid w:val="00692BF6"/>
    <w:rsid w:val="00692CE6"/>
    <w:rsid w:val="00692EE1"/>
    <w:rsid w:val="00693186"/>
    <w:rsid w:val="006937D6"/>
    <w:rsid w:val="00693B6C"/>
    <w:rsid w:val="00693F3F"/>
    <w:rsid w:val="006942AE"/>
    <w:rsid w:val="00694E54"/>
    <w:rsid w:val="00695421"/>
    <w:rsid w:val="00696633"/>
    <w:rsid w:val="00696B78"/>
    <w:rsid w:val="00697875"/>
    <w:rsid w:val="00697BD3"/>
    <w:rsid w:val="00697DFA"/>
    <w:rsid w:val="006A16D5"/>
    <w:rsid w:val="006A1772"/>
    <w:rsid w:val="006A1780"/>
    <w:rsid w:val="006A1A4A"/>
    <w:rsid w:val="006A21DD"/>
    <w:rsid w:val="006A26C6"/>
    <w:rsid w:val="006A3772"/>
    <w:rsid w:val="006A385F"/>
    <w:rsid w:val="006A3AC0"/>
    <w:rsid w:val="006A3B28"/>
    <w:rsid w:val="006A3C92"/>
    <w:rsid w:val="006A4BA8"/>
    <w:rsid w:val="006A4DA7"/>
    <w:rsid w:val="006A4FEE"/>
    <w:rsid w:val="006A6F5B"/>
    <w:rsid w:val="006A703E"/>
    <w:rsid w:val="006A736F"/>
    <w:rsid w:val="006A7BE3"/>
    <w:rsid w:val="006A7D32"/>
    <w:rsid w:val="006B0037"/>
    <w:rsid w:val="006B01D1"/>
    <w:rsid w:val="006B079F"/>
    <w:rsid w:val="006B09C7"/>
    <w:rsid w:val="006B101C"/>
    <w:rsid w:val="006B15D3"/>
    <w:rsid w:val="006B16EA"/>
    <w:rsid w:val="006B1780"/>
    <w:rsid w:val="006B17B6"/>
    <w:rsid w:val="006B1A60"/>
    <w:rsid w:val="006B224E"/>
    <w:rsid w:val="006B2FAE"/>
    <w:rsid w:val="006B376E"/>
    <w:rsid w:val="006B3B9B"/>
    <w:rsid w:val="006B40FD"/>
    <w:rsid w:val="006B42D9"/>
    <w:rsid w:val="006B4589"/>
    <w:rsid w:val="006B4D50"/>
    <w:rsid w:val="006B5146"/>
    <w:rsid w:val="006B60DE"/>
    <w:rsid w:val="006B610E"/>
    <w:rsid w:val="006B6805"/>
    <w:rsid w:val="006B6DE0"/>
    <w:rsid w:val="006B71B0"/>
    <w:rsid w:val="006B7AC3"/>
    <w:rsid w:val="006C0220"/>
    <w:rsid w:val="006C0970"/>
    <w:rsid w:val="006C16C3"/>
    <w:rsid w:val="006C2187"/>
    <w:rsid w:val="006C2F31"/>
    <w:rsid w:val="006C308F"/>
    <w:rsid w:val="006C32F4"/>
    <w:rsid w:val="006C35C3"/>
    <w:rsid w:val="006C3C54"/>
    <w:rsid w:val="006C3C59"/>
    <w:rsid w:val="006C43CD"/>
    <w:rsid w:val="006C44B4"/>
    <w:rsid w:val="006C4F9F"/>
    <w:rsid w:val="006C504D"/>
    <w:rsid w:val="006C582E"/>
    <w:rsid w:val="006C6643"/>
    <w:rsid w:val="006C71A2"/>
    <w:rsid w:val="006C73EC"/>
    <w:rsid w:val="006C76C1"/>
    <w:rsid w:val="006D0C1D"/>
    <w:rsid w:val="006D2066"/>
    <w:rsid w:val="006D2E58"/>
    <w:rsid w:val="006D2E9D"/>
    <w:rsid w:val="006D2F32"/>
    <w:rsid w:val="006D3068"/>
    <w:rsid w:val="006D34B2"/>
    <w:rsid w:val="006D38F6"/>
    <w:rsid w:val="006D3C5B"/>
    <w:rsid w:val="006D4A4E"/>
    <w:rsid w:val="006D4C42"/>
    <w:rsid w:val="006D5117"/>
    <w:rsid w:val="006D5809"/>
    <w:rsid w:val="006D5D5A"/>
    <w:rsid w:val="006D5DFF"/>
    <w:rsid w:val="006D607E"/>
    <w:rsid w:val="006D6138"/>
    <w:rsid w:val="006D6B58"/>
    <w:rsid w:val="006D6E12"/>
    <w:rsid w:val="006D70CB"/>
    <w:rsid w:val="006D715C"/>
    <w:rsid w:val="006D733F"/>
    <w:rsid w:val="006D7363"/>
    <w:rsid w:val="006D7628"/>
    <w:rsid w:val="006D774E"/>
    <w:rsid w:val="006E05B6"/>
    <w:rsid w:val="006E0754"/>
    <w:rsid w:val="006E0D93"/>
    <w:rsid w:val="006E182F"/>
    <w:rsid w:val="006E2532"/>
    <w:rsid w:val="006E2668"/>
    <w:rsid w:val="006E2D0E"/>
    <w:rsid w:val="006E2D39"/>
    <w:rsid w:val="006E32B0"/>
    <w:rsid w:val="006E348E"/>
    <w:rsid w:val="006E396A"/>
    <w:rsid w:val="006E3D63"/>
    <w:rsid w:val="006E3F34"/>
    <w:rsid w:val="006E5829"/>
    <w:rsid w:val="006E58BF"/>
    <w:rsid w:val="006E595F"/>
    <w:rsid w:val="006E5DD8"/>
    <w:rsid w:val="006E5EA1"/>
    <w:rsid w:val="006E5EBB"/>
    <w:rsid w:val="006E5FA5"/>
    <w:rsid w:val="006E6DEE"/>
    <w:rsid w:val="006E7D4B"/>
    <w:rsid w:val="006F0760"/>
    <w:rsid w:val="006F09F0"/>
    <w:rsid w:val="006F11E2"/>
    <w:rsid w:val="006F1E68"/>
    <w:rsid w:val="006F2574"/>
    <w:rsid w:val="006F3231"/>
    <w:rsid w:val="006F3DE3"/>
    <w:rsid w:val="006F43E6"/>
    <w:rsid w:val="006F4787"/>
    <w:rsid w:val="006F488A"/>
    <w:rsid w:val="006F61D8"/>
    <w:rsid w:val="006F62B7"/>
    <w:rsid w:val="006F6621"/>
    <w:rsid w:val="006F70BC"/>
    <w:rsid w:val="006F7E7C"/>
    <w:rsid w:val="0070024B"/>
    <w:rsid w:val="00701573"/>
    <w:rsid w:val="0070174E"/>
    <w:rsid w:val="00701793"/>
    <w:rsid w:val="007018DB"/>
    <w:rsid w:val="00701DE6"/>
    <w:rsid w:val="00701DEB"/>
    <w:rsid w:val="0070240C"/>
    <w:rsid w:val="0070381B"/>
    <w:rsid w:val="00703C8C"/>
    <w:rsid w:val="00705206"/>
    <w:rsid w:val="0070524E"/>
    <w:rsid w:val="00705366"/>
    <w:rsid w:val="007058F6"/>
    <w:rsid w:val="00705EC0"/>
    <w:rsid w:val="007067D3"/>
    <w:rsid w:val="0070796C"/>
    <w:rsid w:val="007100A9"/>
    <w:rsid w:val="0071030D"/>
    <w:rsid w:val="00710945"/>
    <w:rsid w:val="00710EBF"/>
    <w:rsid w:val="0071101D"/>
    <w:rsid w:val="007110B8"/>
    <w:rsid w:val="0071209F"/>
    <w:rsid w:val="007125A2"/>
    <w:rsid w:val="0071389C"/>
    <w:rsid w:val="00713F79"/>
    <w:rsid w:val="007148A8"/>
    <w:rsid w:val="0071578A"/>
    <w:rsid w:val="0071641C"/>
    <w:rsid w:val="00716AC8"/>
    <w:rsid w:val="00716CF3"/>
    <w:rsid w:val="00716E54"/>
    <w:rsid w:val="0072033C"/>
    <w:rsid w:val="007207D3"/>
    <w:rsid w:val="00720B1B"/>
    <w:rsid w:val="00721062"/>
    <w:rsid w:val="00721E5D"/>
    <w:rsid w:val="00722005"/>
    <w:rsid w:val="007229D4"/>
    <w:rsid w:val="00722AED"/>
    <w:rsid w:val="007230F8"/>
    <w:rsid w:val="007233F4"/>
    <w:rsid w:val="00723D9B"/>
    <w:rsid w:val="00724044"/>
    <w:rsid w:val="007246D5"/>
    <w:rsid w:val="007248D3"/>
    <w:rsid w:val="00724D4E"/>
    <w:rsid w:val="00724D9E"/>
    <w:rsid w:val="00724EB9"/>
    <w:rsid w:val="00725137"/>
    <w:rsid w:val="00725378"/>
    <w:rsid w:val="007257AA"/>
    <w:rsid w:val="00726A01"/>
    <w:rsid w:val="00726A50"/>
    <w:rsid w:val="00727A43"/>
    <w:rsid w:val="00727B92"/>
    <w:rsid w:val="00727D3F"/>
    <w:rsid w:val="00727FF2"/>
    <w:rsid w:val="00730550"/>
    <w:rsid w:val="00731434"/>
    <w:rsid w:val="007323E0"/>
    <w:rsid w:val="00732911"/>
    <w:rsid w:val="00732B55"/>
    <w:rsid w:val="00733110"/>
    <w:rsid w:val="0073315F"/>
    <w:rsid w:val="00733721"/>
    <w:rsid w:val="00733833"/>
    <w:rsid w:val="00733883"/>
    <w:rsid w:val="00733A80"/>
    <w:rsid w:val="00733DE2"/>
    <w:rsid w:val="0073424A"/>
    <w:rsid w:val="00734EA9"/>
    <w:rsid w:val="007352EA"/>
    <w:rsid w:val="00735EE3"/>
    <w:rsid w:val="0073624C"/>
    <w:rsid w:val="00736BFA"/>
    <w:rsid w:val="007374D6"/>
    <w:rsid w:val="007378F8"/>
    <w:rsid w:val="0073792F"/>
    <w:rsid w:val="00740222"/>
    <w:rsid w:val="00740C81"/>
    <w:rsid w:val="00740DA6"/>
    <w:rsid w:val="00741499"/>
    <w:rsid w:val="00741B4B"/>
    <w:rsid w:val="00741C45"/>
    <w:rsid w:val="00741D1E"/>
    <w:rsid w:val="00741DD6"/>
    <w:rsid w:val="00741EE2"/>
    <w:rsid w:val="0074207F"/>
    <w:rsid w:val="00742367"/>
    <w:rsid w:val="00742A12"/>
    <w:rsid w:val="00742DE6"/>
    <w:rsid w:val="00742EAA"/>
    <w:rsid w:val="00743360"/>
    <w:rsid w:val="00743818"/>
    <w:rsid w:val="00743857"/>
    <w:rsid w:val="007441FB"/>
    <w:rsid w:val="00744517"/>
    <w:rsid w:val="0074522A"/>
    <w:rsid w:val="0074532F"/>
    <w:rsid w:val="00747295"/>
    <w:rsid w:val="007477A8"/>
    <w:rsid w:val="00747829"/>
    <w:rsid w:val="00747D79"/>
    <w:rsid w:val="00747DE2"/>
    <w:rsid w:val="00750012"/>
    <w:rsid w:val="007504BF"/>
    <w:rsid w:val="007506CD"/>
    <w:rsid w:val="00750E5F"/>
    <w:rsid w:val="00751A70"/>
    <w:rsid w:val="0075267F"/>
    <w:rsid w:val="007526EC"/>
    <w:rsid w:val="00752A11"/>
    <w:rsid w:val="007539F8"/>
    <w:rsid w:val="00753ABB"/>
    <w:rsid w:val="00753BA5"/>
    <w:rsid w:val="00753C48"/>
    <w:rsid w:val="00754250"/>
    <w:rsid w:val="00754FE4"/>
    <w:rsid w:val="00755216"/>
    <w:rsid w:val="00755BA6"/>
    <w:rsid w:val="00756236"/>
    <w:rsid w:val="00756271"/>
    <w:rsid w:val="00756348"/>
    <w:rsid w:val="00756521"/>
    <w:rsid w:val="00756AB7"/>
    <w:rsid w:val="00756E60"/>
    <w:rsid w:val="0075725F"/>
    <w:rsid w:val="00757404"/>
    <w:rsid w:val="00760088"/>
    <w:rsid w:val="0076106D"/>
    <w:rsid w:val="0076156E"/>
    <w:rsid w:val="007618B7"/>
    <w:rsid w:val="0076204F"/>
    <w:rsid w:val="007623FB"/>
    <w:rsid w:val="00762517"/>
    <w:rsid w:val="00762753"/>
    <w:rsid w:val="00763240"/>
    <w:rsid w:val="0076376A"/>
    <w:rsid w:val="007648AD"/>
    <w:rsid w:val="00764AA9"/>
    <w:rsid w:val="0076504E"/>
    <w:rsid w:val="0076528E"/>
    <w:rsid w:val="007652D4"/>
    <w:rsid w:val="007664E1"/>
    <w:rsid w:val="00767396"/>
    <w:rsid w:val="007673E8"/>
    <w:rsid w:val="0076764C"/>
    <w:rsid w:val="007679D1"/>
    <w:rsid w:val="00767BFD"/>
    <w:rsid w:val="00767EA0"/>
    <w:rsid w:val="0077068F"/>
    <w:rsid w:val="00770C86"/>
    <w:rsid w:val="007710C2"/>
    <w:rsid w:val="00771EDF"/>
    <w:rsid w:val="007720F3"/>
    <w:rsid w:val="007724B2"/>
    <w:rsid w:val="007727CE"/>
    <w:rsid w:val="00772860"/>
    <w:rsid w:val="00772EE2"/>
    <w:rsid w:val="00772F8D"/>
    <w:rsid w:val="00773B85"/>
    <w:rsid w:val="0077408D"/>
    <w:rsid w:val="00774166"/>
    <w:rsid w:val="00774270"/>
    <w:rsid w:val="007743F6"/>
    <w:rsid w:val="00774C9F"/>
    <w:rsid w:val="00775679"/>
    <w:rsid w:val="0077574F"/>
    <w:rsid w:val="00775823"/>
    <w:rsid w:val="0077629E"/>
    <w:rsid w:val="00777B32"/>
    <w:rsid w:val="0078051E"/>
    <w:rsid w:val="00780610"/>
    <w:rsid w:val="00780680"/>
    <w:rsid w:val="00781089"/>
    <w:rsid w:val="00781946"/>
    <w:rsid w:val="00781B5A"/>
    <w:rsid w:val="00781F4B"/>
    <w:rsid w:val="007838F3"/>
    <w:rsid w:val="007848D1"/>
    <w:rsid w:val="007856FE"/>
    <w:rsid w:val="00785836"/>
    <w:rsid w:val="00785D1B"/>
    <w:rsid w:val="00785F46"/>
    <w:rsid w:val="007865F4"/>
    <w:rsid w:val="00786D5C"/>
    <w:rsid w:val="00786E96"/>
    <w:rsid w:val="00786EF1"/>
    <w:rsid w:val="00787060"/>
    <w:rsid w:val="00787DFF"/>
    <w:rsid w:val="00787F93"/>
    <w:rsid w:val="00791D36"/>
    <w:rsid w:val="00791E6D"/>
    <w:rsid w:val="00791EB5"/>
    <w:rsid w:val="007924CA"/>
    <w:rsid w:val="0079264C"/>
    <w:rsid w:val="00793696"/>
    <w:rsid w:val="0079369F"/>
    <w:rsid w:val="00794039"/>
    <w:rsid w:val="00794135"/>
    <w:rsid w:val="00794E75"/>
    <w:rsid w:val="00795F36"/>
    <w:rsid w:val="007964C5"/>
    <w:rsid w:val="00796F65"/>
    <w:rsid w:val="00797191"/>
    <w:rsid w:val="007A0DEE"/>
    <w:rsid w:val="007A11C2"/>
    <w:rsid w:val="007A11C3"/>
    <w:rsid w:val="007A18BB"/>
    <w:rsid w:val="007A1E88"/>
    <w:rsid w:val="007A25A2"/>
    <w:rsid w:val="007A27DD"/>
    <w:rsid w:val="007A41BF"/>
    <w:rsid w:val="007A4609"/>
    <w:rsid w:val="007A490A"/>
    <w:rsid w:val="007A4927"/>
    <w:rsid w:val="007A5DA4"/>
    <w:rsid w:val="007A5FB5"/>
    <w:rsid w:val="007A75BB"/>
    <w:rsid w:val="007A7B95"/>
    <w:rsid w:val="007B0297"/>
    <w:rsid w:val="007B02FA"/>
    <w:rsid w:val="007B0458"/>
    <w:rsid w:val="007B0F53"/>
    <w:rsid w:val="007B1207"/>
    <w:rsid w:val="007B13B6"/>
    <w:rsid w:val="007B2140"/>
    <w:rsid w:val="007B21AE"/>
    <w:rsid w:val="007B2570"/>
    <w:rsid w:val="007B2979"/>
    <w:rsid w:val="007B3113"/>
    <w:rsid w:val="007B3304"/>
    <w:rsid w:val="007B40D5"/>
    <w:rsid w:val="007B4A5E"/>
    <w:rsid w:val="007B4CEB"/>
    <w:rsid w:val="007B63BF"/>
    <w:rsid w:val="007B6F77"/>
    <w:rsid w:val="007B7490"/>
    <w:rsid w:val="007B7F6A"/>
    <w:rsid w:val="007C0525"/>
    <w:rsid w:val="007C0D5D"/>
    <w:rsid w:val="007C13F7"/>
    <w:rsid w:val="007C1D21"/>
    <w:rsid w:val="007C218D"/>
    <w:rsid w:val="007C2379"/>
    <w:rsid w:val="007C2BED"/>
    <w:rsid w:val="007C2D28"/>
    <w:rsid w:val="007C309A"/>
    <w:rsid w:val="007C324C"/>
    <w:rsid w:val="007C3E22"/>
    <w:rsid w:val="007C3E93"/>
    <w:rsid w:val="007C54A1"/>
    <w:rsid w:val="007C54E0"/>
    <w:rsid w:val="007C595B"/>
    <w:rsid w:val="007C6218"/>
    <w:rsid w:val="007C6484"/>
    <w:rsid w:val="007C67C6"/>
    <w:rsid w:val="007C6A36"/>
    <w:rsid w:val="007C730A"/>
    <w:rsid w:val="007C78BE"/>
    <w:rsid w:val="007C7E59"/>
    <w:rsid w:val="007D0476"/>
    <w:rsid w:val="007D0B91"/>
    <w:rsid w:val="007D1452"/>
    <w:rsid w:val="007D2501"/>
    <w:rsid w:val="007D36E5"/>
    <w:rsid w:val="007D3BFD"/>
    <w:rsid w:val="007D3C6C"/>
    <w:rsid w:val="007D43D2"/>
    <w:rsid w:val="007D460C"/>
    <w:rsid w:val="007D4996"/>
    <w:rsid w:val="007D4AD3"/>
    <w:rsid w:val="007D528C"/>
    <w:rsid w:val="007D5D19"/>
    <w:rsid w:val="007D5FDC"/>
    <w:rsid w:val="007D6113"/>
    <w:rsid w:val="007D6176"/>
    <w:rsid w:val="007D6D68"/>
    <w:rsid w:val="007D6DC5"/>
    <w:rsid w:val="007E048D"/>
    <w:rsid w:val="007E0DE8"/>
    <w:rsid w:val="007E1BD2"/>
    <w:rsid w:val="007E2A8B"/>
    <w:rsid w:val="007E2D8E"/>
    <w:rsid w:val="007E32DA"/>
    <w:rsid w:val="007E3C02"/>
    <w:rsid w:val="007E46F9"/>
    <w:rsid w:val="007E4998"/>
    <w:rsid w:val="007E4A9C"/>
    <w:rsid w:val="007E4E1E"/>
    <w:rsid w:val="007E4E47"/>
    <w:rsid w:val="007E5032"/>
    <w:rsid w:val="007E5795"/>
    <w:rsid w:val="007E6914"/>
    <w:rsid w:val="007E79BF"/>
    <w:rsid w:val="007E7D12"/>
    <w:rsid w:val="007E7F78"/>
    <w:rsid w:val="007F0101"/>
    <w:rsid w:val="007F0179"/>
    <w:rsid w:val="007F0530"/>
    <w:rsid w:val="007F075C"/>
    <w:rsid w:val="007F0DBC"/>
    <w:rsid w:val="007F2C13"/>
    <w:rsid w:val="007F2CEC"/>
    <w:rsid w:val="007F3435"/>
    <w:rsid w:val="007F387E"/>
    <w:rsid w:val="007F4B2B"/>
    <w:rsid w:val="007F4EA8"/>
    <w:rsid w:val="007F55DE"/>
    <w:rsid w:val="007F60A8"/>
    <w:rsid w:val="007F762D"/>
    <w:rsid w:val="007F78F0"/>
    <w:rsid w:val="007F78FF"/>
    <w:rsid w:val="00800060"/>
    <w:rsid w:val="008000B6"/>
    <w:rsid w:val="00800167"/>
    <w:rsid w:val="008001C5"/>
    <w:rsid w:val="00800814"/>
    <w:rsid w:val="00800F6C"/>
    <w:rsid w:val="00801065"/>
    <w:rsid w:val="008016E4"/>
    <w:rsid w:val="00801A53"/>
    <w:rsid w:val="00801EFC"/>
    <w:rsid w:val="008027D2"/>
    <w:rsid w:val="00802C0B"/>
    <w:rsid w:val="00802C9E"/>
    <w:rsid w:val="00803B43"/>
    <w:rsid w:val="00803BFA"/>
    <w:rsid w:val="00803C2C"/>
    <w:rsid w:val="00804753"/>
    <w:rsid w:val="00804E41"/>
    <w:rsid w:val="0080509E"/>
    <w:rsid w:val="008051FC"/>
    <w:rsid w:val="008055A9"/>
    <w:rsid w:val="008056C4"/>
    <w:rsid w:val="00805815"/>
    <w:rsid w:val="00805D8B"/>
    <w:rsid w:val="00807A83"/>
    <w:rsid w:val="00810525"/>
    <w:rsid w:val="00810E8E"/>
    <w:rsid w:val="00812686"/>
    <w:rsid w:val="00812C44"/>
    <w:rsid w:val="008135E1"/>
    <w:rsid w:val="00813779"/>
    <w:rsid w:val="00813A64"/>
    <w:rsid w:val="00813E26"/>
    <w:rsid w:val="00813E95"/>
    <w:rsid w:val="0081481D"/>
    <w:rsid w:val="00814BE8"/>
    <w:rsid w:val="00814DE5"/>
    <w:rsid w:val="00814F6E"/>
    <w:rsid w:val="00815B84"/>
    <w:rsid w:val="00815D2F"/>
    <w:rsid w:val="00816046"/>
    <w:rsid w:val="0081606F"/>
    <w:rsid w:val="00816B69"/>
    <w:rsid w:val="00816BE9"/>
    <w:rsid w:val="008172D6"/>
    <w:rsid w:val="0082080C"/>
    <w:rsid w:val="0082083F"/>
    <w:rsid w:val="0082131E"/>
    <w:rsid w:val="00822518"/>
    <w:rsid w:val="008226F5"/>
    <w:rsid w:val="00822ABF"/>
    <w:rsid w:val="00822FA3"/>
    <w:rsid w:val="00823171"/>
    <w:rsid w:val="0082343E"/>
    <w:rsid w:val="00823F9E"/>
    <w:rsid w:val="00823FC6"/>
    <w:rsid w:val="00824306"/>
    <w:rsid w:val="00825A62"/>
    <w:rsid w:val="00825C74"/>
    <w:rsid w:val="00825CFA"/>
    <w:rsid w:val="00825D61"/>
    <w:rsid w:val="00825FFC"/>
    <w:rsid w:val="008269B7"/>
    <w:rsid w:val="00826AB9"/>
    <w:rsid w:val="00826E0E"/>
    <w:rsid w:val="008270E3"/>
    <w:rsid w:val="0082782C"/>
    <w:rsid w:val="00827AF7"/>
    <w:rsid w:val="00827D11"/>
    <w:rsid w:val="00827E0F"/>
    <w:rsid w:val="00827F6E"/>
    <w:rsid w:val="00830810"/>
    <w:rsid w:val="00830F25"/>
    <w:rsid w:val="00831758"/>
    <w:rsid w:val="008317D9"/>
    <w:rsid w:val="008321D6"/>
    <w:rsid w:val="008324B5"/>
    <w:rsid w:val="0083278A"/>
    <w:rsid w:val="0083279F"/>
    <w:rsid w:val="00832A5B"/>
    <w:rsid w:val="008334DB"/>
    <w:rsid w:val="00833B7F"/>
    <w:rsid w:val="00834367"/>
    <w:rsid w:val="00834906"/>
    <w:rsid w:val="0083592B"/>
    <w:rsid w:val="00835D71"/>
    <w:rsid w:val="00836075"/>
    <w:rsid w:val="00836417"/>
    <w:rsid w:val="00837526"/>
    <w:rsid w:val="008375B6"/>
    <w:rsid w:val="008407A7"/>
    <w:rsid w:val="0084144E"/>
    <w:rsid w:val="0084322B"/>
    <w:rsid w:val="0084389C"/>
    <w:rsid w:val="00843F81"/>
    <w:rsid w:val="00843F97"/>
    <w:rsid w:val="00844087"/>
    <w:rsid w:val="00844215"/>
    <w:rsid w:val="008448F1"/>
    <w:rsid w:val="0084519E"/>
    <w:rsid w:val="00845CAE"/>
    <w:rsid w:val="00846370"/>
    <w:rsid w:val="008465F8"/>
    <w:rsid w:val="00846F61"/>
    <w:rsid w:val="008477E7"/>
    <w:rsid w:val="00847C2B"/>
    <w:rsid w:val="008501C5"/>
    <w:rsid w:val="008506B9"/>
    <w:rsid w:val="00850B52"/>
    <w:rsid w:val="00850BBC"/>
    <w:rsid w:val="00851822"/>
    <w:rsid w:val="00851B0A"/>
    <w:rsid w:val="00851DB7"/>
    <w:rsid w:val="00852077"/>
    <w:rsid w:val="008532BF"/>
    <w:rsid w:val="0085348D"/>
    <w:rsid w:val="008539B2"/>
    <w:rsid w:val="00853BF4"/>
    <w:rsid w:val="008541FF"/>
    <w:rsid w:val="00854294"/>
    <w:rsid w:val="00854A54"/>
    <w:rsid w:val="008553F2"/>
    <w:rsid w:val="0085572E"/>
    <w:rsid w:val="00856028"/>
    <w:rsid w:val="008568DE"/>
    <w:rsid w:val="00856CF2"/>
    <w:rsid w:val="00857003"/>
    <w:rsid w:val="008575F4"/>
    <w:rsid w:val="0085788B"/>
    <w:rsid w:val="00857A9E"/>
    <w:rsid w:val="00857B1D"/>
    <w:rsid w:val="00857DE2"/>
    <w:rsid w:val="00860038"/>
    <w:rsid w:val="0086004A"/>
    <w:rsid w:val="00860E5A"/>
    <w:rsid w:val="0086244D"/>
    <w:rsid w:val="00862C7A"/>
    <w:rsid w:val="00862EEE"/>
    <w:rsid w:val="008630FD"/>
    <w:rsid w:val="0086367C"/>
    <w:rsid w:val="00863A8E"/>
    <w:rsid w:val="0086407F"/>
    <w:rsid w:val="008645E3"/>
    <w:rsid w:val="00864E79"/>
    <w:rsid w:val="00865E04"/>
    <w:rsid w:val="0086661F"/>
    <w:rsid w:val="00866A0D"/>
    <w:rsid w:val="00866DB5"/>
    <w:rsid w:val="0086701D"/>
    <w:rsid w:val="0086702B"/>
    <w:rsid w:val="008672E2"/>
    <w:rsid w:val="00867424"/>
    <w:rsid w:val="00867438"/>
    <w:rsid w:val="008677BA"/>
    <w:rsid w:val="0086784E"/>
    <w:rsid w:val="0087121C"/>
    <w:rsid w:val="0087182E"/>
    <w:rsid w:val="00871AB8"/>
    <w:rsid w:val="00872084"/>
    <w:rsid w:val="00872827"/>
    <w:rsid w:val="00872A32"/>
    <w:rsid w:val="00873AA9"/>
    <w:rsid w:val="00874911"/>
    <w:rsid w:val="008754E4"/>
    <w:rsid w:val="00875A67"/>
    <w:rsid w:val="00875CA3"/>
    <w:rsid w:val="00876809"/>
    <w:rsid w:val="008768C0"/>
    <w:rsid w:val="00876C74"/>
    <w:rsid w:val="00876EAE"/>
    <w:rsid w:val="008775E5"/>
    <w:rsid w:val="0087768D"/>
    <w:rsid w:val="00880106"/>
    <w:rsid w:val="008802B3"/>
    <w:rsid w:val="0088039D"/>
    <w:rsid w:val="00880E00"/>
    <w:rsid w:val="00880F95"/>
    <w:rsid w:val="008821DB"/>
    <w:rsid w:val="008822E9"/>
    <w:rsid w:val="00882B44"/>
    <w:rsid w:val="00882F12"/>
    <w:rsid w:val="00882F7E"/>
    <w:rsid w:val="008831F3"/>
    <w:rsid w:val="008838AD"/>
    <w:rsid w:val="008838F7"/>
    <w:rsid w:val="008853CB"/>
    <w:rsid w:val="00885943"/>
    <w:rsid w:val="00885E42"/>
    <w:rsid w:val="008864B3"/>
    <w:rsid w:val="008865E5"/>
    <w:rsid w:val="008871B0"/>
    <w:rsid w:val="00887991"/>
    <w:rsid w:val="00890394"/>
    <w:rsid w:val="00890704"/>
    <w:rsid w:val="00890759"/>
    <w:rsid w:val="00890B57"/>
    <w:rsid w:val="00891034"/>
    <w:rsid w:val="008916BA"/>
    <w:rsid w:val="008917C1"/>
    <w:rsid w:val="0089189F"/>
    <w:rsid w:val="0089217C"/>
    <w:rsid w:val="008922AA"/>
    <w:rsid w:val="008925D1"/>
    <w:rsid w:val="00892790"/>
    <w:rsid w:val="0089320D"/>
    <w:rsid w:val="00893671"/>
    <w:rsid w:val="008948D5"/>
    <w:rsid w:val="00895838"/>
    <w:rsid w:val="00895A1E"/>
    <w:rsid w:val="00895A72"/>
    <w:rsid w:val="00895CDF"/>
    <w:rsid w:val="00896679"/>
    <w:rsid w:val="00896D8C"/>
    <w:rsid w:val="00897888"/>
    <w:rsid w:val="008A0009"/>
    <w:rsid w:val="008A021C"/>
    <w:rsid w:val="008A047A"/>
    <w:rsid w:val="008A05A1"/>
    <w:rsid w:val="008A0FC9"/>
    <w:rsid w:val="008A1946"/>
    <w:rsid w:val="008A1956"/>
    <w:rsid w:val="008A1A7C"/>
    <w:rsid w:val="008A1B11"/>
    <w:rsid w:val="008A1B40"/>
    <w:rsid w:val="008A1F8B"/>
    <w:rsid w:val="008A2404"/>
    <w:rsid w:val="008A2CE2"/>
    <w:rsid w:val="008A2DAE"/>
    <w:rsid w:val="008A3797"/>
    <w:rsid w:val="008A40D3"/>
    <w:rsid w:val="008A469C"/>
    <w:rsid w:val="008A51D1"/>
    <w:rsid w:val="008A581D"/>
    <w:rsid w:val="008A59F1"/>
    <w:rsid w:val="008A5DCE"/>
    <w:rsid w:val="008A5FCB"/>
    <w:rsid w:val="008A62D4"/>
    <w:rsid w:val="008A6727"/>
    <w:rsid w:val="008A690B"/>
    <w:rsid w:val="008A6C02"/>
    <w:rsid w:val="008A75D3"/>
    <w:rsid w:val="008A763D"/>
    <w:rsid w:val="008B05DD"/>
    <w:rsid w:val="008B1263"/>
    <w:rsid w:val="008B13AD"/>
    <w:rsid w:val="008B17E8"/>
    <w:rsid w:val="008B27CF"/>
    <w:rsid w:val="008B284C"/>
    <w:rsid w:val="008B2E7C"/>
    <w:rsid w:val="008B3948"/>
    <w:rsid w:val="008B43A4"/>
    <w:rsid w:val="008B44C3"/>
    <w:rsid w:val="008B45F0"/>
    <w:rsid w:val="008B4A70"/>
    <w:rsid w:val="008B502F"/>
    <w:rsid w:val="008B564B"/>
    <w:rsid w:val="008B5A30"/>
    <w:rsid w:val="008B5D78"/>
    <w:rsid w:val="008B649C"/>
    <w:rsid w:val="008B6DFC"/>
    <w:rsid w:val="008B7075"/>
    <w:rsid w:val="008B7227"/>
    <w:rsid w:val="008C015D"/>
    <w:rsid w:val="008C04A7"/>
    <w:rsid w:val="008C04E0"/>
    <w:rsid w:val="008C0B9E"/>
    <w:rsid w:val="008C191C"/>
    <w:rsid w:val="008C1BF8"/>
    <w:rsid w:val="008C1DA4"/>
    <w:rsid w:val="008C29B0"/>
    <w:rsid w:val="008C2CD5"/>
    <w:rsid w:val="008C3130"/>
    <w:rsid w:val="008C3618"/>
    <w:rsid w:val="008C407D"/>
    <w:rsid w:val="008C40FA"/>
    <w:rsid w:val="008C41E4"/>
    <w:rsid w:val="008C431C"/>
    <w:rsid w:val="008C43AD"/>
    <w:rsid w:val="008C5E40"/>
    <w:rsid w:val="008C6118"/>
    <w:rsid w:val="008C6341"/>
    <w:rsid w:val="008C6EE0"/>
    <w:rsid w:val="008C731F"/>
    <w:rsid w:val="008C74D9"/>
    <w:rsid w:val="008D05F0"/>
    <w:rsid w:val="008D1A1D"/>
    <w:rsid w:val="008D2144"/>
    <w:rsid w:val="008D2501"/>
    <w:rsid w:val="008D2FD3"/>
    <w:rsid w:val="008D36FC"/>
    <w:rsid w:val="008D3B2D"/>
    <w:rsid w:val="008D3EAA"/>
    <w:rsid w:val="008D4302"/>
    <w:rsid w:val="008D58D9"/>
    <w:rsid w:val="008D5AD4"/>
    <w:rsid w:val="008D64FD"/>
    <w:rsid w:val="008D6DD5"/>
    <w:rsid w:val="008D6E59"/>
    <w:rsid w:val="008D7155"/>
    <w:rsid w:val="008E09FF"/>
    <w:rsid w:val="008E0B29"/>
    <w:rsid w:val="008E1286"/>
    <w:rsid w:val="008E141A"/>
    <w:rsid w:val="008E1A44"/>
    <w:rsid w:val="008E28E6"/>
    <w:rsid w:val="008E2F24"/>
    <w:rsid w:val="008E3232"/>
    <w:rsid w:val="008E3674"/>
    <w:rsid w:val="008E3B6C"/>
    <w:rsid w:val="008E3F2B"/>
    <w:rsid w:val="008E3F52"/>
    <w:rsid w:val="008E5467"/>
    <w:rsid w:val="008E562C"/>
    <w:rsid w:val="008E5CC2"/>
    <w:rsid w:val="008E7064"/>
    <w:rsid w:val="008E77D4"/>
    <w:rsid w:val="008E7ADD"/>
    <w:rsid w:val="008F091F"/>
    <w:rsid w:val="008F0E50"/>
    <w:rsid w:val="008F10D1"/>
    <w:rsid w:val="008F17B2"/>
    <w:rsid w:val="008F1F4F"/>
    <w:rsid w:val="008F22B3"/>
    <w:rsid w:val="008F25B1"/>
    <w:rsid w:val="008F2D3A"/>
    <w:rsid w:val="008F2F7A"/>
    <w:rsid w:val="008F34D6"/>
    <w:rsid w:val="008F357B"/>
    <w:rsid w:val="008F44CA"/>
    <w:rsid w:val="008F49D3"/>
    <w:rsid w:val="008F4D7B"/>
    <w:rsid w:val="008F6519"/>
    <w:rsid w:val="008F6A59"/>
    <w:rsid w:val="008F6D04"/>
    <w:rsid w:val="008F7012"/>
    <w:rsid w:val="008F7ADA"/>
    <w:rsid w:val="008F7B17"/>
    <w:rsid w:val="00900042"/>
    <w:rsid w:val="0090034B"/>
    <w:rsid w:val="00901389"/>
    <w:rsid w:val="00901806"/>
    <w:rsid w:val="00901BBC"/>
    <w:rsid w:val="00901D87"/>
    <w:rsid w:val="00902623"/>
    <w:rsid w:val="009027E0"/>
    <w:rsid w:val="00902A67"/>
    <w:rsid w:val="00903179"/>
    <w:rsid w:val="00903501"/>
    <w:rsid w:val="009040DF"/>
    <w:rsid w:val="00904265"/>
    <w:rsid w:val="00904BE4"/>
    <w:rsid w:val="0090504A"/>
    <w:rsid w:val="0090516E"/>
    <w:rsid w:val="009051F5"/>
    <w:rsid w:val="00905221"/>
    <w:rsid w:val="00905A7C"/>
    <w:rsid w:val="00905D7E"/>
    <w:rsid w:val="00907037"/>
    <w:rsid w:val="0091112C"/>
    <w:rsid w:val="0091160A"/>
    <w:rsid w:val="00911FC9"/>
    <w:rsid w:val="00912E04"/>
    <w:rsid w:val="00913258"/>
    <w:rsid w:val="009139D4"/>
    <w:rsid w:val="00913BB0"/>
    <w:rsid w:val="0091456C"/>
    <w:rsid w:val="00914C58"/>
    <w:rsid w:val="0091564D"/>
    <w:rsid w:val="009156DA"/>
    <w:rsid w:val="00915774"/>
    <w:rsid w:val="009162EF"/>
    <w:rsid w:val="00916BC5"/>
    <w:rsid w:val="00916DD2"/>
    <w:rsid w:val="0091726A"/>
    <w:rsid w:val="00917C01"/>
    <w:rsid w:val="00920184"/>
    <w:rsid w:val="009209E2"/>
    <w:rsid w:val="00920A5F"/>
    <w:rsid w:val="00920EA4"/>
    <w:rsid w:val="00920EFA"/>
    <w:rsid w:val="0092138C"/>
    <w:rsid w:val="00921792"/>
    <w:rsid w:val="00921BEA"/>
    <w:rsid w:val="0092209F"/>
    <w:rsid w:val="00923179"/>
    <w:rsid w:val="009238FD"/>
    <w:rsid w:val="00923998"/>
    <w:rsid w:val="00923DB4"/>
    <w:rsid w:val="0092420B"/>
    <w:rsid w:val="0092430E"/>
    <w:rsid w:val="0092456F"/>
    <w:rsid w:val="00924758"/>
    <w:rsid w:val="00925AA4"/>
    <w:rsid w:val="00925D3E"/>
    <w:rsid w:val="00926112"/>
    <w:rsid w:val="0092625F"/>
    <w:rsid w:val="00926457"/>
    <w:rsid w:val="0092650B"/>
    <w:rsid w:val="009268B9"/>
    <w:rsid w:val="00926B28"/>
    <w:rsid w:val="00926D9C"/>
    <w:rsid w:val="00926ED8"/>
    <w:rsid w:val="00927028"/>
    <w:rsid w:val="00927763"/>
    <w:rsid w:val="00927A2D"/>
    <w:rsid w:val="00927B37"/>
    <w:rsid w:val="009321B1"/>
    <w:rsid w:val="0093279D"/>
    <w:rsid w:val="00932ED7"/>
    <w:rsid w:val="0093422D"/>
    <w:rsid w:val="00934237"/>
    <w:rsid w:val="009346CC"/>
    <w:rsid w:val="0093483B"/>
    <w:rsid w:val="00934CF9"/>
    <w:rsid w:val="00934DD7"/>
    <w:rsid w:val="00935905"/>
    <w:rsid w:val="00935C84"/>
    <w:rsid w:val="0093645D"/>
    <w:rsid w:val="009364F3"/>
    <w:rsid w:val="009366C5"/>
    <w:rsid w:val="009369A9"/>
    <w:rsid w:val="00936CF7"/>
    <w:rsid w:val="00936DAE"/>
    <w:rsid w:val="00937783"/>
    <w:rsid w:val="00937EAD"/>
    <w:rsid w:val="00937F28"/>
    <w:rsid w:val="00940A74"/>
    <w:rsid w:val="00940FE1"/>
    <w:rsid w:val="00941087"/>
    <w:rsid w:val="00942306"/>
    <w:rsid w:val="009424B8"/>
    <w:rsid w:val="009426C9"/>
    <w:rsid w:val="00942B18"/>
    <w:rsid w:val="00942D84"/>
    <w:rsid w:val="00942E14"/>
    <w:rsid w:val="009442A7"/>
    <w:rsid w:val="00944668"/>
    <w:rsid w:val="009448E4"/>
    <w:rsid w:val="00944AE8"/>
    <w:rsid w:val="00944DC6"/>
    <w:rsid w:val="0094581C"/>
    <w:rsid w:val="009458B0"/>
    <w:rsid w:val="009459C7"/>
    <w:rsid w:val="00945B52"/>
    <w:rsid w:val="00945B7A"/>
    <w:rsid w:val="00945F05"/>
    <w:rsid w:val="00945FB2"/>
    <w:rsid w:val="009461CB"/>
    <w:rsid w:val="00946348"/>
    <w:rsid w:val="009466F0"/>
    <w:rsid w:val="009467EC"/>
    <w:rsid w:val="00947308"/>
    <w:rsid w:val="00947797"/>
    <w:rsid w:val="009478A2"/>
    <w:rsid w:val="00947A97"/>
    <w:rsid w:val="00950066"/>
    <w:rsid w:val="00951467"/>
    <w:rsid w:val="00951784"/>
    <w:rsid w:val="00951C58"/>
    <w:rsid w:val="00951DC2"/>
    <w:rsid w:val="00952796"/>
    <w:rsid w:val="009532B9"/>
    <w:rsid w:val="009539A6"/>
    <w:rsid w:val="00953C13"/>
    <w:rsid w:val="00954032"/>
    <w:rsid w:val="0095408B"/>
    <w:rsid w:val="00955FBB"/>
    <w:rsid w:val="0095675A"/>
    <w:rsid w:val="0095694B"/>
    <w:rsid w:val="00956BD5"/>
    <w:rsid w:val="00956D84"/>
    <w:rsid w:val="009577B5"/>
    <w:rsid w:val="00957BD1"/>
    <w:rsid w:val="009608E6"/>
    <w:rsid w:val="00960F57"/>
    <w:rsid w:val="00960FB1"/>
    <w:rsid w:val="00961C90"/>
    <w:rsid w:val="009629AE"/>
    <w:rsid w:val="00962CB9"/>
    <w:rsid w:val="009640BA"/>
    <w:rsid w:val="00964A5C"/>
    <w:rsid w:val="00964B56"/>
    <w:rsid w:val="00964D38"/>
    <w:rsid w:val="00965276"/>
    <w:rsid w:val="00965443"/>
    <w:rsid w:val="00965954"/>
    <w:rsid w:val="00965E55"/>
    <w:rsid w:val="0096608E"/>
    <w:rsid w:val="00966522"/>
    <w:rsid w:val="00966C33"/>
    <w:rsid w:val="00966E09"/>
    <w:rsid w:val="009706C9"/>
    <w:rsid w:val="00970F18"/>
    <w:rsid w:val="00971CF1"/>
    <w:rsid w:val="00971CF5"/>
    <w:rsid w:val="00971F5D"/>
    <w:rsid w:val="009721E9"/>
    <w:rsid w:val="00973399"/>
    <w:rsid w:val="0097347E"/>
    <w:rsid w:val="0097369A"/>
    <w:rsid w:val="00973772"/>
    <w:rsid w:val="00974F2A"/>
    <w:rsid w:val="00975551"/>
    <w:rsid w:val="0097569E"/>
    <w:rsid w:val="00975E1E"/>
    <w:rsid w:val="00975E38"/>
    <w:rsid w:val="00975E70"/>
    <w:rsid w:val="009761DE"/>
    <w:rsid w:val="009766FA"/>
    <w:rsid w:val="00977701"/>
    <w:rsid w:val="00977B25"/>
    <w:rsid w:val="00977CD6"/>
    <w:rsid w:val="00977D7A"/>
    <w:rsid w:val="00980DF9"/>
    <w:rsid w:val="0098243D"/>
    <w:rsid w:val="00982D26"/>
    <w:rsid w:val="00983B6E"/>
    <w:rsid w:val="00983CC4"/>
    <w:rsid w:val="00983FE5"/>
    <w:rsid w:val="009848A6"/>
    <w:rsid w:val="009849E9"/>
    <w:rsid w:val="00984A24"/>
    <w:rsid w:val="009859E4"/>
    <w:rsid w:val="00985CC2"/>
    <w:rsid w:val="009868E7"/>
    <w:rsid w:val="00987146"/>
    <w:rsid w:val="00987812"/>
    <w:rsid w:val="00990225"/>
    <w:rsid w:val="00990C05"/>
    <w:rsid w:val="009920BB"/>
    <w:rsid w:val="00992A13"/>
    <w:rsid w:val="00992DC7"/>
    <w:rsid w:val="00993153"/>
    <w:rsid w:val="00994A01"/>
    <w:rsid w:val="00994AAD"/>
    <w:rsid w:val="00995150"/>
    <w:rsid w:val="00995B44"/>
    <w:rsid w:val="00995D67"/>
    <w:rsid w:val="00995DEB"/>
    <w:rsid w:val="00995E5F"/>
    <w:rsid w:val="00996479"/>
    <w:rsid w:val="00996ABD"/>
    <w:rsid w:val="00996D55"/>
    <w:rsid w:val="009A013B"/>
    <w:rsid w:val="009A02F4"/>
    <w:rsid w:val="009A06BF"/>
    <w:rsid w:val="009A0CA1"/>
    <w:rsid w:val="009A0D17"/>
    <w:rsid w:val="009A2438"/>
    <w:rsid w:val="009A2494"/>
    <w:rsid w:val="009A2691"/>
    <w:rsid w:val="009A32B1"/>
    <w:rsid w:val="009A36F2"/>
    <w:rsid w:val="009A3C58"/>
    <w:rsid w:val="009A3F71"/>
    <w:rsid w:val="009A40C3"/>
    <w:rsid w:val="009A40D5"/>
    <w:rsid w:val="009A56DD"/>
    <w:rsid w:val="009A57D0"/>
    <w:rsid w:val="009A5D9A"/>
    <w:rsid w:val="009A6559"/>
    <w:rsid w:val="009A68FC"/>
    <w:rsid w:val="009A6CE4"/>
    <w:rsid w:val="009A6D97"/>
    <w:rsid w:val="009A6E31"/>
    <w:rsid w:val="009A7069"/>
    <w:rsid w:val="009A7514"/>
    <w:rsid w:val="009A7E7A"/>
    <w:rsid w:val="009B1584"/>
    <w:rsid w:val="009B15BF"/>
    <w:rsid w:val="009B17F1"/>
    <w:rsid w:val="009B18F0"/>
    <w:rsid w:val="009B2471"/>
    <w:rsid w:val="009B2F5E"/>
    <w:rsid w:val="009B314F"/>
    <w:rsid w:val="009B439C"/>
    <w:rsid w:val="009B489B"/>
    <w:rsid w:val="009B4A6C"/>
    <w:rsid w:val="009B4DA8"/>
    <w:rsid w:val="009B4E73"/>
    <w:rsid w:val="009B615A"/>
    <w:rsid w:val="009B620C"/>
    <w:rsid w:val="009B6652"/>
    <w:rsid w:val="009B6753"/>
    <w:rsid w:val="009B676C"/>
    <w:rsid w:val="009B6A26"/>
    <w:rsid w:val="009B6D2D"/>
    <w:rsid w:val="009B7AC5"/>
    <w:rsid w:val="009C079D"/>
    <w:rsid w:val="009C0D70"/>
    <w:rsid w:val="009C13D1"/>
    <w:rsid w:val="009C1896"/>
    <w:rsid w:val="009C1C3C"/>
    <w:rsid w:val="009C2913"/>
    <w:rsid w:val="009C2AC3"/>
    <w:rsid w:val="009C2BD4"/>
    <w:rsid w:val="009C353C"/>
    <w:rsid w:val="009C5A70"/>
    <w:rsid w:val="009C5AFE"/>
    <w:rsid w:val="009C6325"/>
    <w:rsid w:val="009C6606"/>
    <w:rsid w:val="009C66EB"/>
    <w:rsid w:val="009C6CE5"/>
    <w:rsid w:val="009C6D50"/>
    <w:rsid w:val="009C7547"/>
    <w:rsid w:val="009C774F"/>
    <w:rsid w:val="009C7979"/>
    <w:rsid w:val="009C7DB6"/>
    <w:rsid w:val="009C7E6D"/>
    <w:rsid w:val="009C7EBF"/>
    <w:rsid w:val="009D05EC"/>
    <w:rsid w:val="009D0D0B"/>
    <w:rsid w:val="009D18D4"/>
    <w:rsid w:val="009D2276"/>
    <w:rsid w:val="009D25AD"/>
    <w:rsid w:val="009D2F60"/>
    <w:rsid w:val="009D3A2E"/>
    <w:rsid w:val="009D4140"/>
    <w:rsid w:val="009D4177"/>
    <w:rsid w:val="009D4D49"/>
    <w:rsid w:val="009D51EE"/>
    <w:rsid w:val="009D5982"/>
    <w:rsid w:val="009D5ADE"/>
    <w:rsid w:val="009D5BAC"/>
    <w:rsid w:val="009D5C56"/>
    <w:rsid w:val="009D6265"/>
    <w:rsid w:val="009D64BD"/>
    <w:rsid w:val="009D6BF0"/>
    <w:rsid w:val="009D6CB1"/>
    <w:rsid w:val="009D768F"/>
    <w:rsid w:val="009D7730"/>
    <w:rsid w:val="009E0286"/>
    <w:rsid w:val="009E153F"/>
    <w:rsid w:val="009E19CD"/>
    <w:rsid w:val="009E322A"/>
    <w:rsid w:val="009E393E"/>
    <w:rsid w:val="009E3A42"/>
    <w:rsid w:val="009E3F00"/>
    <w:rsid w:val="009E4224"/>
    <w:rsid w:val="009E444E"/>
    <w:rsid w:val="009E4831"/>
    <w:rsid w:val="009E4968"/>
    <w:rsid w:val="009E500A"/>
    <w:rsid w:val="009E663C"/>
    <w:rsid w:val="009E684A"/>
    <w:rsid w:val="009E6BB1"/>
    <w:rsid w:val="009E6E14"/>
    <w:rsid w:val="009E7543"/>
    <w:rsid w:val="009E7D93"/>
    <w:rsid w:val="009F0494"/>
    <w:rsid w:val="009F0687"/>
    <w:rsid w:val="009F0860"/>
    <w:rsid w:val="009F0CD9"/>
    <w:rsid w:val="009F0D7A"/>
    <w:rsid w:val="009F174B"/>
    <w:rsid w:val="009F1A79"/>
    <w:rsid w:val="009F1EB3"/>
    <w:rsid w:val="009F1F57"/>
    <w:rsid w:val="009F22F5"/>
    <w:rsid w:val="009F2DDD"/>
    <w:rsid w:val="009F3447"/>
    <w:rsid w:val="009F37CC"/>
    <w:rsid w:val="009F3C82"/>
    <w:rsid w:val="009F4B2E"/>
    <w:rsid w:val="009F55D0"/>
    <w:rsid w:val="009F566E"/>
    <w:rsid w:val="009F6156"/>
    <w:rsid w:val="009F65F4"/>
    <w:rsid w:val="009F676B"/>
    <w:rsid w:val="009F6B01"/>
    <w:rsid w:val="009F6D2D"/>
    <w:rsid w:val="009F6D54"/>
    <w:rsid w:val="00A0011A"/>
    <w:rsid w:val="00A004DF"/>
    <w:rsid w:val="00A00ED7"/>
    <w:rsid w:val="00A00FD5"/>
    <w:rsid w:val="00A010CE"/>
    <w:rsid w:val="00A019A8"/>
    <w:rsid w:val="00A01B03"/>
    <w:rsid w:val="00A01B89"/>
    <w:rsid w:val="00A02B7A"/>
    <w:rsid w:val="00A02C66"/>
    <w:rsid w:val="00A02C84"/>
    <w:rsid w:val="00A03C49"/>
    <w:rsid w:val="00A04407"/>
    <w:rsid w:val="00A045BC"/>
    <w:rsid w:val="00A0464C"/>
    <w:rsid w:val="00A050BB"/>
    <w:rsid w:val="00A05496"/>
    <w:rsid w:val="00A054E0"/>
    <w:rsid w:val="00A05D91"/>
    <w:rsid w:val="00A07155"/>
    <w:rsid w:val="00A0740B"/>
    <w:rsid w:val="00A07A01"/>
    <w:rsid w:val="00A07D60"/>
    <w:rsid w:val="00A07ED3"/>
    <w:rsid w:val="00A10CA8"/>
    <w:rsid w:val="00A11042"/>
    <w:rsid w:val="00A11503"/>
    <w:rsid w:val="00A12579"/>
    <w:rsid w:val="00A12846"/>
    <w:rsid w:val="00A128B6"/>
    <w:rsid w:val="00A128F3"/>
    <w:rsid w:val="00A133D8"/>
    <w:rsid w:val="00A145A3"/>
    <w:rsid w:val="00A14D42"/>
    <w:rsid w:val="00A15655"/>
    <w:rsid w:val="00A1740C"/>
    <w:rsid w:val="00A17FF3"/>
    <w:rsid w:val="00A20069"/>
    <w:rsid w:val="00A2035A"/>
    <w:rsid w:val="00A2113D"/>
    <w:rsid w:val="00A213BC"/>
    <w:rsid w:val="00A2244D"/>
    <w:rsid w:val="00A2253D"/>
    <w:rsid w:val="00A22D47"/>
    <w:rsid w:val="00A23C65"/>
    <w:rsid w:val="00A247B8"/>
    <w:rsid w:val="00A2495A"/>
    <w:rsid w:val="00A24ADA"/>
    <w:rsid w:val="00A24C7A"/>
    <w:rsid w:val="00A24D8F"/>
    <w:rsid w:val="00A24F4E"/>
    <w:rsid w:val="00A255F2"/>
    <w:rsid w:val="00A25B8B"/>
    <w:rsid w:val="00A25BF9"/>
    <w:rsid w:val="00A2689F"/>
    <w:rsid w:val="00A26ECA"/>
    <w:rsid w:val="00A27461"/>
    <w:rsid w:val="00A27C86"/>
    <w:rsid w:val="00A3082A"/>
    <w:rsid w:val="00A309D3"/>
    <w:rsid w:val="00A30ABC"/>
    <w:rsid w:val="00A31381"/>
    <w:rsid w:val="00A31CE3"/>
    <w:rsid w:val="00A321A9"/>
    <w:rsid w:val="00A32D7B"/>
    <w:rsid w:val="00A32D8D"/>
    <w:rsid w:val="00A3353D"/>
    <w:rsid w:val="00A33800"/>
    <w:rsid w:val="00A34304"/>
    <w:rsid w:val="00A3467F"/>
    <w:rsid w:val="00A34B4C"/>
    <w:rsid w:val="00A35030"/>
    <w:rsid w:val="00A3551A"/>
    <w:rsid w:val="00A369E4"/>
    <w:rsid w:val="00A36E04"/>
    <w:rsid w:val="00A37209"/>
    <w:rsid w:val="00A37584"/>
    <w:rsid w:val="00A376E8"/>
    <w:rsid w:val="00A37E33"/>
    <w:rsid w:val="00A37F8E"/>
    <w:rsid w:val="00A40612"/>
    <w:rsid w:val="00A41063"/>
    <w:rsid w:val="00A41537"/>
    <w:rsid w:val="00A41737"/>
    <w:rsid w:val="00A41F4F"/>
    <w:rsid w:val="00A41F96"/>
    <w:rsid w:val="00A42A5F"/>
    <w:rsid w:val="00A42B8F"/>
    <w:rsid w:val="00A42D8E"/>
    <w:rsid w:val="00A43241"/>
    <w:rsid w:val="00A43254"/>
    <w:rsid w:val="00A43896"/>
    <w:rsid w:val="00A43A26"/>
    <w:rsid w:val="00A43C30"/>
    <w:rsid w:val="00A43CFC"/>
    <w:rsid w:val="00A44739"/>
    <w:rsid w:val="00A447A0"/>
    <w:rsid w:val="00A44EC5"/>
    <w:rsid w:val="00A459F5"/>
    <w:rsid w:val="00A45CA4"/>
    <w:rsid w:val="00A45FC0"/>
    <w:rsid w:val="00A47ECC"/>
    <w:rsid w:val="00A50171"/>
    <w:rsid w:val="00A503CA"/>
    <w:rsid w:val="00A504C3"/>
    <w:rsid w:val="00A504FA"/>
    <w:rsid w:val="00A50D46"/>
    <w:rsid w:val="00A5102E"/>
    <w:rsid w:val="00A5132E"/>
    <w:rsid w:val="00A51375"/>
    <w:rsid w:val="00A51533"/>
    <w:rsid w:val="00A51A44"/>
    <w:rsid w:val="00A531D4"/>
    <w:rsid w:val="00A54572"/>
    <w:rsid w:val="00A55300"/>
    <w:rsid w:val="00A5586B"/>
    <w:rsid w:val="00A56456"/>
    <w:rsid w:val="00A56DB4"/>
    <w:rsid w:val="00A574C9"/>
    <w:rsid w:val="00A575B8"/>
    <w:rsid w:val="00A600F5"/>
    <w:rsid w:val="00A60274"/>
    <w:rsid w:val="00A61071"/>
    <w:rsid w:val="00A616B4"/>
    <w:rsid w:val="00A61C60"/>
    <w:rsid w:val="00A61ECB"/>
    <w:rsid w:val="00A62528"/>
    <w:rsid w:val="00A62928"/>
    <w:rsid w:val="00A62C0B"/>
    <w:rsid w:val="00A62E93"/>
    <w:rsid w:val="00A63002"/>
    <w:rsid w:val="00A630EC"/>
    <w:rsid w:val="00A6410C"/>
    <w:rsid w:val="00A64742"/>
    <w:rsid w:val="00A647B1"/>
    <w:rsid w:val="00A647CA"/>
    <w:rsid w:val="00A64D2A"/>
    <w:rsid w:val="00A64DEF"/>
    <w:rsid w:val="00A654D2"/>
    <w:rsid w:val="00A65F33"/>
    <w:rsid w:val="00A665DF"/>
    <w:rsid w:val="00A66ABC"/>
    <w:rsid w:val="00A67934"/>
    <w:rsid w:val="00A67FCC"/>
    <w:rsid w:val="00A70AA5"/>
    <w:rsid w:val="00A70C03"/>
    <w:rsid w:val="00A70ECB"/>
    <w:rsid w:val="00A71256"/>
    <w:rsid w:val="00A71B72"/>
    <w:rsid w:val="00A7217B"/>
    <w:rsid w:val="00A737EE"/>
    <w:rsid w:val="00A73861"/>
    <w:rsid w:val="00A739A6"/>
    <w:rsid w:val="00A740ED"/>
    <w:rsid w:val="00A74189"/>
    <w:rsid w:val="00A74C62"/>
    <w:rsid w:val="00A75EF9"/>
    <w:rsid w:val="00A76D8B"/>
    <w:rsid w:val="00A80230"/>
    <w:rsid w:val="00A802E1"/>
    <w:rsid w:val="00A803D4"/>
    <w:rsid w:val="00A817FD"/>
    <w:rsid w:val="00A81F88"/>
    <w:rsid w:val="00A82149"/>
    <w:rsid w:val="00A8311C"/>
    <w:rsid w:val="00A833B3"/>
    <w:rsid w:val="00A835D0"/>
    <w:rsid w:val="00A83773"/>
    <w:rsid w:val="00A844FF"/>
    <w:rsid w:val="00A846C7"/>
    <w:rsid w:val="00A8479C"/>
    <w:rsid w:val="00A84C5F"/>
    <w:rsid w:val="00A84DC1"/>
    <w:rsid w:val="00A85930"/>
    <w:rsid w:val="00A85A37"/>
    <w:rsid w:val="00A863F7"/>
    <w:rsid w:val="00A86604"/>
    <w:rsid w:val="00A8718B"/>
    <w:rsid w:val="00A871B4"/>
    <w:rsid w:val="00A87519"/>
    <w:rsid w:val="00A87538"/>
    <w:rsid w:val="00A877A2"/>
    <w:rsid w:val="00A87D86"/>
    <w:rsid w:val="00A90E3A"/>
    <w:rsid w:val="00A9246D"/>
    <w:rsid w:val="00A93901"/>
    <w:rsid w:val="00A93938"/>
    <w:rsid w:val="00A939C8"/>
    <w:rsid w:val="00A93BD0"/>
    <w:rsid w:val="00A93CB0"/>
    <w:rsid w:val="00A93CC2"/>
    <w:rsid w:val="00A94CBC"/>
    <w:rsid w:val="00A9666D"/>
    <w:rsid w:val="00A974CC"/>
    <w:rsid w:val="00A978A8"/>
    <w:rsid w:val="00A97E93"/>
    <w:rsid w:val="00AA007D"/>
    <w:rsid w:val="00AA0AAF"/>
    <w:rsid w:val="00AA0CFB"/>
    <w:rsid w:val="00AA1A46"/>
    <w:rsid w:val="00AA1EB4"/>
    <w:rsid w:val="00AA2001"/>
    <w:rsid w:val="00AA21AE"/>
    <w:rsid w:val="00AA243C"/>
    <w:rsid w:val="00AA2B5C"/>
    <w:rsid w:val="00AA32D2"/>
    <w:rsid w:val="00AA33B8"/>
    <w:rsid w:val="00AA385B"/>
    <w:rsid w:val="00AA4016"/>
    <w:rsid w:val="00AA4C1F"/>
    <w:rsid w:val="00AA5328"/>
    <w:rsid w:val="00AA5393"/>
    <w:rsid w:val="00AA63D4"/>
    <w:rsid w:val="00AA7561"/>
    <w:rsid w:val="00AA7F1E"/>
    <w:rsid w:val="00AB03FD"/>
    <w:rsid w:val="00AB09EC"/>
    <w:rsid w:val="00AB0CAA"/>
    <w:rsid w:val="00AB167E"/>
    <w:rsid w:val="00AB2000"/>
    <w:rsid w:val="00AB2824"/>
    <w:rsid w:val="00AB282C"/>
    <w:rsid w:val="00AB2F57"/>
    <w:rsid w:val="00AB38CB"/>
    <w:rsid w:val="00AB3BEC"/>
    <w:rsid w:val="00AB425E"/>
    <w:rsid w:val="00AB44E4"/>
    <w:rsid w:val="00AB4AEB"/>
    <w:rsid w:val="00AB4E5F"/>
    <w:rsid w:val="00AB5352"/>
    <w:rsid w:val="00AB569B"/>
    <w:rsid w:val="00AB56AE"/>
    <w:rsid w:val="00AB5745"/>
    <w:rsid w:val="00AB5D0E"/>
    <w:rsid w:val="00AB62D5"/>
    <w:rsid w:val="00AB65B5"/>
    <w:rsid w:val="00AB661F"/>
    <w:rsid w:val="00AB6B8F"/>
    <w:rsid w:val="00AB6DCD"/>
    <w:rsid w:val="00AB6EE0"/>
    <w:rsid w:val="00AB7BA1"/>
    <w:rsid w:val="00AC0298"/>
    <w:rsid w:val="00AC0472"/>
    <w:rsid w:val="00AC0516"/>
    <w:rsid w:val="00AC1418"/>
    <w:rsid w:val="00AC1432"/>
    <w:rsid w:val="00AC17A2"/>
    <w:rsid w:val="00AC40B7"/>
    <w:rsid w:val="00AC531F"/>
    <w:rsid w:val="00AC5B36"/>
    <w:rsid w:val="00AC62ED"/>
    <w:rsid w:val="00AC6377"/>
    <w:rsid w:val="00AC6450"/>
    <w:rsid w:val="00AC66A4"/>
    <w:rsid w:val="00AC6CB1"/>
    <w:rsid w:val="00AC7353"/>
    <w:rsid w:val="00AC735F"/>
    <w:rsid w:val="00AC7D6D"/>
    <w:rsid w:val="00AD0091"/>
    <w:rsid w:val="00AD23EF"/>
    <w:rsid w:val="00AD2578"/>
    <w:rsid w:val="00AD2662"/>
    <w:rsid w:val="00AD2A90"/>
    <w:rsid w:val="00AD2B01"/>
    <w:rsid w:val="00AD307B"/>
    <w:rsid w:val="00AD4014"/>
    <w:rsid w:val="00AD41B3"/>
    <w:rsid w:val="00AD4511"/>
    <w:rsid w:val="00AD5059"/>
    <w:rsid w:val="00AD5455"/>
    <w:rsid w:val="00AD5D51"/>
    <w:rsid w:val="00AD65CD"/>
    <w:rsid w:val="00AD69F0"/>
    <w:rsid w:val="00AD7127"/>
    <w:rsid w:val="00AD730C"/>
    <w:rsid w:val="00AD73D4"/>
    <w:rsid w:val="00AD75BD"/>
    <w:rsid w:val="00AE060D"/>
    <w:rsid w:val="00AE123A"/>
    <w:rsid w:val="00AE1539"/>
    <w:rsid w:val="00AE28A7"/>
    <w:rsid w:val="00AE2A98"/>
    <w:rsid w:val="00AE2CF2"/>
    <w:rsid w:val="00AE2F5D"/>
    <w:rsid w:val="00AE3012"/>
    <w:rsid w:val="00AE33A6"/>
    <w:rsid w:val="00AE3729"/>
    <w:rsid w:val="00AE47A3"/>
    <w:rsid w:val="00AE4CCE"/>
    <w:rsid w:val="00AE501F"/>
    <w:rsid w:val="00AE559F"/>
    <w:rsid w:val="00AE567A"/>
    <w:rsid w:val="00AE56D5"/>
    <w:rsid w:val="00AE5C6A"/>
    <w:rsid w:val="00AE63C0"/>
    <w:rsid w:val="00AE6E87"/>
    <w:rsid w:val="00AE7280"/>
    <w:rsid w:val="00AE76E4"/>
    <w:rsid w:val="00AF033A"/>
    <w:rsid w:val="00AF1521"/>
    <w:rsid w:val="00AF1699"/>
    <w:rsid w:val="00AF16ED"/>
    <w:rsid w:val="00AF1FD3"/>
    <w:rsid w:val="00AF1FFC"/>
    <w:rsid w:val="00AF2910"/>
    <w:rsid w:val="00AF34B8"/>
    <w:rsid w:val="00AF36A1"/>
    <w:rsid w:val="00AF36D6"/>
    <w:rsid w:val="00AF3896"/>
    <w:rsid w:val="00AF3911"/>
    <w:rsid w:val="00AF3FC2"/>
    <w:rsid w:val="00AF4105"/>
    <w:rsid w:val="00AF4CC9"/>
    <w:rsid w:val="00AF5134"/>
    <w:rsid w:val="00AF5382"/>
    <w:rsid w:val="00AF55A9"/>
    <w:rsid w:val="00AF6BAF"/>
    <w:rsid w:val="00AF7193"/>
    <w:rsid w:val="00B0098A"/>
    <w:rsid w:val="00B00A5F"/>
    <w:rsid w:val="00B014D9"/>
    <w:rsid w:val="00B01894"/>
    <w:rsid w:val="00B029B8"/>
    <w:rsid w:val="00B02F60"/>
    <w:rsid w:val="00B032B8"/>
    <w:rsid w:val="00B03DCD"/>
    <w:rsid w:val="00B04539"/>
    <w:rsid w:val="00B0455C"/>
    <w:rsid w:val="00B046AF"/>
    <w:rsid w:val="00B04B15"/>
    <w:rsid w:val="00B04B46"/>
    <w:rsid w:val="00B0534D"/>
    <w:rsid w:val="00B054A1"/>
    <w:rsid w:val="00B05685"/>
    <w:rsid w:val="00B05D1A"/>
    <w:rsid w:val="00B05F9F"/>
    <w:rsid w:val="00B06368"/>
    <w:rsid w:val="00B06695"/>
    <w:rsid w:val="00B068DA"/>
    <w:rsid w:val="00B06FC6"/>
    <w:rsid w:val="00B07281"/>
    <w:rsid w:val="00B074C9"/>
    <w:rsid w:val="00B07B3E"/>
    <w:rsid w:val="00B07D9D"/>
    <w:rsid w:val="00B10933"/>
    <w:rsid w:val="00B11AE5"/>
    <w:rsid w:val="00B11B06"/>
    <w:rsid w:val="00B12133"/>
    <w:rsid w:val="00B12170"/>
    <w:rsid w:val="00B12D2E"/>
    <w:rsid w:val="00B12FE6"/>
    <w:rsid w:val="00B1303F"/>
    <w:rsid w:val="00B13589"/>
    <w:rsid w:val="00B1364A"/>
    <w:rsid w:val="00B13859"/>
    <w:rsid w:val="00B14319"/>
    <w:rsid w:val="00B14875"/>
    <w:rsid w:val="00B148A4"/>
    <w:rsid w:val="00B14A06"/>
    <w:rsid w:val="00B14D80"/>
    <w:rsid w:val="00B158E1"/>
    <w:rsid w:val="00B16337"/>
    <w:rsid w:val="00B16715"/>
    <w:rsid w:val="00B169E0"/>
    <w:rsid w:val="00B1768E"/>
    <w:rsid w:val="00B1778A"/>
    <w:rsid w:val="00B17910"/>
    <w:rsid w:val="00B17F0C"/>
    <w:rsid w:val="00B20BDC"/>
    <w:rsid w:val="00B20F04"/>
    <w:rsid w:val="00B20F18"/>
    <w:rsid w:val="00B21516"/>
    <w:rsid w:val="00B21A37"/>
    <w:rsid w:val="00B21F62"/>
    <w:rsid w:val="00B220CA"/>
    <w:rsid w:val="00B22AD6"/>
    <w:rsid w:val="00B22CE0"/>
    <w:rsid w:val="00B233DF"/>
    <w:rsid w:val="00B23738"/>
    <w:rsid w:val="00B23BEF"/>
    <w:rsid w:val="00B247BB"/>
    <w:rsid w:val="00B2504A"/>
    <w:rsid w:val="00B25EE6"/>
    <w:rsid w:val="00B2708B"/>
    <w:rsid w:val="00B27FE2"/>
    <w:rsid w:val="00B30296"/>
    <w:rsid w:val="00B308CE"/>
    <w:rsid w:val="00B3115A"/>
    <w:rsid w:val="00B31825"/>
    <w:rsid w:val="00B31A5C"/>
    <w:rsid w:val="00B32629"/>
    <w:rsid w:val="00B32E17"/>
    <w:rsid w:val="00B3383D"/>
    <w:rsid w:val="00B33901"/>
    <w:rsid w:val="00B33A18"/>
    <w:rsid w:val="00B33B06"/>
    <w:rsid w:val="00B33C19"/>
    <w:rsid w:val="00B33FBB"/>
    <w:rsid w:val="00B340ED"/>
    <w:rsid w:val="00B34383"/>
    <w:rsid w:val="00B34A0D"/>
    <w:rsid w:val="00B34DD8"/>
    <w:rsid w:val="00B34FCD"/>
    <w:rsid w:val="00B35A15"/>
    <w:rsid w:val="00B36A99"/>
    <w:rsid w:val="00B378E1"/>
    <w:rsid w:val="00B40140"/>
    <w:rsid w:val="00B41CCC"/>
    <w:rsid w:val="00B42264"/>
    <w:rsid w:val="00B42278"/>
    <w:rsid w:val="00B42577"/>
    <w:rsid w:val="00B425ED"/>
    <w:rsid w:val="00B428CB"/>
    <w:rsid w:val="00B434B2"/>
    <w:rsid w:val="00B4390A"/>
    <w:rsid w:val="00B43D45"/>
    <w:rsid w:val="00B44244"/>
    <w:rsid w:val="00B449ED"/>
    <w:rsid w:val="00B45A2B"/>
    <w:rsid w:val="00B468F2"/>
    <w:rsid w:val="00B469DE"/>
    <w:rsid w:val="00B46BE2"/>
    <w:rsid w:val="00B47286"/>
    <w:rsid w:val="00B47712"/>
    <w:rsid w:val="00B50234"/>
    <w:rsid w:val="00B50C40"/>
    <w:rsid w:val="00B5180A"/>
    <w:rsid w:val="00B5197F"/>
    <w:rsid w:val="00B51BF4"/>
    <w:rsid w:val="00B52577"/>
    <w:rsid w:val="00B52C68"/>
    <w:rsid w:val="00B5416C"/>
    <w:rsid w:val="00B54288"/>
    <w:rsid w:val="00B542FE"/>
    <w:rsid w:val="00B5458B"/>
    <w:rsid w:val="00B5541F"/>
    <w:rsid w:val="00B55A1B"/>
    <w:rsid w:val="00B561DB"/>
    <w:rsid w:val="00B56DF9"/>
    <w:rsid w:val="00B5739E"/>
    <w:rsid w:val="00B600BD"/>
    <w:rsid w:val="00B60443"/>
    <w:rsid w:val="00B60E4F"/>
    <w:rsid w:val="00B61274"/>
    <w:rsid w:val="00B61DCE"/>
    <w:rsid w:val="00B61F69"/>
    <w:rsid w:val="00B62188"/>
    <w:rsid w:val="00B62C2C"/>
    <w:rsid w:val="00B62F79"/>
    <w:rsid w:val="00B62F82"/>
    <w:rsid w:val="00B6306A"/>
    <w:rsid w:val="00B63277"/>
    <w:rsid w:val="00B635E3"/>
    <w:rsid w:val="00B656B4"/>
    <w:rsid w:val="00B658F7"/>
    <w:rsid w:val="00B662FF"/>
    <w:rsid w:val="00B66679"/>
    <w:rsid w:val="00B67EEA"/>
    <w:rsid w:val="00B70145"/>
    <w:rsid w:val="00B70908"/>
    <w:rsid w:val="00B70F88"/>
    <w:rsid w:val="00B71659"/>
    <w:rsid w:val="00B71A92"/>
    <w:rsid w:val="00B721D8"/>
    <w:rsid w:val="00B730CA"/>
    <w:rsid w:val="00B7366F"/>
    <w:rsid w:val="00B747C5"/>
    <w:rsid w:val="00B74CA9"/>
    <w:rsid w:val="00B74F2F"/>
    <w:rsid w:val="00B753ED"/>
    <w:rsid w:val="00B7588E"/>
    <w:rsid w:val="00B769BC"/>
    <w:rsid w:val="00B76AD2"/>
    <w:rsid w:val="00B77349"/>
    <w:rsid w:val="00B7749E"/>
    <w:rsid w:val="00B7761E"/>
    <w:rsid w:val="00B801EC"/>
    <w:rsid w:val="00B8046D"/>
    <w:rsid w:val="00B80A3D"/>
    <w:rsid w:val="00B80B04"/>
    <w:rsid w:val="00B821E4"/>
    <w:rsid w:val="00B823E0"/>
    <w:rsid w:val="00B8260D"/>
    <w:rsid w:val="00B82B78"/>
    <w:rsid w:val="00B82B91"/>
    <w:rsid w:val="00B8398C"/>
    <w:rsid w:val="00B83A3B"/>
    <w:rsid w:val="00B83CE6"/>
    <w:rsid w:val="00B83FC9"/>
    <w:rsid w:val="00B845B4"/>
    <w:rsid w:val="00B84662"/>
    <w:rsid w:val="00B84C74"/>
    <w:rsid w:val="00B8506E"/>
    <w:rsid w:val="00B85191"/>
    <w:rsid w:val="00B85540"/>
    <w:rsid w:val="00B857CA"/>
    <w:rsid w:val="00B858A1"/>
    <w:rsid w:val="00B859CB"/>
    <w:rsid w:val="00B85FEC"/>
    <w:rsid w:val="00B8612D"/>
    <w:rsid w:val="00B864A3"/>
    <w:rsid w:val="00B86856"/>
    <w:rsid w:val="00B86C2A"/>
    <w:rsid w:val="00B86E19"/>
    <w:rsid w:val="00B87A3E"/>
    <w:rsid w:val="00B87B06"/>
    <w:rsid w:val="00B902A5"/>
    <w:rsid w:val="00B90420"/>
    <w:rsid w:val="00B90848"/>
    <w:rsid w:val="00B91146"/>
    <w:rsid w:val="00B9128C"/>
    <w:rsid w:val="00B912C6"/>
    <w:rsid w:val="00B913E4"/>
    <w:rsid w:val="00B91DB9"/>
    <w:rsid w:val="00B91DD7"/>
    <w:rsid w:val="00B922D8"/>
    <w:rsid w:val="00B938E6"/>
    <w:rsid w:val="00B93BFD"/>
    <w:rsid w:val="00B93D65"/>
    <w:rsid w:val="00B93EFE"/>
    <w:rsid w:val="00B944B9"/>
    <w:rsid w:val="00B94956"/>
    <w:rsid w:val="00B94A8B"/>
    <w:rsid w:val="00B94C7F"/>
    <w:rsid w:val="00B94E93"/>
    <w:rsid w:val="00B95671"/>
    <w:rsid w:val="00B956B5"/>
    <w:rsid w:val="00B95CD9"/>
    <w:rsid w:val="00B95D75"/>
    <w:rsid w:val="00B96DF2"/>
    <w:rsid w:val="00B96E18"/>
    <w:rsid w:val="00B96F5A"/>
    <w:rsid w:val="00B97847"/>
    <w:rsid w:val="00B97EA4"/>
    <w:rsid w:val="00BA0B39"/>
    <w:rsid w:val="00BA0CB2"/>
    <w:rsid w:val="00BA0E26"/>
    <w:rsid w:val="00BA138B"/>
    <w:rsid w:val="00BA305B"/>
    <w:rsid w:val="00BA31BF"/>
    <w:rsid w:val="00BA3FC7"/>
    <w:rsid w:val="00BA4074"/>
    <w:rsid w:val="00BA416A"/>
    <w:rsid w:val="00BA4494"/>
    <w:rsid w:val="00BA478B"/>
    <w:rsid w:val="00BA4960"/>
    <w:rsid w:val="00BA50CE"/>
    <w:rsid w:val="00BA5224"/>
    <w:rsid w:val="00BA5427"/>
    <w:rsid w:val="00BA575E"/>
    <w:rsid w:val="00BA6CF9"/>
    <w:rsid w:val="00BA6EEC"/>
    <w:rsid w:val="00BA72EE"/>
    <w:rsid w:val="00BA76B7"/>
    <w:rsid w:val="00BA7DDC"/>
    <w:rsid w:val="00BA7E3B"/>
    <w:rsid w:val="00BB078D"/>
    <w:rsid w:val="00BB079C"/>
    <w:rsid w:val="00BB0D7A"/>
    <w:rsid w:val="00BB0DAF"/>
    <w:rsid w:val="00BB10E1"/>
    <w:rsid w:val="00BB118F"/>
    <w:rsid w:val="00BB2471"/>
    <w:rsid w:val="00BB3035"/>
    <w:rsid w:val="00BB35DB"/>
    <w:rsid w:val="00BB39C1"/>
    <w:rsid w:val="00BB3DF5"/>
    <w:rsid w:val="00BB43DD"/>
    <w:rsid w:val="00BB5D16"/>
    <w:rsid w:val="00BB6180"/>
    <w:rsid w:val="00BB69E6"/>
    <w:rsid w:val="00BB6CAB"/>
    <w:rsid w:val="00BB7BE5"/>
    <w:rsid w:val="00BB7E05"/>
    <w:rsid w:val="00BC0050"/>
    <w:rsid w:val="00BC08BD"/>
    <w:rsid w:val="00BC11E8"/>
    <w:rsid w:val="00BC17BC"/>
    <w:rsid w:val="00BC1A41"/>
    <w:rsid w:val="00BC1B7A"/>
    <w:rsid w:val="00BC2C17"/>
    <w:rsid w:val="00BC34A8"/>
    <w:rsid w:val="00BC3A02"/>
    <w:rsid w:val="00BC3ACD"/>
    <w:rsid w:val="00BC3B20"/>
    <w:rsid w:val="00BC3EE4"/>
    <w:rsid w:val="00BC4387"/>
    <w:rsid w:val="00BC49B3"/>
    <w:rsid w:val="00BC514D"/>
    <w:rsid w:val="00BC57DF"/>
    <w:rsid w:val="00BC588C"/>
    <w:rsid w:val="00BC5B3F"/>
    <w:rsid w:val="00BC6E73"/>
    <w:rsid w:val="00BC745A"/>
    <w:rsid w:val="00BC74D3"/>
    <w:rsid w:val="00BD0014"/>
    <w:rsid w:val="00BD01D8"/>
    <w:rsid w:val="00BD1630"/>
    <w:rsid w:val="00BD2148"/>
    <w:rsid w:val="00BD24F8"/>
    <w:rsid w:val="00BD255F"/>
    <w:rsid w:val="00BD2895"/>
    <w:rsid w:val="00BD4236"/>
    <w:rsid w:val="00BD483B"/>
    <w:rsid w:val="00BD4978"/>
    <w:rsid w:val="00BD5993"/>
    <w:rsid w:val="00BD5A60"/>
    <w:rsid w:val="00BD5CD4"/>
    <w:rsid w:val="00BD65D9"/>
    <w:rsid w:val="00BD6DF3"/>
    <w:rsid w:val="00BD6E09"/>
    <w:rsid w:val="00BD6EF9"/>
    <w:rsid w:val="00BD783B"/>
    <w:rsid w:val="00BE0ACB"/>
    <w:rsid w:val="00BE1A90"/>
    <w:rsid w:val="00BE2260"/>
    <w:rsid w:val="00BE3917"/>
    <w:rsid w:val="00BE4D3E"/>
    <w:rsid w:val="00BE50FD"/>
    <w:rsid w:val="00BE51CA"/>
    <w:rsid w:val="00BE537F"/>
    <w:rsid w:val="00BE5A89"/>
    <w:rsid w:val="00BE5D77"/>
    <w:rsid w:val="00BE6D47"/>
    <w:rsid w:val="00BE7032"/>
    <w:rsid w:val="00BE7330"/>
    <w:rsid w:val="00BE75E3"/>
    <w:rsid w:val="00BF01C5"/>
    <w:rsid w:val="00BF061A"/>
    <w:rsid w:val="00BF066A"/>
    <w:rsid w:val="00BF0E58"/>
    <w:rsid w:val="00BF14CC"/>
    <w:rsid w:val="00BF1821"/>
    <w:rsid w:val="00BF3EB9"/>
    <w:rsid w:val="00BF4256"/>
    <w:rsid w:val="00BF42D2"/>
    <w:rsid w:val="00BF4342"/>
    <w:rsid w:val="00BF4704"/>
    <w:rsid w:val="00BF4CFB"/>
    <w:rsid w:val="00BF4FFC"/>
    <w:rsid w:val="00BF5050"/>
    <w:rsid w:val="00BF50D1"/>
    <w:rsid w:val="00BF5361"/>
    <w:rsid w:val="00BF5422"/>
    <w:rsid w:val="00BF59B1"/>
    <w:rsid w:val="00BF5A15"/>
    <w:rsid w:val="00BF5A81"/>
    <w:rsid w:val="00BF6480"/>
    <w:rsid w:val="00BF6A78"/>
    <w:rsid w:val="00BF6D9A"/>
    <w:rsid w:val="00BF7695"/>
    <w:rsid w:val="00BF79B4"/>
    <w:rsid w:val="00BF7C61"/>
    <w:rsid w:val="00C000D5"/>
    <w:rsid w:val="00C00D29"/>
    <w:rsid w:val="00C01427"/>
    <w:rsid w:val="00C014C7"/>
    <w:rsid w:val="00C031CE"/>
    <w:rsid w:val="00C047AB"/>
    <w:rsid w:val="00C05668"/>
    <w:rsid w:val="00C05704"/>
    <w:rsid w:val="00C058AF"/>
    <w:rsid w:val="00C06B6A"/>
    <w:rsid w:val="00C0796D"/>
    <w:rsid w:val="00C07AAE"/>
    <w:rsid w:val="00C1067A"/>
    <w:rsid w:val="00C108C8"/>
    <w:rsid w:val="00C11655"/>
    <w:rsid w:val="00C1179B"/>
    <w:rsid w:val="00C124C1"/>
    <w:rsid w:val="00C128AE"/>
    <w:rsid w:val="00C12BA8"/>
    <w:rsid w:val="00C136D6"/>
    <w:rsid w:val="00C1381C"/>
    <w:rsid w:val="00C13B26"/>
    <w:rsid w:val="00C13D5B"/>
    <w:rsid w:val="00C14083"/>
    <w:rsid w:val="00C141D7"/>
    <w:rsid w:val="00C1433D"/>
    <w:rsid w:val="00C144E4"/>
    <w:rsid w:val="00C15E4C"/>
    <w:rsid w:val="00C16172"/>
    <w:rsid w:val="00C1659C"/>
    <w:rsid w:val="00C1711B"/>
    <w:rsid w:val="00C1715E"/>
    <w:rsid w:val="00C17454"/>
    <w:rsid w:val="00C17AE2"/>
    <w:rsid w:val="00C20140"/>
    <w:rsid w:val="00C20483"/>
    <w:rsid w:val="00C20F27"/>
    <w:rsid w:val="00C215CF"/>
    <w:rsid w:val="00C216E9"/>
    <w:rsid w:val="00C217A0"/>
    <w:rsid w:val="00C2244B"/>
    <w:rsid w:val="00C224CD"/>
    <w:rsid w:val="00C22711"/>
    <w:rsid w:val="00C2280A"/>
    <w:rsid w:val="00C228F8"/>
    <w:rsid w:val="00C22B0D"/>
    <w:rsid w:val="00C23098"/>
    <w:rsid w:val="00C23405"/>
    <w:rsid w:val="00C23522"/>
    <w:rsid w:val="00C240C1"/>
    <w:rsid w:val="00C24AED"/>
    <w:rsid w:val="00C250D0"/>
    <w:rsid w:val="00C252AC"/>
    <w:rsid w:val="00C25934"/>
    <w:rsid w:val="00C25C0F"/>
    <w:rsid w:val="00C25E2B"/>
    <w:rsid w:val="00C26567"/>
    <w:rsid w:val="00C26923"/>
    <w:rsid w:val="00C26C9B"/>
    <w:rsid w:val="00C27214"/>
    <w:rsid w:val="00C27597"/>
    <w:rsid w:val="00C27E5E"/>
    <w:rsid w:val="00C30168"/>
    <w:rsid w:val="00C3018B"/>
    <w:rsid w:val="00C30382"/>
    <w:rsid w:val="00C30772"/>
    <w:rsid w:val="00C30A43"/>
    <w:rsid w:val="00C30BFE"/>
    <w:rsid w:val="00C30D6F"/>
    <w:rsid w:val="00C31063"/>
    <w:rsid w:val="00C312A2"/>
    <w:rsid w:val="00C312CB"/>
    <w:rsid w:val="00C31B7E"/>
    <w:rsid w:val="00C31DDB"/>
    <w:rsid w:val="00C322D1"/>
    <w:rsid w:val="00C3242A"/>
    <w:rsid w:val="00C325D1"/>
    <w:rsid w:val="00C33201"/>
    <w:rsid w:val="00C33796"/>
    <w:rsid w:val="00C33A39"/>
    <w:rsid w:val="00C33F04"/>
    <w:rsid w:val="00C3401A"/>
    <w:rsid w:val="00C34469"/>
    <w:rsid w:val="00C346C8"/>
    <w:rsid w:val="00C34A2C"/>
    <w:rsid w:val="00C34A2F"/>
    <w:rsid w:val="00C35959"/>
    <w:rsid w:val="00C360B3"/>
    <w:rsid w:val="00C37027"/>
    <w:rsid w:val="00C3742B"/>
    <w:rsid w:val="00C37B19"/>
    <w:rsid w:val="00C37C72"/>
    <w:rsid w:val="00C413CB"/>
    <w:rsid w:val="00C41783"/>
    <w:rsid w:val="00C41F54"/>
    <w:rsid w:val="00C42752"/>
    <w:rsid w:val="00C42973"/>
    <w:rsid w:val="00C450C9"/>
    <w:rsid w:val="00C45C2E"/>
    <w:rsid w:val="00C4643C"/>
    <w:rsid w:val="00C464AB"/>
    <w:rsid w:val="00C47B12"/>
    <w:rsid w:val="00C47D76"/>
    <w:rsid w:val="00C5026C"/>
    <w:rsid w:val="00C5034F"/>
    <w:rsid w:val="00C50830"/>
    <w:rsid w:val="00C50B17"/>
    <w:rsid w:val="00C50B62"/>
    <w:rsid w:val="00C5115A"/>
    <w:rsid w:val="00C51706"/>
    <w:rsid w:val="00C51A25"/>
    <w:rsid w:val="00C52479"/>
    <w:rsid w:val="00C5266E"/>
    <w:rsid w:val="00C5279F"/>
    <w:rsid w:val="00C5289F"/>
    <w:rsid w:val="00C52C59"/>
    <w:rsid w:val="00C5318C"/>
    <w:rsid w:val="00C53486"/>
    <w:rsid w:val="00C5349E"/>
    <w:rsid w:val="00C535E1"/>
    <w:rsid w:val="00C539FF"/>
    <w:rsid w:val="00C53DDC"/>
    <w:rsid w:val="00C54414"/>
    <w:rsid w:val="00C544BD"/>
    <w:rsid w:val="00C548EA"/>
    <w:rsid w:val="00C54CF7"/>
    <w:rsid w:val="00C54D3D"/>
    <w:rsid w:val="00C558B2"/>
    <w:rsid w:val="00C55A30"/>
    <w:rsid w:val="00C56384"/>
    <w:rsid w:val="00C56F56"/>
    <w:rsid w:val="00C57156"/>
    <w:rsid w:val="00C5724A"/>
    <w:rsid w:val="00C57964"/>
    <w:rsid w:val="00C60073"/>
    <w:rsid w:val="00C60DAE"/>
    <w:rsid w:val="00C60F8C"/>
    <w:rsid w:val="00C6113A"/>
    <w:rsid w:val="00C612BD"/>
    <w:rsid w:val="00C61A4A"/>
    <w:rsid w:val="00C624E3"/>
    <w:rsid w:val="00C62648"/>
    <w:rsid w:val="00C62806"/>
    <w:rsid w:val="00C62A48"/>
    <w:rsid w:val="00C62AC4"/>
    <w:rsid w:val="00C62B59"/>
    <w:rsid w:val="00C62F96"/>
    <w:rsid w:val="00C631E1"/>
    <w:rsid w:val="00C63778"/>
    <w:rsid w:val="00C63892"/>
    <w:rsid w:val="00C638D8"/>
    <w:rsid w:val="00C63ADD"/>
    <w:rsid w:val="00C63D26"/>
    <w:rsid w:val="00C64769"/>
    <w:rsid w:val="00C6540A"/>
    <w:rsid w:val="00C668A1"/>
    <w:rsid w:val="00C669C4"/>
    <w:rsid w:val="00C67223"/>
    <w:rsid w:val="00C67831"/>
    <w:rsid w:val="00C6788F"/>
    <w:rsid w:val="00C67E72"/>
    <w:rsid w:val="00C67F1C"/>
    <w:rsid w:val="00C70489"/>
    <w:rsid w:val="00C707B8"/>
    <w:rsid w:val="00C70F39"/>
    <w:rsid w:val="00C712AC"/>
    <w:rsid w:val="00C71C15"/>
    <w:rsid w:val="00C71F3D"/>
    <w:rsid w:val="00C7258C"/>
    <w:rsid w:val="00C72F53"/>
    <w:rsid w:val="00C74035"/>
    <w:rsid w:val="00C746DC"/>
    <w:rsid w:val="00C748EA"/>
    <w:rsid w:val="00C74C2E"/>
    <w:rsid w:val="00C75947"/>
    <w:rsid w:val="00C77207"/>
    <w:rsid w:val="00C776F3"/>
    <w:rsid w:val="00C77818"/>
    <w:rsid w:val="00C8063F"/>
    <w:rsid w:val="00C81282"/>
    <w:rsid w:val="00C8151C"/>
    <w:rsid w:val="00C824F2"/>
    <w:rsid w:val="00C8281F"/>
    <w:rsid w:val="00C82B77"/>
    <w:rsid w:val="00C82BE5"/>
    <w:rsid w:val="00C82C14"/>
    <w:rsid w:val="00C83214"/>
    <w:rsid w:val="00C8329F"/>
    <w:rsid w:val="00C84F8A"/>
    <w:rsid w:val="00C852F0"/>
    <w:rsid w:val="00C85BA4"/>
    <w:rsid w:val="00C8618F"/>
    <w:rsid w:val="00C8625D"/>
    <w:rsid w:val="00C86A96"/>
    <w:rsid w:val="00C871EB"/>
    <w:rsid w:val="00C900A3"/>
    <w:rsid w:val="00C90372"/>
    <w:rsid w:val="00C9041F"/>
    <w:rsid w:val="00C9060D"/>
    <w:rsid w:val="00C90B0B"/>
    <w:rsid w:val="00C910EE"/>
    <w:rsid w:val="00C9166B"/>
    <w:rsid w:val="00C91A45"/>
    <w:rsid w:val="00C91FB4"/>
    <w:rsid w:val="00C9200F"/>
    <w:rsid w:val="00C92150"/>
    <w:rsid w:val="00C92328"/>
    <w:rsid w:val="00C92AC4"/>
    <w:rsid w:val="00C92D42"/>
    <w:rsid w:val="00C92E16"/>
    <w:rsid w:val="00C93085"/>
    <w:rsid w:val="00C931B7"/>
    <w:rsid w:val="00C938C2"/>
    <w:rsid w:val="00C93F8A"/>
    <w:rsid w:val="00C94455"/>
    <w:rsid w:val="00C94720"/>
    <w:rsid w:val="00C94EA1"/>
    <w:rsid w:val="00C95745"/>
    <w:rsid w:val="00C95902"/>
    <w:rsid w:val="00C959FE"/>
    <w:rsid w:val="00C962E3"/>
    <w:rsid w:val="00C97661"/>
    <w:rsid w:val="00C978E2"/>
    <w:rsid w:val="00C97997"/>
    <w:rsid w:val="00CA0FFC"/>
    <w:rsid w:val="00CA10A2"/>
    <w:rsid w:val="00CA1D83"/>
    <w:rsid w:val="00CA25C0"/>
    <w:rsid w:val="00CA26E5"/>
    <w:rsid w:val="00CA284B"/>
    <w:rsid w:val="00CA2FCE"/>
    <w:rsid w:val="00CA3451"/>
    <w:rsid w:val="00CA3789"/>
    <w:rsid w:val="00CA38D1"/>
    <w:rsid w:val="00CA3914"/>
    <w:rsid w:val="00CA4948"/>
    <w:rsid w:val="00CA4961"/>
    <w:rsid w:val="00CA49C4"/>
    <w:rsid w:val="00CA52F9"/>
    <w:rsid w:val="00CA5368"/>
    <w:rsid w:val="00CA54E1"/>
    <w:rsid w:val="00CA568B"/>
    <w:rsid w:val="00CA573A"/>
    <w:rsid w:val="00CA5A11"/>
    <w:rsid w:val="00CA708C"/>
    <w:rsid w:val="00CB002B"/>
    <w:rsid w:val="00CB19FE"/>
    <w:rsid w:val="00CB2210"/>
    <w:rsid w:val="00CB2364"/>
    <w:rsid w:val="00CB2BB4"/>
    <w:rsid w:val="00CB2E31"/>
    <w:rsid w:val="00CB304C"/>
    <w:rsid w:val="00CB3864"/>
    <w:rsid w:val="00CB3933"/>
    <w:rsid w:val="00CB3B3E"/>
    <w:rsid w:val="00CB4160"/>
    <w:rsid w:val="00CB443A"/>
    <w:rsid w:val="00CB53E8"/>
    <w:rsid w:val="00CB594A"/>
    <w:rsid w:val="00CB5CB2"/>
    <w:rsid w:val="00CB5E7B"/>
    <w:rsid w:val="00CB6979"/>
    <w:rsid w:val="00CB7431"/>
    <w:rsid w:val="00CB7DDE"/>
    <w:rsid w:val="00CC0910"/>
    <w:rsid w:val="00CC0A3D"/>
    <w:rsid w:val="00CC0B55"/>
    <w:rsid w:val="00CC0DA6"/>
    <w:rsid w:val="00CC1042"/>
    <w:rsid w:val="00CC1E01"/>
    <w:rsid w:val="00CC2173"/>
    <w:rsid w:val="00CC2291"/>
    <w:rsid w:val="00CC26AE"/>
    <w:rsid w:val="00CC304F"/>
    <w:rsid w:val="00CC35DA"/>
    <w:rsid w:val="00CC3C53"/>
    <w:rsid w:val="00CC3D24"/>
    <w:rsid w:val="00CC3F91"/>
    <w:rsid w:val="00CC4359"/>
    <w:rsid w:val="00CC45BB"/>
    <w:rsid w:val="00CC4647"/>
    <w:rsid w:val="00CC4ACD"/>
    <w:rsid w:val="00CC4B0A"/>
    <w:rsid w:val="00CC544A"/>
    <w:rsid w:val="00CC57EA"/>
    <w:rsid w:val="00CC5954"/>
    <w:rsid w:val="00CC629B"/>
    <w:rsid w:val="00CC6A2B"/>
    <w:rsid w:val="00CC6C4E"/>
    <w:rsid w:val="00CC6D49"/>
    <w:rsid w:val="00CD009D"/>
    <w:rsid w:val="00CD05A2"/>
    <w:rsid w:val="00CD18CD"/>
    <w:rsid w:val="00CD29D4"/>
    <w:rsid w:val="00CD2B5C"/>
    <w:rsid w:val="00CD2FF3"/>
    <w:rsid w:val="00CD3323"/>
    <w:rsid w:val="00CD38F5"/>
    <w:rsid w:val="00CD4028"/>
    <w:rsid w:val="00CD41BD"/>
    <w:rsid w:val="00CD437E"/>
    <w:rsid w:val="00CD4AFE"/>
    <w:rsid w:val="00CD5660"/>
    <w:rsid w:val="00CD5785"/>
    <w:rsid w:val="00CD59AD"/>
    <w:rsid w:val="00CD5A7E"/>
    <w:rsid w:val="00CD5DAD"/>
    <w:rsid w:val="00CD6318"/>
    <w:rsid w:val="00CD64AD"/>
    <w:rsid w:val="00CD6D31"/>
    <w:rsid w:val="00CD6E9D"/>
    <w:rsid w:val="00CD72C5"/>
    <w:rsid w:val="00CD79A7"/>
    <w:rsid w:val="00CE03AA"/>
    <w:rsid w:val="00CE0789"/>
    <w:rsid w:val="00CE0E8D"/>
    <w:rsid w:val="00CE16ED"/>
    <w:rsid w:val="00CE1A03"/>
    <w:rsid w:val="00CE2346"/>
    <w:rsid w:val="00CE247C"/>
    <w:rsid w:val="00CE25B2"/>
    <w:rsid w:val="00CE2BBA"/>
    <w:rsid w:val="00CE301E"/>
    <w:rsid w:val="00CE3529"/>
    <w:rsid w:val="00CE35C8"/>
    <w:rsid w:val="00CE3962"/>
    <w:rsid w:val="00CE4D1A"/>
    <w:rsid w:val="00CE4E8A"/>
    <w:rsid w:val="00CE5105"/>
    <w:rsid w:val="00CE56BD"/>
    <w:rsid w:val="00CE5EC0"/>
    <w:rsid w:val="00CE66EF"/>
    <w:rsid w:val="00CE6F50"/>
    <w:rsid w:val="00CE6F9F"/>
    <w:rsid w:val="00CE781A"/>
    <w:rsid w:val="00CE7B08"/>
    <w:rsid w:val="00CE7D52"/>
    <w:rsid w:val="00CF08E2"/>
    <w:rsid w:val="00CF0B7D"/>
    <w:rsid w:val="00CF0DEA"/>
    <w:rsid w:val="00CF1D74"/>
    <w:rsid w:val="00CF2064"/>
    <w:rsid w:val="00CF209A"/>
    <w:rsid w:val="00CF2BE2"/>
    <w:rsid w:val="00CF2F38"/>
    <w:rsid w:val="00CF3DEB"/>
    <w:rsid w:val="00CF4EF6"/>
    <w:rsid w:val="00CF4F8E"/>
    <w:rsid w:val="00CF55F9"/>
    <w:rsid w:val="00CF7074"/>
    <w:rsid w:val="00CF7495"/>
    <w:rsid w:val="00D0123D"/>
    <w:rsid w:val="00D01244"/>
    <w:rsid w:val="00D01CF9"/>
    <w:rsid w:val="00D01E89"/>
    <w:rsid w:val="00D02F5C"/>
    <w:rsid w:val="00D030F0"/>
    <w:rsid w:val="00D0334D"/>
    <w:rsid w:val="00D0374D"/>
    <w:rsid w:val="00D0425A"/>
    <w:rsid w:val="00D049AA"/>
    <w:rsid w:val="00D0593E"/>
    <w:rsid w:val="00D06D7B"/>
    <w:rsid w:val="00D06DA5"/>
    <w:rsid w:val="00D07191"/>
    <w:rsid w:val="00D072DF"/>
    <w:rsid w:val="00D078DE"/>
    <w:rsid w:val="00D07F1D"/>
    <w:rsid w:val="00D10558"/>
    <w:rsid w:val="00D10F4D"/>
    <w:rsid w:val="00D11CD2"/>
    <w:rsid w:val="00D11D4D"/>
    <w:rsid w:val="00D126DC"/>
    <w:rsid w:val="00D12755"/>
    <w:rsid w:val="00D12B03"/>
    <w:rsid w:val="00D13B29"/>
    <w:rsid w:val="00D13C79"/>
    <w:rsid w:val="00D13E70"/>
    <w:rsid w:val="00D14388"/>
    <w:rsid w:val="00D16C58"/>
    <w:rsid w:val="00D16F34"/>
    <w:rsid w:val="00D17019"/>
    <w:rsid w:val="00D17230"/>
    <w:rsid w:val="00D177FF"/>
    <w:rsid w:val="00D17FC8"/>
    <w:rsid w:val="00D20420"/>
    <w:rsid w:val="00D20B44"/>
    <w:rsid w:val="00D20D4C"/>
    <w:rsid w:val="00D20E83"/>
    <w:rsid w:val="00D21168"/>
    <w:rsid w:val="00D21AF9"/>
    <w:rsid w:val="00D22014"/>
    <w:rsid w:val="00D2266E"/>
    <w:rsid w:val="00D226E8"/>
    <w:rsid w:val="00D22864"/>
    <w:rsid w:val="00D2438C"/>
    <w:rsid w:val="00D24B90"/>
    <w:rsid w:val="00D2519E"/>
    <w:rsid w:val="00D252BA"/>
    <w:rsid w:val="00D260EB"/>
    <w:rsid w:val="00D26C3F"/>
    <w:rsid w:val="00D27185"/>
    <w:rsid w:val="00D308EA"/>
    <w:rsid w:val="00D31FBE"/>
    <w:rsid w:val="00D32266"/>
    <w:rsid w:val="00D3374D"/>
    <w:rsid w:val="00D33AB3"/>
    <w:rsid w:val="00D33C0F"/>
    <w:rsid w:val="00D33F24"/>
    <w:rsid w:val="00D34038"/>
    <w:rsid w:val="00D34160"/>
    <w:rsid w:val="00D346B8"/>
    <w:rsid w:val="00D34DCA"/>
    <w:rsid w:val="00D34FAA"/>
    <w:rsid w:val="00D3556D"/>
    <w:rsid w:val="00D35AC8"/>
    <w:rsid w:val="00D3609F"/>
    <w:rsid w:val="00D36F87"/>
    <w:rsid w:val="00D37113"/>
    <w:rsid w:val="00D37319"/>
    <w:rsid w:val="00D37E4E"/>
    <w:rsid w:val="00D4012A"/>
    <w:rsid w:val="00D41413"/>
    <w:rsid w:val="00D4145A"/>
    <w:rsid w:val="00D417D8"/>
    <w:rsid w:val="00D41F78"/>
    <w:rsid w:val="00D420F8"/>
    <w:rsid w:val="00D4253A"/>
    <w:rsid w:val="00D42AB6"/>
    <w:rsid w:val="00D42E6C"/>
    <w:rsid w:val="00D433E4"/>
    <w:rsid w:val="00D4351C"/>
    <w:rsid w:val="00D43B80"/>
    <w:rsid w:val="00D4405F"/>
    <w:rsid w:val="00D44104"/>
    <w:rsid w:val="00D44988"/>
    <w:rsid w:val="00D454BE"/>
    <w:rsid w:val="00D45B4C"/>
    <w:rsid w:val="00D45BA4"/>
    <w:rsid w:val="00D471AF"/>
    <w:rsid w:val="00D4724F"/>
    <w:rsid w:val="00D47729"/>
    <w:rsid w:val="00D50519"/>
    <w:rsid w:val="00D51601"/>
    <w:rsid w:val="00D516A9"/>
    <w:rsid w:val="00D51ECB"/>
    <w:rsid w:val="00D5264C"/>
    <w:rsid w:val="00D52BBC"/>
    <w:rsid w:val="00D537FE"/>
    <w:rsid w:val="00D53BC8"/>
    <w:rsid w:val="00D53CC9"/>
    <w:rsid w:val="00D54A6A"/>
    <w:rsid w:val="00D54B8F"/>
    <w:rsid w:val="00D5507A"/>
    <w:rsid w:val="00D555D9"/>
    <w:rsid w:val="00D555E7"/>
    <w:rsid w:val="00D55951"/>
    <w:rsid w:val="00D5741C"/>
    <w:rsid w:val="00D57446"/>
    <w:rsid w:val="00D57EB6"/>
    <w:rsid w:val="00D6083D"/>
    <w:rsid w:val="00D608C0"/>
    <w:rsid w:val="00D60D6D"/>
    <w:rsid w:val="00D62CAA"/>
    <w:rsid w:val="00D62F06"/>
    <w:rsid w:val="00D64B62"/>
    <w:rsid w:val="00D651B0"/>
    <w:rsid w:val="00D65589"/>
    <w:rsid w:val="00D65E2A"/>
    <w:rsid w:val="00D6658B"/>
    <w:rsid w:val="00D66D8B"/>
    <w:rsid w:val="00D70005"/>
    <w:rsid w:val="00D70543"/>
    <w:rsid w:val="00D70849"/>
    <w:rsid w:val="00D719D9"/>
    <w:rsid w:val="00D72297"/>
    <w:rsid w:val="00D72A1C"/>
    <w:rsid w:val="00D72B4C"/>
    <w:rsid w:val="00D7308F"/>
    <w:rsid w:val="00D733CC"/>
    <w:rsid w:val="00D73580"/>
    <w:rsid w:val="00D73802"/>
    <w:rsid w:val="00D73C2C"/>
    <w:rsid w:val="00D73D52"/>
    <w:rsid w:val="00D74103"/>
    <w:rsid w:val="00D745E7"/>
    <w:rsid w:val="00D750B8"/>
    <w:rsid w:val="00D761A4"/>
    <w:rsid w:val="00D76391"/>
    <w:rsid w:val="00D76416"/>
    <w:rsid w:val="00D767E3"/>
    <w:rsid w:val="00D76B5E"/>
    <w:rsid w:val="00D774ED"/>
    <w:rsid w:val="00D777C3"/>
    <w:rsid w:val="00D77C44"/>
    <w:rsid w:val="00D77D2F"/>
    <w:rsid w:val="00D77F88"/>
    <w:rsid w:val="00D80156"/>
    <w:rsid w:val="00D803BF"/>
    <w:rsid w:val="00D819F3"/>
    <w:rsid w:val="00D81AFA"/>
    <w:rsid w:val="00D81E22"/>
    <w:rsid w:val="00D81EAA"/>
    <w:rsid w:val="00D81FE2"/>
    <w:rsid w:val="00D81FF1"/>
    <w:rsid w:val="00D8241F"/>
    <w:rsid w:val="00D8259F"/>
    <w:rsid w:val="00D825F2"/>
    <w:rsid w:val="00D8285C"/>
    <w:rsid w:val="00D828B1"/>
    <w:rsid w:val="00D82F93"/>
    <w:rsid w:val="00D84181"/>
    <w:rsid w:val="00D84754"/>
    <w:rsid w:val="00D84963"/>
    <w:rsid w:val="00D84F27"/>
    <w:rsid w:val="00D853F0"/>
    <w:rsid w:val="00D85857"/>
    <w:rsid w:val="00D86D47"/>
    <w:rsid w:val="00D8710C"/>
    <w:rsid w:val="00D873C6"/>
    <w:rsid w:val="00D9074A"/>
    <w:rsid w:val="00D9099E"/>
    <w:rsid w:val="00D90B3C"/>
    <w:rsid w:val="00D9193A"/>
    <w:rsid w:val="00D91DF1"/>
    <w:rsid w:val="00D923B2"/>
    <w:rsid w:val="00D92568"/>
    <w:rsid w:val="00D92BB3"/>
    <w:rsid w:val="00D92DB8"/>
    <w:rsid w:val="00D93A90"/>
    <w:rsid w:val="00D93E64"/>
    <w:rsid w:val="00D93F26"/>
    <w:rsid w:val="00D93F64"/>
    <w:rsid w:val="00D94CA4"/>
    <w:rsid w:val="00D94CDD"/>
    <w:rsid w:val="00D94E01"/>
    <w:rsid w:val="00D95E99"/>
    <w:rsid w:val="00D965D5"/>
    <w:rsid w:val="00D96D5F"/>
    <w:rsid w:val="00D97AE5"/>
    <w:rsid w:val="00D97DA2"/>
    <w:rsid w:val="00DA1350"/>
    <w:rsid w:val="00DA18AF"/>
    <w:rsid w:val="00DA1A3A"/>
    <w:rsid w:val="00DA2351"/>
    <w:rsid w:val="00DA249E"/>
    <w:rsid w:val="00DA2D3D"/>
    <w:rsid w:val="00DA37E1"/>
    <w:rsid w:val="00DA3FA4"/>
    <w:rsid w:val="00DA489C"/>
    <w:rsid w:val="00DA4C30"/>
    <w:rsid w:val="00DA7DCE"/>
    <w:rsid w:val="00DB05AB"/>
    <w:rsid w:val="00DB0C17"/>
    <w:rsid w:val="00DB1215"/>
    <w:rsid w:val="00DB145E"/>
    <w:rsid w:val="00DB1A94"/>
    <w:rsid w:val="00DB1D52"/>
    <w:rsid w:val="00DB1F62"/>
    <w:rsid w:val="00DB1FAB"/>
    <w:rsid w:val="00DB21E7"/>
    <w:rsid w:val="00DB2319"/>
    <w:rsid w:val="00DB2E03"/>
    <w:rsid w:val="00DB320B"/>
    <w:rsid w:val="00DB3742"/>
    <w:rsid w:val="00DB3E9B"/>
    <w:rsid w:val="00DB3F4B"/>
    <w:rsid w:val="00DB5375"/>
    <w:rsid w:val="00DB6628"/>
    <w:rsid w:val="00DB67C1"/>
    <w:rsid w:val="00DB6902"/>
    <w:rsid w:val="00DB6C0B"/>
    <w:rsid w:val="00DB705C"/>
    <w:rsid w:val="00DB70F4"/>
    <w:rsid w:val="00DB7579"/>
    <w:rsid w:val="00DB7AA8"/>
    <w:rsid w:val="00DC0F46"/>
    <w:rsid w:val="00DC1056"/>
    <w:rsid w:val="00DC1442"/>
    <w:rsid w:val="00DC1A38"/>
    <w:rsid w:val="00DC213D"/>
    <w:rsid w:val="00DC21D8"/>
    <w:rsid w:val="00DC2362"/>
    <w:rsid w:val="00DC282A"/>
    <w:rsid w:val="00DC34DC"/>
    <w:rsid w:val="00DC3623"/>
    <w:rsid w:val="00DC3780"/>
    <w:rsid w:val="00DC3ADA"/>
    <w:rsid w:val="00DC3CC6"/>
    <w:rsid w:val="00DC3DA5"/>
    <w:rsid w:val="00DC3F55"/>
    <w:rsid w:val="00DC4084"/>
    <w:rsid w:val="00DC4782"/>
    <w:rsid w:val="00DC4ACE"/>
    <w:rsid w:val="00DC514A"/>
    <w:rsid w:val="00DC562A"/>
    <w:rsid w:val="00DC67B1"/>
    <w:rsid w:val="00DC7755"/>
    <w:rsid w:val="00DC7FBC"/>
    <w:rsid w:val="00DD0019"/>
    <w:rsid w:val="00DD0137"/>
    <w:rsid w:val="00DD0A70"/>
    <w:rsid w:val="00DD0E59"/>
    <w:rsid w:val="00DD132B"/>
    <w:rsid w:val="00DD1725"/>
    <w:rsid w:val="00DD2159"/>
    <w:rsid w:val="00DD2A18"/>
    <w:rsid w:val="00DD3044"/>
    <w:rsid w:val="00DD34EC"/>
    <w:rsid w:val="00DD3652"/>
    <w:rsid w:val="00DD3985"/>
    <w:rsid w:val="00DD39F9"/>
    <w:rsid w:val="00DD3E4C"/>
    <w:rsid w:val="00DD4991"/>
    <w:rsid w:val="00DD61E8"/>
    <w:rsid w:val="00DD62C0"/>
    <w:rsid w:val="00DD64DE"/>
    <w:rsid w:val="00DD6B29"/>
    <w:rsid w:val="00DD73AB"/>
    <w:rsid w:val="00DD7859"/>
    <w:rsid w:val="00DD7B41"/>
    <w:rsid w:val="00DE040C"/>
    <w:rsid w:val="00DE04B3"/>
    <w:rsid w:val="00DE06D5"/>
    <w:rsid w:val="00DE074D"/>
    <w:rsid w:val="00DE0784"/>
    <w:rsid w:val="00DE0A1D"/>
    <w:rsid w:val="00DE0C49"/>
    <w:rsid w:val="00DE148C"/>
    <w:rsid w:val="00DE15B2"/>
    <w:rsid w:val="00DE17A1"/>
    <w:rsid w:val="00DE1A9A"/>
    <w:rsid w:val="00DE2973"/>
    <w:rsid w:val="00DE2A6B"/>
    <w:rsid w:val="00DE2A83"/>
    <w:rsid w:val="00DE2FBE"/>
    <w:rsid w:val="00DE3D2C"/>
    <w:rsid w:val="00DE41F0"/>
    <w:rsid w:val="00DE4563"/>
    <w:rsid w:val="00DE483A"/>
    <w:rsid w:val="00DE5CD6"/>
    <w:rsid w:val="00DE5E82"/>
    <w:rsid w:val="00DE5FA6"/>
    <w:rsid w:val="00DE6792"/>
    <w:rsid w:val="00DE6AA1"/>
    <w:rsid w:val="00DE73DA"/>
    <w:rsid w:val="00DE7EF7"/>
    <w:rsid w:val="00DF015B"/>
    <w:rsid w:val="00DF02EC"/>
    <w:rsid w:val="00DF0925"/>
    <w:rsid w:val="00DF0AB7"/>
    <w:rsid w:val="00DF1045"/>
    <w:rsid w:val="00DF10FC"/>
    <w:rsid w:val="00DF1185"/>
    <w:rsid w:val="00DF1299"/>
    <w:rsid w:val="00DF1A70"/>
    <w:rsid w:val="00DF1E5F"/>
    <w:rsid w:val="00DF23A8"/>
    <w:rsid w:val="00DF2F26"/>
    <w:rsid w:val="00DF2F27"/>
    <w:rsid w:val="00DF36B6"/>
    <w:rsid w:val="00DF4043"/>
    <w:rsid w:val="00DF4296"/>
    <w:rsid w:val="00DF4A70"/>
    <w:rsid w:val="00DF597C"/>
    <w:rsid w:val="00DF5F38"/>
    <w:rsid w:val="00DF5F9D"/>
    <w:rsid w:val="00DF6608"/>
    <w:rsid w:val="00DF66A8"/>
    <w:rsid w:val="00DF6CCC"/>
    <w:rsid w:val="00DF6D0C"/>
    <w:rsid w:val="00DF6F64"/>
    <w:rsid w:val="00DF721E"/>
    <w:rsid w:val="00DF7B2E"/>
    <w:rsid w:val="00DF7B8A"/>
    <w:rsid w:val="00DF7BA5"/>
    <w:rsid w:val="00DF7C87"/>
    <w:rsid w:val="00DF7E96"/>
    <w:rsid w:val="00E00695"/>
    <w:rsid w:val="00E0099A"/>
    <w:rsid w:val="00E009B0"/>
    <w:rsid w:val="00E00A12"/>
    <w:rsid w:val="00E00C49"/>
    <w:rsid w:val="00E011A2"/>
    <w:rsid w:val="00E01D83"/>
    <w:rsid w:val="00E0219D"/>
    <w:rsid w:val="00E030F6"/>
    <w:rsid w:val="00E0314D"/>
    <w:rsid w:val="00E047CB"/>
    <w:rsid w:val="00E04C0F"/>
    <w:rsid w:val="00E04F3F"/>
    <w:rsid w:val="00E04F6C"/>
    <w:rsid w:val="00E0570B"/>
    <w:rsid w:val="00E057EA"/>
    <w:rsid w:val="00E0602A"/>
    <w:rsid w:val="00E0610A"/>
    <w:rsid w:val="00E1003C"/>
    <w:rsid w:val="00E1077C"/>
    <w:rsid w:val="00E10913"/>
    <w:rsid w:val="00E10B87"/>
    <w:rsid w:val="00E11081"/>
    <w:rsid w:val="00E11C7F"/>
    <w:rsid w:val="00E121CE"/>
    <w:rsid w:val="00E126CF"/>
    <w:rsid w:val="00E127FD"/>
    <w:rsid w:val="00E12916"/>
    <w:rsid w:val="00E12DA4"/>
    <w:rsid w:val="00E12E0E"/>
    <w:rsid w:val="00E1437D"/>
    <w:rsid w:val="00E1478B"/>
    <w:rsid w:val="00E14FAC"/>
    <w:rsid w:val="00E15007"/>
    <w:rsid w:val="00E157FB"/>
    <w:rsid w:val="00E15D89"/>
    <w:rsid w:val="00E15EF8"/>
    <w:rsid w:val="00E16277"/>
    <w:rsid w:val="00E16EC7"/>
    <w:rsid w:val="00E17876"/>
    <w:rsid w:val="00E17DDF"/>
    <w:rsid w:val="00E21585"/>
    <w:rsid w:val="00E21730"/>
    <w:rsid w:val="00E219CE"/>
    <w:rsid w:val="00E21CDF"/>
    <w:rsid w:val="00E21F69"/>
    <w:rsid w:val="00E22A94"/>
    <w:rsid w:val="00E23626"/>
    <w:rsid w:val="00E23BAE"/>
    <w:rsid w:val="00E23D64"/>
    <w:rsid w:val="00E24071"/>
    <w:rsid w:val="00E24EBC"/>
    <w:rsid w:val="00E2522C"/>
    <w:rsid w:val="00E2552F"/>
    <w:rsid w:val="00E2599B"/>
    <w:rsid w:val="00E26001"/>
    <w:rsid w:val="00E26644"/>
    <w:rsid w:val="00E26F81"/>
    <w:rsid w:val="00E2710C"/>
    <w:rsid w:val="00E273E7"/>
    <w:rsid w:val="00E27428"/>
    <w:rsid w:val="00E27A35"/>
    <w:rsid w:val="00E305B4"/>
    <w:rsid w:val="00E3094B"/>
    <w:rsid w:val="00E319A5"/>
    <w:rsid w:val="00E31AFA"/>
    <w:rsid w:val="00E31C92"/>
    <w:rsid w:val="00E31CB7"/>
    <w:rsid w:val="00E32363"/>
    <w:rsid w:val="00E324EE"/>
    <w:rsid w:val="00E332CD"/>
    <w:rsid w:val="00E33B0E"/>
    <w:rsid w:val="00E3479A"/>
    <w:rsid w:val="00E34985"/>
    <w:rsid w:val="00E349D1"/>
    <w:rsid w:val="00E34DB1"/>
    <w:rsid w:val="00E34F26"/>
    <w:rsid w:val="00E358E7"/>
    <w:rsid w:val="00E359FF"/>
    <w:rsid w:val="00E35BA4"/>
    <w:rsid w:val="00E36F85"/>
    <w:rsid w:val="00E402C5"/>
    <w:rsid w:val="00E402F4"/>
    <w:rsid w:val="00E405F1"/>
    <w:rsid w:val="00E4086E"/>
    <w:rsid w:val="00E40DA0"/>
    <w:rsid w:val="00E413AC"/>
    <w:rsid w:val="00E427D9"/>
    <w:rsid w:val="00E427DA"/>
    <w:rsid w:val="00E42840"/>
    <w:rsid w:val="00E42A58"/>
    <w:rsid w:val="00E43054"/>
    <w:rsid w:val="00E4369A"/>
    <w:rsid w:val="00E4405D"/>
    <w:rsid w:val="00E44440"/>
    <w:rsid w:val="00E45620"/>
    <w:rsid w:val="00E45C29"/>
    <w:rsid w:val="00E46013"/>
    <w:rsid w:val="00E4641F"/>
    <w:rsid w:val="00E47099"/>
    <w:rsid w:val="00E47284"/>
    <w:rsid w:val="00E474AB"/>
    <w:rsid w:val="00E477C3"/>
    <w:rsid w:val="00E503E0"/>
    <w:rsid w:val="00E504C1"/>
    <w:rsid w:val="00E518E7"/>
    <w:rsid w:val="00E51E16"/>
    <w:rsid w:val="00E5254B"/>
    <w:rsid w:val="00E531F0"/>
    <w:rsid w:val="00E532BD"/>
    <w:rsid w:val="00E53730"/>
    <w:rsid w:val="00E5438D"/>
    <w:rsid w:val="00E5440A"/>
    <w:rsid w:val="00E54511"/>
    <w:rsid w:val="00E54950"/>
    <w:rsid w:val="00E54BA7"/>
    <w:rsid w:val="00E54E50"/>
    <w:rsid w:val="00E55288"/>
    <w:rsid w:val="00E55FA9"/>
    <w:rsid w:val="00E569F4"/>
    <w:rsid w:val="00E56FF6"/>
    <w:rsid w:val="00E573B0"/>
    <w:rsid w:val="00E57577"/>
    <w:rsid w:val="00E57D20"/>
    <w:rsid w:val="00E57EDE"/>
    <w:rsid w:val="00E613BC"/>
    <w:rsid w:val="00E61C1F"/>
    <w:rsid w:val="00E62043"/>
    <w:rsid w:val="00E626B9"/>
    <w:rsid w:val="00E627B2"/>
    <w:rsid w:val="00E627C9"/>
    <w:rsid w:val="00E62A83"/>
    <w:rsid w:val="00E62AB6"/>
    <w:rsid w:val="00E62DCB"/>
    <w:rsid w:val="00E630F3"/>
    <w:rsid w:val="00E6332F"/>
    <w:rsid w:val="00E637C9"/>
    <w:rsid w:val="00E6428E"/>
    <w:rsid w:val="00E6501B"/>
    <w:rsid w:val="00E650AB"/>
    <w:rsid w:val="00E66322"/>
    <w:rsid w:val="00E665EC"/>
    <w:rsid w:val="00E6680A"/>
    <w:rsid w:val="00E66BE1"/>
    <w:rsid w:val="00E66E2A"/>
    <w:rsid w:val="00E66F0D"/>
    <w:rsid w:val="00E70615"/>
    <w:rsid w:val="00E70BC8"/>
    <w:rsid w:val="00E7111D"/>
    <w:rsid w:val="00E7161E"/>
    <w:rsid w:val="00E71A47"/>
    <w:rsid w:val="00E7207B"/>
    <w:rsid w:val="00E72670"/>
    <w:rsid w:val="00E7347A"/>
    <w:rsid w:val="00E746ED"/>
    <w:rsid w:val="00E747C3"/>
    <w:rsid w:val="00E748A6"/>
    <w:rsid w:val="00E74A7B"/>
    <w:rsid w:val="00E74FDB"/>
    <w:rsid w:val="00E75A47"/>
    <w:rsid w:val="00E75BB6"/>
    <w:rsid w:val="00E75D8C"/>
    <w:rsid w:val="00E7704B"/>
    <w:rsid w:val="00E775F4"/>
    <w:rsid w:val="00E777F2"/>
    <w:rsid w:val="00E802C9"/>
    <w:rsid w:val="00E80F0A"/>
    <w:rsid w:val="00E815D4"/>
    <w:rsid w:val="00E81953"/>
    <w:rsid w:val="00E81A80"/>
    <w:rsid w:val="00E81BAB"/>
    <w:rsid w:val="00E82075"/>
    <w:rsid w:val="00E8258B"/>
    <w:rsid w:val="00E8291B"/>
    <w:rsid w:val="00E82DDE"/>
    <w:rsid w:val="00E82E70"/>
    <w:rsid w:val="00E82F92"/>
    <w:rsid w:val="00E8395F"/>
    <w:rsid w:val="00E8410F"/>
    <w:rsid w:val="00E8458D"/>
    <w:rsid w:val="00E8540F"/>
    <w:rsid w:val="00E8579B"/>
    <w:rsid w:val="00E859EE"/>
    <w:rsid w:val="00E85E41"/>
    <w:rsid w:val="00E85EA1"/>
    <w:rsid w:val="00E86703"/>
    <w:rsid w:val="00E87F92"/>
    <w:rsid w:val="00E90013"/>
    <w:rsid w:val="00E91044"/>
    <w:rsid w:val="00E910D3"/>
    <w:rsid w:val="00E92154"/>
    <w:rsid w:val="00E923CF"/>
    <w:rsid w:val="00E92A24"/>
    <w:rsid w:val="00E933B1"/>
    <w:rsid w:val="00E93685"/>
    <w:rsid w:val="00E93C8C"/>
    <w:rsid w:val="00E9407F"/>
    <w:rsid w:val="00E95111"/>
    <w:rsid w:val="00E95FDF"/>
    <w:rsid w:val="00E973A2"/>
    <w:rsid w:val="00E97658"/>
    <w:rsid w:val="00EA0158"/>
    <w:rsid w:val="00EA12B8"/>
    <w:rsid w:val="00EA14C8"/>
    <w:rsid w:val="00EA206F"/>
    <w:rsid w:val="00EA2110"/>
    <w:rsid w:val="00EA275A"/>
    <w:rsid w:val="00EA283A"/>
    <w:rsid w:val="00EA2C90"/>
    <w:rsid w:val="00EA2E07"/>
    <w:rsid w:val="00EA3677"/>
    <w:rsid w:val="00EA36EF"/>
    <w:rsid w:val="00EA3856"/>
    <w:rsid w:val="00EA4535"/>
    <w:rsid w:val="00EA48F3"/>
    <w:rsid w:val="00EA60BF"/>
    <w:rsid w:val="00EA614F"/>
    <w:rsid w:val="00EA65A6"/>
    <w:rsid w:val="00EA687F"/>
    <w:rsid w:val="00EA6D18"/>
    <w:rsid w:val="00EA7365"/>
    <w:rsid w:val="00EA763F"/>
    <w:rsid w:val="00EA77E9"/>
    <w:rsid w:val="00EA7A37"/>
    <w:rsid w:val="00EB05D0"/>
    <w:rsid w:val="00EB08E2"/>
    <w:rsid w:val="00EB1151"/>
    <w:rsid w:val="00EB119E"/>
    <w:rsid w:val="00EB1D49"/>
    <w:rsid w:val="00EB1D6E"/>
    <w:rsid w:val="00EB1E36"/>
    <w:rsid w:val="00EB2221"/>
    <w:rsid w:val="00EB23D9"/>
    <w:rsid w:val="00EB25F1"/>
    <w:rsid w:val="00EB278E"/>
    <w:rsid w:val="00EB3026"/>
    <w:rsid w:val="00EB33C9"/>
    <w:rsid w:val="00EB34E8"/>
    <w:rsid w:val="00EB3735"/>
    <w:rsid w:val="00EB37EF"/>
    <w:rsid w:val="00EB39A0"/>
    <w:rsid w:val="00EB3D8A"/>
    <w:rsid w:val="00EB3F14"/>
    <w:rsid w:val="00EB559F"/>
    <w:rsid w:val="00EB5F3D"/>
    <w:rsid w:val="00EB66DB"/>
    <w:rsid w:val="00EB6954"/>
    <w:rsid w:val="00EC0D02"/>
    <w:rsid w:val="00EC1CEB"/>
    <w:rsid w:val="00EC1DC0"/>
    <w:rsid w:val="00EC1E98"/>
    <w:rsid w:val="00EC21EC"/>
    <w:rsid w:val="00EC24B8"/>
    <w:rsid w:val="00EC268C"/>
    <w:rsid w:val="00EC3476"/>
    <w:rsid w:val="00EC36DF"/>
    <w:rsid w:val="00EC3753"/>
    <w:rsid w:val="00EC3CF4"/>
    <w:rsid w:val="00EC4C1C"/>
    <w:rsid w:val="00EC4E71"/>
    <w:rsid w:val="00EC5698"/>
    <w:rsid w:val="00EC5F1C"/>
    <w:rsid w:val="00EC7C2B"/>
    <w:rsid w:val="00EC7CCE"/>
    <w:rsid w:val="00ED0365"/>
    <w:rsid w:val="00ED039B"/>
    <w:rsid w:val="00ED0865"/>
    <w:rsid w:val="00ED16D6"/>
    <w:rsid w:val="00ED1988"/>
    <w:rsid w:val="00ED1A1F"/>
    <w:rsid w:val="00ED1C60"/>
    <w:rsid w:val="00ED24E7"/>
    <w:rsid w:val="00ED273F"/>
    <w:rsid w:val="00ED2CB7"/>
    <w:rsid w:val="00ED2EB9"/>
    <w:rsid w:val="00ED302D"/>
    <w:rsid w:val="00ED3A31"/>
    <w:rsid w:val="00ED4469"/>
    <w:rsid w:val="00ED4C8A"/>
    <w:rsid w:val="00ED579E"/>
    <w:rsid w:val="00ED5F23"/>
    <w:rsid w:val="00ED6015"/>
    <w:rsid w:val="00ED6659"/>
    <w:rsid w:val="00ED6DC0"/>
    <w:rsid w:val="00ED7A7A"/>
    <w:rsid w:val="00EE0327"/>
    <w:rsid w:val="00EE038C"/>
    <w:rsid w:val="00EE0541"/>
    <w:rsid w:val="00EE11C4"/>
    <w:rsid w:val="00EE1937"/>
    <w:rsid w:val="00EE28C5"/>
    <w:rsid w:val="00EE2D7C"/>
    <w:rsid w:val="00EE2F09"/>
    <w:rsid w:val="00EE33C5"/>
    <w:rsid w:val="00EE47C5"/>
    <w:rsid w:val="00EE490C"/>
    <w:rsid w:val="00EE4D68"/>
    <w:rsid w:val="00EE4E57"/>
    <w:rsid w:val="00EE4EE5"/>
    <w:rsid w:val="00EE5738"/>
    <w:rsid w:val="00EE58BD"/>
    <w:rsid w:val="00EE596C"/>
    <w:rsid w:val="00EE5E59"/>
    <w:rsid w:val="00EE5E89"/>
    <w:rsid w:val="00EE73D0"/>
    <w:rsid w:val="00EE7CB0"/>
    <w:rsid w:val="00EF002A"/>
    <w:rsid w:val="00EF08A8"/>
    <w:rsid w:val="00EF1044"/>
    <w:rsid w:val="00EF167B"/>
    <w:rsid w:val="00EF1ED5"/>
    <w:rsid w:val="00EF2917"/>
    <w:rsid w:val="00EF2B04"/>
    <w:rsid w:val="00EF2CCC"/>
    <w:rsid w:val="00EF3376"/>
    <w:rsid w:val="00EF3E73"/>
    <w:rsid w:val="00EF41A8"/>
    <w:rsid w:val="00EF44FB"/>
    <w:rsid w:val="00EF5122"/>
    <w:rsid w:val="00EF5554"/>
    <w:rsid w:val="00EF5AD8"/>
    <w:rsid w:val="00EF6745"/>
    <w:rsid w:val="00EF6B90"/>
    <w:rsid w:val="00EF739F"/>
    <w:rsid w:val="00EF74E5"/>
    <w:rsid w:val="00EF764E"/>
    <w:rsid w:val="00EF7807"/>
    <w:rsid w:val="00EF79F7"/>
    <w:rsid w:val="00F0058C"/>
    <w:rsid w:val="00F006C0"/>
    <w:rsid w:val="00F00E1A"/>
    <w:rsid w:val="00F0125F"/>
    <w:rsid w:val="00F019AA"/>
    <w:rsid w:val="00F0267E"/>
    <w:rsid w:val="00F02686"/>
    <w:rsid w:val="00F02BCC"/>
    <w:rsid w:val="00F030C0"/>
    <w:rsid w:val="00F03291"/>
    <w:rsid w:val="00F0459B"/>
    <w:rsid w:val="00F04E15"/>
    <w:rsid w:val="00F05DF3"/>
    <w:rsid w:val="00F069EA"/>
    <w:rsid w:val="00F070E5"/>
    <w:rsid w:val="00F07882"/>
    <w:rsid w:val="00F07A50"/>
    <w:rsid w:val="00F07DDE"/>
    <w:rsid w:val="00F07E01"/>
    <w:rsid w:val="00F07EEA"/>
    <w:rsid w:val="00F10963"/>
    <w:rsid w:val="00F11675"/>
    <w:rsid w:val="00F117F6"/>
    <w:rsid w:val="00F11DD8"/>
    <w:rsid w:val="00F11EFF"/>
    <w:rsid w:val="00F123DB"/>
    <w:rsid w:val="00F12557"/>
    <w:rsid w:val="00F12869"/>
    <w:rsid w:val="00F12DE6"/>
    <w:rsid w:val="00F13048"/>
    <w:rsid w:val="00F132F8"/>
    <w:rsid w:val="00F13599"/>
    <w:rsid w:val="00F13B28"/>
    <w:rsid w:val="00F13F80"/>
    <w:rsid w:val="00F14544"/>
    <w:rsid w:val="00F156A0"/>
    <w:rsid w:val="00F15730"/>
    <w:rsid w:val="00F1613F"/>
    <w:rsid w:val="00F169B5"/>
    <w:rsid w:val="00F202C2"/>
    <w:rsid w:val="00F21163"/>
    <w:rsid w:val="00F212F6"/>
    <w:rsid w:val="00F2179B"/>
    <w:rsid w:val="00F21FF9"/>
    <w:rsid w:val="00F221FA"/>
    <w:rsid w:val="00F226A3"/>
    <w:rsid w:val="00F22756"/>
    <w:rsid w:val="00F22D5A"/>
    <w:rsid w:val="00F23735"/>
    <w:rsid w:val="00F23890"/>
    <w:rsid w:val="00F23D36"/>
    <w:rsid w:val="00F244BD"/>
    <w:rsid w:val="00F2504D"/>
    <w:rsid w:val="00F25DE1"/>
    <w:rsid w:val="00F2619C"/>
    <w:rsid w:val="00F261D0"/>
    <w:rsid w:val="00F2637F"/>
    <w:rsid w:val="00F268F7"/>
    <w:rsid w:val="00F26DAB"/>
    <w:rsid w:val="00F279EC"/>
    <w:rsid w:val="00F3022D"/>
    <w:rsid w:val="00F306B0"/>
    <w:rsid w:val="00F30B83"/>
    <w:rsid w:val="00F30BDB"/>
    <w:rsid w:val="00F30CF8"/>
    <w:rsid w:val="00F31119"/>
    <w:rsid w:val="00F31A44"/>
    <w:rsid w:val="00F31EDF"/>
    <w:rsid w:val="00F32411"/>
    <w:rsid w:val="00F324A0"/>
    <w:rsid w:val="00F32CDE"/>
    <w:rsid w:val="00F32D4C"/>
    <w:rsid w:val="00F33079"/>
    <w:rsid w:val="00F3327E"/>
    <w:rsid w:val="00F338C3"/>
    <w:rsid w:val="00F33AD8"/>
    <w:rsid w:val="00F343D9"/>
    <w:rsid w:val="00F34679"/>
    <w:rsid w:val="00F347E3"/>
    <w:rsid w:val="00F34B14"/>
    <w:rsid w:val="00F34F58"/>
    <w:rsid w:val="00F35D45"/>
    <w:rsid w:val="00F35DA7"/>
    <w:rsid w:val="00F36671"/>
    <w:rsid w:val="00F36A6A"/>
    <w:rsid w:val="00F36AA2"/>
    <w:rsid w:val="00F3760F"/>
    <w:rsid w:val="00F37CCA"/>
    <w:rsid w:val="00F40101"/>
    <w:rsid w:val="00F404F7"/>
    <w:rsid w:val="00F40CCA"/>
    <w:rsid w:val="00F40E9D"/>
    <w:rsid w:val="00F415F7"/>
    <w:rsid w:val="00F416A9"/>
    <w:rsid w:val="00F41960"/>
    <w:rsid w:val="00F41B0B"/>
    <w:rsid w:val="00F41D7E"/>
    <w:rsid w:val="00F429BE"/>
    <w:rsid w:val="00F42D97"/>
    <w:rsid w:val="00F43053"/>
    <w:rsid w:val="00F436B2"/>
    <w:rsid w:val="00F43813"/>
    <w:rsid w:val="00F43FEE"/>
    <w:rsid w:val="00F44A65"/>
    <w:rsid w:val="00F451D3"/>
    <w:rsid w:val="00F45A72"/>
    <w:rsid w:val="00F45C01"/>
    <w:rsid w:val="00F45EC1"/>
    <w:rsid w:val="00F465CF"/>
    <w:rsid w:val="00F46723"/>
    <w:rsid w:val="00F4706D"/>
    <w:rsid w:val="00F47D1D"/>
    <w:rsid w:val="00F47F29"/>
    <w:rsid w:val="00F50016"/>
    <w:rsid w:val="00F508DB"/>
    <w:rsid w:val="00F50D2C"/>
    <w:rsid w:val="00F5118A"/>
    <w:rsid w:val="00F51572"/>
    <w:rsid w:val="00F51929"/>
    <w:rsid w:val="00F5195A"/>
    <w:rsid w:val="00F51A21"/>
    <w:rsid w:val="00F52614"/>
    <w:rsid w:val="00F5276E"/>
    <w:rsid w:val="00F52E9F"/>
    <w:rsid w:val="00F53304"/>
    <w:rsid w:val="00F53B81"/>
    <w:rsid w:val="00F53C32"/>
    <w:rsid w:val="00F540FE"/>
    <w:rsid w:val="00F54AF2"/>
    <w:rsid w:val="00F54D8B"/>
    <w:rsid w:val="00F54F21"/>
    <w:rsid w:val="00F5536D"/>
    <w:rsid w:val="00F556FF"/>
    <w:rsid w:val="00F55D12"/>
    <w:rsid w:val="00F56464"/>
    <w:rsid w:val="00F5687F"/>
    <w:rsid w:val="00F57190"/>
    <w:rsid w:val="00F57343"/>
    <w:rsid w:val="00F5745F"/>
    <w:rsid w:val="00F5749F"/>
    <w:rsid w:val="00F575C7"/>
    <w:rsid w:val="00F577EE"/>
    <w:rsid w:val="00F57FD0"/>
    <w:rsid w:val="00F60305"/>
    <w:rsid w:val="00F609FA"/>
    <w:rsid w:val="00F61420"/>
    <w:rsid w:val="00F61A2A"/>
    <w:rsid w:val="00F61B12"/>
    <w:rsid w:val="00F62FE9"/>
    <w:rsid w:val="00F63264"/>
    <w:rsid w:val="00F634E4"/>
    <w:rsid w:val="00F6379E"/>
    <w:rsid w:val="00F646DA"/>
    <w:rsid w:val="00F65171"/>
    <w:rsid w:val="00F6556A"/>
    <w:rsid w:val="00F65AC6"/>
    <w:rsid w:val="00F65E89"/>
    <w:rsid w:val="00F66B8B"/>
    <w:rsid w:val="00F66C0F"/>
    <w:rsid w:val="00F671E8"/>
    <w:rsid w:val="00F67844"/>
    <w:rsid w:val="00F70172"/>
    <w:rsid w:val="00F70799"/>
    <w:rsid w:val="00F70A8B"/>
    <w:rsid w:val="00F70B8D"/>
    <w:rsid w:val="00F70F50"/>
    <w:rsid w:val="00F71E6C"/>
    <w:rsid w:val="00F722B0"/>
    <w:rsid w:val="00F724FB"/>
    <w:rsid w:val="00F725CB"/>
    <w:rsid w:val="00F726B8"/>
    <w:rsid w:val="00F72A26"/>
    <w:rsid w:val="00F733C3"/>
    <w:rsid w:val="00F74077"/>
    <w:rsid w:val="00F746A1"/>
    <w:rsid w:val="00F756DD"/>
    <w:rsid w:val="00F75C97"/>
    <w:rsid w:val="00F76556"/>
    <w:rsid w:val="00F779B8"/>
    <w:rsid w:val="00F77F4E"/>
    <w:rsid w:val="00F80047"/>
    <w:rsid w:val="00F800C7"/>
    <w:rsid w:val="00F8104D"/>
    <w:rsid w:val="00F81587"/>
    <w:rsid w:val="00F81BDB"/>
    <w:rsid w:val="00F82267"/>
    <w:rsid w:val="00F8288F"/>
    <w:rsid w:val="00F83253"/>
    <w:rsid w:val="00F83915"/>
    <w:rsid w:val="00F83D89"/>
    <w:rsid w:val="00F84802"/>
    <w:rsid w:val="00F84B35"/>
    <w:rsid w:val="00F8519C"/>
    <w:rsid w:val="00F853F7"/>
    <w:rsid w:val="00F85B72"/>
    <w:rsid w:val="00F864D9"/>
    <w:rsid w:val="00F86E30"/>
    <w:rsid w:val="00F8766F"/>
    <w:rsid w:val="00F87A69"/>
    <w:rsid w:val="00F91082"/>
    <w:rsid w:val="00F9116D"/>
    <w:rsid w:val="00F91A9A"/>
    <w:rsid w:val="00F93ABB"/>
    <w:rsid w:val="00F93E53"/>
    <w:rsid w:val="00F94B20"/>
    <w:rsid w:val="00F94D79"/>
    <w:rsid w:val="00F94EDB"/>
    <w:rsid w:val="00F9529B"/>
    <w:rsid w:val="00F96261"/>
    <w:rsid w:val="00F963CC"/>
    <w:rsid w:val="00F964F2"/>
    <w:rsid w:val="00F96F28"/>
    <w:rsid w:val="00F96F2F"/>
    <w:rsid w:val="00F978B8"/>
    <w:rsid w:val="00F97A7F"/>
    <w:rsid w:val="00F97B72"/>
    <w:rsid w:val="00F97C17"/>
    <w:rsid w:val="00FA0889"/>
    <w:rsid w:val="00FA1514"/>
    <w:rsid w:val="00FA16E7"/>
    <w:rsid w:val="00FA1D10"/>
    <w:rsid w:val="00FA234C"/>
    <w:rsid w:val="00FA2656"/>
    <w:rsid w:val="00FA278B"/>
    <w:rsid w:val="00FA27AC"/>
    <w:rsid w:val="00FA2BDC"/>
    <w:rsid w:val="00FA31C7"/>
    <w:rsid w:val="00FA396F"/>
    <w:rsid w:val="00FA472D"/>
    <w:rsid w:val="00FA47BA"/>
    <w:rsid w:val="00FA4BB3"/>
    <w:rsid w:val="00FA4BD0"/>
    <w:rsid w:val="00FA6702"/>
    <w:rsid w:val="00FA7282"/>
    <w:rsid w:val="00FB0CBF"/>
    <w:rsid w:val="00FB0CEE"/>
    <w:rsid w:val="00FB18F6"/>
    <w:rsid w:val="00FB19A7"/>
    <w:rsid w:val="00FB1B5F"/>
    <w:rsid w:val="00FB1D0C"/>
    <w:rsid w:val="00FB224F"/>
    <w:rsid w:val="00FB2A52"/>
    <w:rsid w:val="00FB2CD6"/>
    <w:rsid w:val="00FB3075"/>
    <w:rsid w:val="00FB40AB"/>
    <w:rsid w:val="00FB52C7"/>
    <w:rsid w:val="00FB57DC"/>
    <w:rsid w:val="00FB583D"/>
    <w:rsid w:val="00FB6B45"/>
    <w:rsid w:val="00FB6E19"/>
    <w:rsid w:val="00FB71F6"/>
    <w:rsid w:val="00FC03F7"/>
    <w:rsid w:val="00FC09E2"/>
    <w:rsid w:val="00FC0AF8"/>
    <w:rsid w:val="00FC1483"/>
    <w:rsid w:val="00FC1736"/>
    <w:rsid w:val="00FC1B5A"/>
    <w:rsid w:val="00FC1C47"/>
    <w:rsid w:val="00FC2B3C"/>
    <w:rsid w:val="00FC308C"/>
    <w:rsid w:val="00FC3102"/>
    <w:rsid w:val="00FC39ED"/>
    <w:rsid w:val="00FC4419"/>
    <w:rsid w:val="00FC47E2"/>
    <w:rsid w:val="00FC4AA5"/>
    <w:rsid w:val="00FC4B88"/>
    <w:rsid w:val="00FC4BB8"/>
    <w:rsid w:val="00FC4D05"/>
    <w:rsid w:val="00FC5148"/>
    <w:rsid w:val="00FC612C"/>
    <w:rsid w:val="00FC6982"/>
    <w:rsid w:val="00FC710E"/>
    <w:rsid w:val="00FC75AC"/>
    <w:rsid w:val="00FC7AFB"/>
    <w:rsid w:val="00FC7D5A"/>
    <w:rsid w:val="00FC7F7F"/>
    <w:rsid w:val="00FD01BF"/>
    <w:rsid w:val="00FD0525"/>
    <w:rsid w:val="00FD0AB7"/>
    <w:rsid w:val="00FD1842"/>
    <w:rsid w:val="00FD297D"/>
    <w:rsid w:val="00FD2D13"/>
    <w:rsid w:val="00FD4233"/>
    <w:rsid w:val="00FD4A31"/>
    <w:rsid w:val="00FD5964"/>
    <w:rsid w:val="00FD6071"/>
    <w:rsid w:val="00FD633B"/>
    <w:rsid w:val="00FD6A47"/>
    <w:rsid w:val="00FD705C"/>
    <w:rsid w:val="00FD70C6"/>
    <w:rsid w:val="00FE06AF"/>
    <w:rsid w:val="00FE0794"/>
    <w:rsid w:val="00FE0A85"/>
    <w:rsid w:val="00FE1041"/>
    <w:rsid w:val="00FE1488"/>
    <w:rsid w:val="00FE1DDF"/>
    <w:rsid w:val="00FE24CB"/>
    <w:rsid w:val="00FE323F"/>
    <w:rsid w:val="00FE3473"/>
    <w:rsid w:val="00FE35F4"/>
    <w:rsid w:val="00FE374B"/>
    <w:rsid w:val="00FE3AE0"/>
    <w:rsid w:val="00FE4049"/>
    <w:rsid w:val="00FE4794"/>
    <w:rsid w:val="00FE480F"/>
    <w:rsid w:val="00FE4998"/>
    <w:rsid w:val="00FE533B"/>
    <w:rsid w:val="00FE57DE"/>
    <w:rsid w:val="00FE59EE"/>
    <w:rsid w:val="00FE680E"/>
    <w:rsid w:val="00FE708F"/>
    <w:rsid w:val="00FE7A68"/>
    <w:rsid w:val="00FF0231"/>
    <w:rsid w:val="00FF0B4A"/>
    <w:rsid w:val="00FF11C9"/>
    <w:rsid w:val="00FF13BB"/>
    <w:rsid w:val="00FF1462"/>
    <w:rsid w:val="00FF14C1"/>
    <w:rsid w:val="00FF1C9B"/>
    <w:rsid w:val="00FF1D49"/>
    <w:rsid w:val="00FF203B"/>
    <w:rsid w:val="00FF2425"/>
    <w:rsid w:val="00FF2562"/>
    <w:rsid w:val="00FF3A41"/>
    <w:rsid w:val="00FF3E5B"/>
    <w:rsid w:val="00FF40D3"/>
    <w:rsid w:val="00FF5377"/>
    <w:rsid w:val="00FF54F2"/>
    <w:rsid w:val="00FF57E4"/>
    <w:rsid w:val="00FF6030"/>
    <w:rsid w:val="00FF73E0"/>
    <w:rsid w:val="00FF78E5"/>
    <w:rsid w:val="01AF3D99"/>
    <w:rsid w:val="023E1D2B"/>
    <w:rsid w:val="02511F9D"/>
    <w:rsid w:val="02F753F7"/>
    <w:rsid w:val="03A314B8"/>
    <w:rsid w:val="03D82B98"/>
    <w:rsid w:val="03F83E8B"/>
    <w:rsid w:val="040858C8"/>
    <w:rsid w:val="040870E4"/>
    <w:rsid w:val="04D744E3"/>
    <w:rsid w:val="05BC25F9"/>
    <w:rsid w:val="05C56868"/>
    <w:rsid w:val="0681252D"/>
    <w:rsid w:val="068311DE"/>
    <w:rsid w:val="06B61FB7"/>
    <w:rsid w:val="07B72767"/>
    <w:rsid w:val="07BE5F7A"/>
    <w:rsid w:val="08077E72"/>
    <w:rsid w:val="08882DD0"/>
    <w:rsid w:val="09097651"/>
    <w:rsid w:val="092B016A"/>
    <w:rsid w:val="095D1A37"/>
    <w:rsid w:val="096D23DA"/>
    <w:rsid w:val="09CC2AAC"/>
    <w:rsid w:val="09D35A3A"/>
    <w:rsid w:val="0A652D3E"/>
    <w:rsid w:val="0AF94A01"/>
    <w:rsid w:val="0B165F40"/>
    <w:rsid w:val="0B326F2A"/>
    <w:rsid w:val="0C1947F9"/>
    <w:rsid w:val="0C1E2888"/>
    <w:rsid w:val="0C6576FF"/>
    <w:rsid w:val="0C92213C"/>
    <w:rsid w:val="0D84032B"/>
    <w:rsid w:val="0E034839"/>
    <w:rsid w:val="0EEC792B"/>
    <w:rsid w:val="0F2A74C4"/>
    <w:rsid w:val="105B0FFA"/>
    <w:rsid w:val="10A27F31"/>
    <w:rsid w:val="10B92FBD"/>
    <w:rsid w:val="11330D2C"/>
    <w:rsid w:val="11927058"/>
    <w:rsid w:val="12CF4972"/>
    <w:rsid w:val="12EA1CF2"/>
    <w:rsid w:val="13114649"/>
    <w:rsid w:val="13197FC8"/>
    <w:rsid w:val="13AF4F03"/>
    <w:rsid w:val="146E2BB0"/>
    <w:rsid w:val="14736E66"/>
    <w:rsid w:val="147F458F"/>
    <w:rsid w:val="14CA237D"/>
    <w:rsid w:val="1534169A"/>
    <w:rsid w:val="15C03E03"/>
    <w:rsid w:val="162A25EB"/>
    <w:rsid w:val="16FD2A55"/>
    <w:rsid w:val="17067C1A"/>
    <w:rsid w:val="17366761"/>
    <w:rsid w:val="174006DF"/>
    <w:rsid w:val="176C4613"/>
    <w:rsid w:val="177C01F0"/>
    <w:rsid w:val="17CE6630"/>
    <w:rsid w:val="17FC5B2A"/>
    <w:rsid w:val="18AA4654"/>
    <w:rsid w:val="18D215BE"/>
    <w:rsid w:val="1A225645"/>
    <w:rsid w:val="1A2D400E"/>
    <w:rsid w:val="1AFF0AFE"/>
    <w:rsid w:val="1B4F19F8"/>
    <w:rsid w:val="1BAC59B2"/>
    <w:rsid w:val="1BC51582"/>
    <w:rsid w:val="1BDE0896"/>
    <w:rsid w:val="1C7E2CF4"/>
    <w:rsid w:val="1D612983"/>
    <w:rsid w:val="1D985D4D"/>
    <w:rsid w:val="1DB50BDF"/>
    <w:rsid w:val="1E087E4C"/>
    <w:rsid w:val="1E2634B2"/>
    <w:rsid w:val="1ECC44FA"/>
    <w:rsid w:val="1F063325"/>
    <w:rsid w:val="1F6072F8"/>
    <w:rsid w:val="1F7645D2"/>
    <w:rsid w:val="1FAD6012"/>
    <w:rsid w:val="1FBC5DF5"/>
    <w:rsid w:val="1FC74EBF"/>
    <w:rsid w:val="205B0ECD"/>
    <w:rsid w:val="20AB7BA1"/>
    <w:rsid w:val="20C3623F"/>
    <w:rsid w:val="21781212"/>
    <w:rsid w:val="21B83F86"/>
    <w:rsid w:val="21F71068"/>
    <w:rsid w:val="221178A8"/>
    <w:rsid w:val="221213CF"/>
    <w:rsid w:val="221943D6"/>
    <w:rsid w:val="22327A92"/>
    <w:rsid w:val="231D53A2"/>
    <w:rsid w:val="236D5383"/>
    <w:rsid w:val="23B7504C"/>
    <w:rsid w:val="24571307"/>
    <w:rsid w:val="25110A2A"/>
    <w:rsid w:val="256C0944"/>
    <w:rsid w:val="25B316D6"/>
    <w:rsid w:val="26446DE3"/>
    <w:rsid w:val="269669E7"/>
    <w:rsid w:val="26D7699F"/>
    <w:rsid w:val="26F47815"/>
    <w:rsid w:val="28083C7A"/>
    <w:rsid w:val="28096C9A"/>
    <w:rsid w:val="280D1651"/>
    <w:rsid w:val="286B254E"/>
    <w:rsid w:val="297B0474"/>
    <w:rsid w:val="298C35B2"/>
    <w:rsid w:val="29FC12D3"/>
    <w:rsid w:val="2A5E0F45"/>
    <w:rsid w:val="2A735802"/>
    <w:rsid w:val="2B220D3B"/>
    <w:rsid w:val="2B774624"/>
    <w:rsid w:val="2C7A72BE"/>
    <w:rsid w:val="2C9A7D75"/>
    <w:rsid w:val="2CCA5D75"/>
    <w:rsid w:val="2DED3A7C"/>
    <w:rsid w:val="2E9976CE"/>
    <w:rsid w:val="2F401D3C"/>
    <w:rsid w:val="2F5B24E1"/>
    <w:rsid w:val="2FA95C88"/>
    <w:rsid w:val="3041370F"/>
    <w:rsid w:val="30E94B41"/>
    <w:rsid w:val="311C7A3E"/>
    <w:rsid w:val="312B50A3"/>
    <w:rsid w:val="32453A27"/>
    <w:rsid w:val="3263064A"/>
    <w:rsid w:val="32A43132"/>
    <w:rsid w:val="32AC0C06"/>
    <w:rsid w:val="332948C4"/>
    <w:rsid w:val="33D53400"/>
    <w:rsid w:val="3406423A"/>
    <w:rsid w:val="34724750"/>
    <w:rsid w:val="3537750C"/>
    <w:rsid w:val="3537798C"/>
    <w:rsid w:val="35C13FC9"/>
    <w:rsid w:val="35E508C9"/>
    <w:rsid w:val="364257B6"/>
    <w:rsid w:val="36B27F93"/>
    <w:rsid w:val="36BF793A"/>
    <w:rsid w:val="36D4006E"/>
    <w:rsid w:val="36DD37CC"/>
    <w:rsid w:val="37EA5922"/>
    <w:rsid w:val="38276B93"/>
    <w:rsid w:val="38AC3431"/>
    <w:rsid w:val="38FD63A7"/>
    <w:rsid w:val="39404E32"/>
    <w:rsid w:val="39E00529"/>
    <w:rsid w:val="3A0B64A7"/>
    <w:rsid w:val="3A3A25C4"/>
    <w:rsid w:val="3A574DDA"/>
    <w:rsid w:val="3AD3075A"/>
    <w:rsid w:val="3AF74C02"/>
    <w:rsid w:val="3AFC1769"/>
    <w:rsid w:val="3BD10B1A"/>
    <w:rsid w:val="3C0059A5"/>
    <w:rsid w:val="3C134E78"/>
    <w:rsid w:val="3C78423A"/>
    <w:rsid w:val="3D7A5CD9"/>
    <w:rsid w:val="3DF6345D"/>
    <w:rsid w:val="3E4D4F28"/>
    <w:rsid w:val="3EE13701"/>
    <w:rsid w:val="3F1A4BB3"/>
    <w:rsid w:val="3FEC0F19"/>
    <w:rsid w:val="40044BBB"/>
    <w:rsid w:val="40192BA6"/>
    <w:rsid w:val="40246B2D"/>
    <w:rsid w:val="40F60AC0"/>
    <w:rsid w:val="412819F9"/>
    <w:rsid w:val="42360E2E"/>
    <w:rsid w:val="42550A18"/>
    <w:rsid w:val="427A45C5"/>
    <w:rsid w:val="429D496A"/>
    <w:rsid w:val="42B75615"/>
    <w:rsid w:val="42F473A1"/>
    <w:rsid w:val="441E62C0"/>
    <w:rsid w:val="45325D14"/>
    <w:rsid w:val="45811C7C"/>
    <w:rsid w:val="468B3EFB"/>
    <w:rsid w:val="46A91E4B"/>
    <w:rsid w:val="46B279E5"/>
    <w:rsid w:val="46D70238"/>
    <w:rsid w:val="470A6193"/>
    <w:rsid w:val="47385210"/>
    <w:rsid w:val="47DC4F5C"/>
    <w:rsid w:val="47EA62ED"/>
    <w:rsid w:val="48B40671"/>
    <w:rsid w:val="49137415"/>
    <w:rsid w:val="499B5738"/>
    <w:rsid w:val="499F244D"/>
    <w:rsid w:val="49E42D58"/>
    <w:rsid w:val="4A666278"/>
    <w:rsid w:val="4A973F3F"/>
    <w:rsid w:val="4AF96BC7"/>
    <w:rsid w:val="4B862A85"/>
    <w:rsid w:val="4CCB122C"/>
    <w:rsid w:val="4CE749CB"/>
    <w:rsid w:val="4CEF36E2"/>
    <w:rsid w:val="4CEF4DC5"/>
    <w:rsid w:val="4D5F3EF2"/>
    <w:rsid w:val="4DDA40F3"/>
    <w:rsid w:val="4E257655"/>
    <w:rsid w:val="4EE77E4F"/>
    <w:rsid w:val="4F1C7334"/>
    <w:rsid w:val="4F372380"/>
    <w:rsid w:val="4F372FFB"/>
    <w:rsid w:val="4F3D0E54"/>
    <w:rsid w:val="4FC87F6D"/>
    <w:rsid w:val="4FF17FC8"/>
    <w:rsid w:val="51385D77"/>
    <w:rsid w:val="51577584"/>
    <w:rsid w:val="515D633A"/>
    <w:rsid w:val="51ED403B"/>
    <w:rsid w:val="52395ECD"/>
    <w:rsid w:val="52C10D75"/>
    <w:rsid w:val="53C27FF8"/>
    <w:rsid w:val="54254A68"/>
    <w:rsid w:val="549E1A80"/>
    <w:rsid w:val="54C658F4"/>
    <w:rsid w:val="550C4BD7"/>
    <w:rsid w:val="554C1D56"/>
    <w:rsid w:val="55572986"/>
    <w:rsid w:val="556D7F0A"/>
    <w:rsid w:val="565340FA"/>
    <w:rsid w:val="58156B2C"/>
    <w:rsid w:val="584829F5"/>
    <w:rsid w:val="5A2F2CC8"/>
    <w:rsid w:val="5B2A1C39"/>
    <w:rsid w:val="5B3C19CA"/>
    <w:rsid w:val="5C0923EF"/>
    <w:rsid w:val="5C10702D"/>
    <w:rsid w:val="5C8A1B2F"/>
    <w:rsid w:val="5CAD6052"/>
    <w:rsid w:val="5EBE043C"/>
    <w:rsid w:val="5F215B57"/>
    <w:rsid w:val="603E6718"/>
    <w:rsid w:val="606007BB"/>
    <w:rsid w:val="60AC7F66"/>
    <w:rsid w:val="60FC0B32"/>
    <w:rsid w:val="61671D60"/>
    <w:rsid w:val="61BF10D9"/>
    <w:rsid w:val="62AC22DC"/>
    <w:rsid w:val="62B66347"/>
    <w:rsid w:val="62BE0207"/>
    <w:rsid w:val="631A5DD2"/>
    <w:rsid w:val="632F69CC"/>
    <w:rsid w:val="63BD58EA"/>
    <w:rsid w:val="63CB4828"/>
    <w:rsid w:val="64B41C43"/>
    <w:rsid w:val="64C077D1"/>
    <w:rsid w:val="64DA6587"/>
    <w:rsid w:val="64E45EF7"/>
    <w:rsid w:val="64E51C3C"/>
    <w:rsid w:val="652B2098"/>
    <w:rsid w:val="65D8322D"/>
    <w:rsid w:val="65E71623"/>
    <w:rsid w:val="65F73C69"/>
    <w:rsid w:val="6691014E"/>
    <w:rsid w:val="677435B2"/>
    <w:rsid w:val="679D03F3"/>
    <w:rsid w:val="67EF75F1"/>
    <w:rsid w:val="67F1730A"/>
    <w:rsid w:val="69124F16"/>
    <w:rsid w:val="69CD5C14"/>
    <w:rsid w:val="69CF0D33"/>
    <w:rsid w:val="6A3D41E9"/>
    <w:rsid w:val="6A411BEA"/>
    <w:rsid w:val="6A950824"/>
    <w:rsid w:val="6B27717E"/>
    <w:rsid w:val="6B9946B3"/>
    <w:rsid w:val="6BD875F4"/>
    <w:rsid w:val="6C7007C7"/>
    <w:rsid w:val="6CC565EF"/>
    <w:rsid w:val="6DBE4DBA"/>
    <w:rsid w:val="6DE76850"/>
    <w:rsid w:val="6F23010B"/>
    <w:rsid w:val="6F612734"/>
    <w:rsid w:val="6FB20BD4"/>
    <w:rsid w:val="6FBA59BE"/>
    <w:rsid w:val="70296B3E"/>
    <w:rsid w:val="70611204"/>
    <w:rsid w:val="70C019FC"/>
    <w:rsid w:val="70D8520B"/>
    <w:rsid w:val="71233D00"/>
    <w:rsid w:val="71BA489B"/>
    <w:rsid w:val="72735356"/>
    <w:rsid w:val="72FD382E"/>
    <w:rsid w:val="73B029AD"/>
    <w:rsid w:val="74604537"/>
    <w:rsid w:val="74FA2C30"/>
    <w:rsid w:val="754D5C4B"/>
    <w:rsid w:val="76C240A7"/>
    <w:rsid w:val="775246B7"/>
    <w:rsid w:val="781E69D1"/>
    <w:rsid w:val="79535F4F"/>
    <w:rsid w:val="7A263B6B"/>
    <w:rsid w:val="7AF46346"/>
    <w:rsid w:val="7B0419E0"/>
    <w:rsid w:val="7B0F5EBF"/>
    <w:rsid w:val="7B130FB9"/>
    <w:rsid w:val="7B2E25DB"/>
    <w:rsid w:val="7B76754A"/>
    <w:rsid w:val="7BCF4062"/>
    <w:rsid w:val="7BD5275A"/>
    <w:rsid w:val="7BF64EDE"/>
    <w:rsid w:val="7C400C1E"/>
    <w:rsid w:val="7D514044"/>
    <w:rsid w:val="7DBF4132"/>
    <w:rsid w:val="7DD11708"/>
    <w:rsid w:val="7DED5ABE"/>
    <w:rsid w:val="7EC167BD"/>
    <w:rsid w:val="7F272D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name="heading 6"/>
    <w:lsdException w:qFormat="1" w:unhideWhenUsed="0" w:uiPriority="0" w:semiHidden="0" w:name="heading 7"/>
    <w:lsdException w:qFormat="1" w:unhideWhenUsed="0"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99" w:semiHidden="0"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qFormat="1" w:uiPriority="99" w:semiHidden="0"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qFormat="1" w:uiPriority="99" w:semiHidden="0" w:name="List 2"/>
    <w:lsdException w:uiPriority="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5"/>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36"/>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37"/>
    <w:qFormat/>
    <w:uiPriority w:val="9"/>
    <w:pPr>
      <w:keepNext/>
      <w:keepLines/>
      <w:spacing w:before="260" w:after="260" w:line="416" w:lineRule="auto"/>
      <w:outlineLvl w:val="2"/>
    </w:pPr>
    <w:rPr>
      <w:b/>
      <w:bCs/>
      <w:sz w:val="32"/>
      <w:szCs w:val="32"/>
    </w:rPr>
  </w:style>
  <w:style w:type="paragraph" w:styleId="6">
    <w:name w:val="heading 4"/>
    <w:basedOn w:val="1"/>
    <w:next w:val="1"/>
    <w:link w:val="38"/>
    <w:qFormat/>
    <w:uiPriority w:val="9"/>
    <w:pPr>
      <w:keepNext/>
      <w:keepLines/>
      <w:spacing w:before="280" w:after="290" w:line="374" w:lineRule="auto"/>
      <w:outlineLvl w:val="3"/>
    </w:pPr>
    <w:rPr>
      <w:rFonts w:ascii="Cambria" w:hAnsi="Cambria" w:cs="宋体"/>
      <w:b/>
      <w:bCs/>
      <w:sz w:val="28"/>
      <w:szCs w:val="28"/>
    </w:rPr>
  </w:style>
  <w:style w:type="paragraph" w:styleId="7">
    <w:name w:val="heading 5"/>
    <w:basedOn w:val="1"/>
    <w:next w:val="8"/>
    <w:link w:val="39"/>
    <w:qFormat/>
    <w:uiPriority w:val="9"/>
    <w:pPr>
      <w:keepNext/>
      <w:keepLines/>
      <w:spacing w:before="280" w:after="290" w:line="376" w:lineRule="auto"/>
      <w:outlineLvl w:val="4"/>
    </w:pPr>
    <w:rPr>
      <w:b/>
      <w:bCs/>
      <w:sz w:val="28"/>
      <w:szCs w:val="28"/>
    </w:rPr>
  </w:style>
  <w:style w:type="paragraph" w:styleId="9">
    <w:name w:val="heading 7"/>
    <w:basedOn w:val="1"/>
    <w:next w:val="1"/>
    <w:link w:val="40"/>
    <w:qFormat/>
    <w:uiPriority w:val="0"/>
    <w:pPr>
      <w:keepNext/>
      <w:keepLines/>
      <w:spacing w:before="240" w:after="64" w:line="320" w:lineRule="auto"/>
      <w:outlineLvl w:val="6"/>
    </w:pPr>
    <w:rPr>
      <w:b/>
      <w:bCs/>
      <w:sz w:val="24"/>
    </w:rPr>
  </w:style>
  <w:style w:type="paragraph" w:styleId="10">
    <w:name w:val="heading 8"/>
    <w:basedOn w:val="1"/>
    <w:next w:val="1"/>
    <w:link w:val="41"/>
    <w:qFormat/>
    <w:uiPriority w:val="9"/>
    <w:pPr>
      <w:keepNext/>
      <w:keepLines/>
      <w:spacing w:before="240" w:after="64" w:line="320" w:lineRule="auto"/>
      <w:outlineLvl w:val="7"/>
    </w:pPr>
    <w:rPr>
      <w:rFonts w:ascii="等线 Light" w:hAnsi="等线 Light" w:eastAsia="等线 Light"/>
      <w:sz w:val="24"/>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44"/>
    <w:unhideWhenUsed/>
    <w:qFormat/>
    <w:uiPriority w:val="0"/>
    <w:pPr>
      <w:spacing w:after="120"/>
    </w:pPr>
  </w:style>
  <w:style w:type="paragraph" w:styleId="8">
    <w:name w:val="Normal Indent"/>
    <w:basedOn w:val="1"/>
    <w:qFormat/>
    <w:uiPriority w:val="0"/>
    <w:pPr>
      <w:ind w:firstLine="420"/>
    </w:pPr>
    <w:rPr>
      <w:szCs w:val="20"/>
    </w:rPr>
  </w:style>
  <w:style w:type="paragraph" w:styleId="11">
    <w:name w:val="index 8"/>
    <w:basedOn w:val="1"/>
    <w:next w:val="1"/>
    <w:qFormat/>
    <w:uiPriority w:val="99"/>
    <w:pPr>
      <w:ind w:left="1400" w:leftChars="1400"/>
    </w:pPr>
  </w:style>
  <w:style w:type="paragraph" w:styleId="12">
    <w:name w:val="List Number"/>
    <w:basedOn w:val="1"/>
    <w:qFormat/>
    <w:uiPriority w:val="0"/>
    <w:pPr>
      <w:widowControl/>
      <w:tabs>
        <w:tab w:val="left" w:pos="454"/>
        <w:tab w:val="left" w:pos="720"/>
        <w:tab w:val="left" w:pos="840"/>
      </w:tabs>
      <w:spacing w:after="50" w:afterLines="50"/>
      <w:ind w:left="454" w:hanging="284"/>
      <w:jc w:val="left"/>
    </w:pPr>
    <w:rPr>
      <w:kern w:val="0"/>
      <w:sz w:val="24"/>
      <w:szCs w:val="20"/>
    </w:rPr>
  </w:style>
  <w:style w:type="paragraph" w:styleId="13">
    <w:name w:val="annotation text"/>
    <w:basedOn w:val="1"/>
    <w:link w:val="42"/>
    <w:qFormat/>
    <w:uiPriority w:val="0"/>
    <w:pPr>
      <w:jc w:val="left"/>
    </w:pPr>
  </w:style>
  <w:style w:type="paragraph" w:styleId="14">
    <w:name w:val="Body Text 3"/>
    <w:basedOn w:val="1"/>
    <w:link w:val="43"/>
    <w:unhideWhenUsed/>
    <w:qFormat/>
    <w:uiPriority w:val="99"/>
    <w:pPr>
      <w:spacing w:after="120"/>
    </w:pPr>
    <w:rPr>
      <w:sz w:val="16"/>
      <w:szCs w:val="16"/>
    </w:rPr>
  </w:style>
  <w:style w:type="paragraph" w:styleId="15">
    <w:name w:val="Body Text Indent"/>
    <w:basedOn w:val="1"/>
    <w:link w:val="45"/>
    <w:qFormat/>
    <w:uiPriority w:val="0"/>
    <w:pPr>
      <w:ind w:firstLine="830" w:firstLineChars="352"/>
    </w:pPr>
    <w:rPr>
      <w:rFonts w:ascii="仿宋_GB2312" w:eastAsia="仿宋_GB2312"/>
      <w:kern w:val="0"/>
      <w:sz w:val="32"/>
      <w:szCs w:val="20"/>
    </w:rPr>
  </w:style>
  <w:style w:type="paragraph" w:styleId="16">
    <w:name w:val="List 2"/>
    <w:basedOn w:val="1"/>
    <w:unhideWhenUsed/>
    <w:qFormat/>
    <w:uiPriority w:val="99"/>
    <w:pPr>
      <w:ind w:left="100" w:leftChars="200" w:hanging="200" w:hangingChars="200"/>
      <w:contextualSpacing/>
    </w:pPr>
  </w:style>
  <w:style w:type="paragraph" w:styleId="17">
    <w:name w:val="Plain Text"/>
    <w:basedOn w:val="1"/>
    <w:link w:val="46"/>
    <w:qFormat/>
    <w:uiPriority w:val="0"/>
    <w:rPr>
      <w:rFonts w:ascii="宋体" w:hAnsi="Courier New"/>
      <w:kern w:val="0"/>
      <w:sz w:val="20"/>
      <w:szCs w:val="21"/>
    </w:rPr>
  </w:style>
  <w:style w:type="paragraph" w:styleId="18">
    <w:name w:val="Date"/>
    <w:basedOn w:val="1"/>
    <w:next w:val="1"/>
    <w:link w:val="47"/>
    <w:unhideWhenUsed/>
    <w:qFormat/>
    <w:uiPriority w:val="99"/>
    <w:pPr>
      <w:ind w:left="100" w:leftChars="2500"/>
    </w:pPr>
  </w:style>
  <w:style w:type="paragraph" w:styleId="19">
    <w:name w:val="Balloon Text"/>
    <w:basedOn w:val="1"/>
    <w:semiHidden/>
    <w:qFormat/>
    <w:uiPriority w:val="0"/>
    <w:rPr>
      <w:sz w:val="18"/>
      <w:szCs w:val="18"/>
    </w:rPr>
  </w:style>
  <w:style w:type="paragraph" w:styleId="20">
    <w:name w:val="footer"/>
    <w:basedOn w:val="1"/>
    <w:link w:val="48"/>
    <w:unhideWhenUsed/>
    <w:qFormat/>
    <w:uiPriority w:val="99"/>
    <w:pPr>
      <w:tabs>
        <w:tab w:val="center" w:pos="4153"/>
        <w:tab w:val="right" w:pos="8306"/>
      </w:tabs>
      <w:snapToGrid w:val="0"/>
      <w:jc w:val="left"/>
    </w:pPr>
    <w:rPr>
      <w:kern w:val="0"/>
      <w:sz w:val="18"/>
      <w:szCs w:val="18"/>
    </w:rPr>
  </w:style>
  <w:style w:type="paragraph" w:styleId="21">
    <w:name w:val="header"/>
    <w:basedOn w:val="1"/>
    <w:link w:val="49"/>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22">
    <w:name w:val="toc 1"/>
    <w:basedOn w:val="1"/>
    <w:next w:val="1"/>
    <w:unhideWhenUsed/>
    <w:qFormat/>
    <w:uiPriority w:val="39"/>
  </w:style>
  <w:style w:type="paragraph" w:styleId="23">
    <w:name w:val="Subtitle"/>
    <w:basedOn w:val="1"/>
    <w:next w:val="1"/>
    <w:qFormat/>
    <w:uiPriority w:val="0"/>
    <w:pPr>
      <w:spacing w:before="240" w:after="60" w:line="312" w:lineRule="auto"/>
      <w:jc w:val="center"/>
      <w:outlineLvl w:val="1"/>
    </w:pPr>
    <w:rPr>
      <w:rFonts w:ascii="Arial" w:hAnsi="Arial" w:cs="Arial"/>
      <w:b/>
      <w:bCs/>
      <w:kern w:val="28"/>
      <w:sz w:val="32"/>
      <w:szCs w:val="32"/>
    </w:rPr>
  </w:style>
  <w:style w:type="paragraph" w:styleId="24">
    <w:name w:val="toc 2"/>
    <w:basedOn w:val="1"/>
    <w:next w:val="1"/>
    <w:unhideWhenUsed/>
    <w:qFormat/>
    <w:uiPriority w:val="39"/>
    <w:pPr>
      <w:tabs>
        <w:tab w:val="right" w:leader="dot" w:pos="8296"/>
      </w:tabs>
      <w:ind w:left="420" w:leftChars="200"/>
    </w:pPr>
  </w:style>
  <w:style w:type="paragraph" w:styleId="25">
    <w:name w:val="Normal (Web)"/>
    <w:basedOn w:val="1"/>
    <w:unhideWhenUsed/>
    <w:qFormat/>
    <w:uiPriority w:val="99"/>
    <w:rPr>
      <w:rFonts w:ascii="Calibri" w:hAnsi="Calibri"/>
      <w:kern w:val="0"/>
      <w:sz w:val="24"/>
    </w:rPr>
  </w:style>
  <w:style w:type="paragraph" w:styleId="26">
    <w:name w:val="annotation subject"/>
    <w:basedOn w:val="13"/>
    <w:next w:val="13"/>
    <w:link w:val="50"/>
    <w:qFormat/>
    <w:uiPriority w:val="99"/>
    <w:rPr>
      <w:b/>
      <w:bCs/>
    </w:rPr>
  </w:style>
  <w:style w:type="paragraph" w:styleId="27">
    <w:name w:val="Body Text First Indent 2"/>
    <w:basedOn w:val="15"/>
    <w:next w:val="1"/>
    <w:qFormat/>
    <w:uiPriority w:val="0"/>
    <w:pPr>
      <w:ind w:firstLine="420" w:firstLineChars="200"/>
    </w:pPr>
  </w:style>
  <w:style w:type="table" w:styleId="29">
    <w:name w:val="Table Grid"/>
    <w:basedOn w:val="28"/>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1">
    <w:name w:val="Strong"/>
    <w:qFormat/>
    <w:uiPriority w:val="22"/>
    <w:rPr>
      <w:b/>
      <w:bCs/>
    </w:rPr>
  </w:style>
  <w:style w:type="character" w:styleId="32">
    <w:name w:val="endnote reference"/>
    <w:unhideWhenUsed/>
    <w:qFormat/>
    <w:uiPriority w:val="99"/>
    <w:rPr>
      <w:vertAlign w:val="superscript"/>
    </w:rPr>
  </w:style>
  <w:style w:type="character" w:styleId="33">
    <w:name w:val="Hyperlink"/>
    <w:unhideWhenUsed/>
    <w:qFormat/>
    <w:uiPriority w:val="99"/>
    <w:rPr>
      <w:color w:val="0000FF"/>
      <w:u w:val="single"/>
    </w:rPr>
  </w:style>
  <w:style w:type="character" w:styleId="34">
    <w:name w:val="annotation reference"/>
    <w:qFormat/>
    <w:uiPriority w:val="0"/>
    <w:rPr>
      <w:sz w:val="21"/>
      <w:szCs w:val="21"/>
    </w:rPr>
  </w:style>
  <w:style w:type="character" w:customStyle="1" w:styleId="35">
    <w:name w:val="标题 1 Char2"/>
    <w:link w:val="3"/>
    <w:qFormat/>
    <w:uiPriority w:val="0"/>
    <w:rPr>
      <w:b/>
      <w:bCs/>
      <w:kern w:val="44"/>
      <w:sz w:val="44"/>
      <w:szCs w:val="44"/>
    </w:rPr>
  </w:style>
  <w:style w:type="character" w:customStyle="1" w:styleId="36">
    <w:name w:val="标题 2 Char2"/>
    <w:link w:val="4"/>
    <w:qFormat/>
    <w:uiPriority w:val="9"/>
    <w:rPr>
      <w:rFonts w:ascii="Cambria" w:hAnsi="Cambria" w:eastAsia="宋体" w:cs="Times New Roman"/>
      <w:b/>
      <w:bCs/>
      <w:kern w:val="2"/>
      <w:sz w:val="32"/>
      <w:szCs w:val="32"/>
    </w:rPr>
  </w:style>
  <w:style w:type="character" w:customStyle="1" w:styleId="37">
    <w:name w:val="标题 3 Char1"/>
    <w:link w:val="5"/>
    <w:qFormat/>
    <w:uiPriority w:val="9"/>
    <w:rPr>
      <w:b/>
      <w:bCs/>
      <w:kern w:val="2"/>
      <w:sz w:val="32"/>
      <w:szCs w:val="32"/>
    </w:rPr>
  </w:style>
  <w:style w:type="character" w:customStyle="1" w:styleId="38">
    <w:name w:val="标题 4 Char"/>
    <w:link w:val="6"/>
    <w:semiHidden/>
    <w:qFormat/>
    <w:uiPriority w:val="9"/>
    <w:rPr>
      <w:rFonts w:ascii="Cambria" w:hAnsi="Cambria" w:cs="宋体"/>
      <w:b/>
      <w:bCs/>
      <w:kern w:val="2"/>
      <w:sz w:val="28"/>
      <w:szCs w:val="28"/>
    </w:rPr>
  </w:style>
  <w:style w:type="character" w:customStyle="1" w:styleId="39">
    <w:name w:val="标题 5 Char1"/>
    <w:link w:val="7"/>
    <w:semiHidden/>
    <w:qFormat/>
    <w:uiPriority w:val="9"/>
    <w:rPr>
      <w:rFonts w:ascii="Times New Roman" w:hAnsi="Times New Roman"/>
      <w:b/>
      <w:bCs/>
      <w:kern w:val="2"/>
      <w:sz w:val="28"/>
      <w:szCs w:val="28"/>
    </w:rPr>
  </w:style>
  <w:style w:type="character" w:customStyle="1" w:styleId="40">
    <w:name w:val="标题 7 Char1"/>
    <w:link w:val="9"/>
    <w:qFormat/>
    <w:uiPriority w:val="0"/>
    <w:rPr>
      <w:b/>
      <w:bCs/>
      <w:kern w:val="2"/>
      <w:sz w:val="24"/>
      <w:szCs w:val="24"/>
    </w:rPr>
  </w:style>
  <w:style w:type="character" w:customStyle="1" w:styleId="41">
    <w:name w:val="标题 8 Char2"/>
    <w:link w:val="10"/>
    <w:semiHidden/>
    <w:qFormat/>
    <w:uiPriority w:val="9"/>
    <w:rPr>
      <w:rFonts w:ascii="等线 Light" w:hAnsi="等线 Light" w:eastAsia="等线 Light" w:cs="Times New Roman"/>
      <w:kern w:val="2"/>
      <w:sz w:val="24"/>
      <w:szCs w:val="24"/>
    </w:rPr>
  </w:style>
  <w:style w:type="character" w:customStyle="1" w:styleId="42">
    <w:name w:val="批注文字 Char4"/>
    <w:link w:val="13"/>
    <w:qFormat/>
    <w:uiPriority w:val="0"/>
    <w:rPr>
      <w:rFonts w:ascii="Times New Roman" w:hAnsi="Times New Roman"/>
      <w:kern w:val="2"/>
      <w:sz w:val="21"/>
      <w:szCs w:val="24"/>
    </w:rPr>
  </w:style>
  <w:style w:type="character" w:customStyle="1" w:styleId="43">
    <w:name w:val="正文文本 3 Char1"/>
    <w:link w:val="14"/>
    <w:semiHidden/>
    <w:qFormat/>
    <w:uiPriority w:val="99"/>
    <w:rPr>
      <w:kern w:val="2"/>
      <w:sz w:val="16"/>
      <w:szCs w:val="16"/>
    </w:rPr>
  </w:style>
  <w:style w:type="character" w:customStyle="1" w:styleId="44">
    <w:name w:val="正文文本 Char3"/>
    <w:link w:val="2"/>
    <w:qFormat/>
    <w:uiPriority w:val="0"/>
    <w:rPr>
      <w:rFonts w:ascii="Times New Roman" w:hAnsi="Times New Roman"/>
      <w:kern w:val="2"/>
      <w:sz w:val="21"/>
      <w:szCs w:val="24"/>
    </w:rPr>
  </w:style>
  <w:style w:type="character" w:customStyle="1" w:styleId="45">
    <w:name w:val="正文文本缩进 Char1"/>
    <w:link w:val="15"/>
    <w:qFormat/>
    <w:uiPriority w:val="0"/>
    <w:rPr>
      <w:rFonts w:ascii="仿宋_GB2312" w:hAnsi="Times New Roman" w:eastAsia="仿宋_GB2312" w:cs="Times New Roman"/>
      <w:sz w:val="32"/>
      <w:szCs w:val="20"/>
    </w:rPr>
  </w:style>
  <w:style w:type="character" w:customStyle="1" w:styleId="46">
    <w:name w:val="纯文本 Char3"/>
    <w:link w:val="17"/>
    <w:qFormat/>
    <w:uiPriority w:val="0"/>
    <w:rPr>
      <w:rFonts w:ascii="宋体" w:hAnsi="Courier New" w:eastAsia="宋体" w:cs="Courier New"/>
      <w:szCs w:val="21"/>
    </w:rPr>
  </w:style>
  <w:style w:type="character" w:customStyle="1" w:styleId="47">
    <w:name w:val="日期 Char1"/>
    <w:link w:val="18"/>
    <w:semiHidden/>
    <w:qFormat/>
    <w:uiPriority w:val="99"/>
    <w:rPr>
      <w:rFonts w:ascii="Times New Roman" w:hAnsi="Times New Roman"/>
      <w:kern w:val="2"/>
      <w:sz w:val="21"/>
      <w:szCs w:val="24"/>
    </w:rPr>
  </w:style>
  <w:style w:type="character" w:customStyle="1" w:styleId="48">
    <w:name w:val="页脚 Char2"/>
    <w:link w:val="20"/>
    <w:qFormat/>
    <w:uiPriority w:val="99"/>
    <w:rPr>
      <w:sz w:val="18"/>
      <w:szCs w:val="18"/>
    </w:rPr>
  </w:style>
  <w:style w:type="character" w:customStyle="1" w:styleId="49">
    <w:name w:val="页眉 Char2"/>
    <w:link w:val="21"/>
    <w:qFormat/>
    <w:uiPriority w:val="99"/>
    <w:rPr>
      <w:sz w:val="18"/>
      <w:szCs w:val="18"/>
    </w:rPr>
  </w:style>
  <w:style w:type="character" w:customStyle="1" w:styleId="50">
    <w:name w:val="批注主题 Char1"/>
    <w:link w:val="26"/>
    <w:qFormat/>
    <w:uiPriority w:val="99"/>
    <w:rPr>
      <w:rFonts w:ascii="Times New Roman" w:hAnsi="Times New Roman"/>
      <w:b/>
      <w:bCs/>
      <w:kern w:val="2"/>
      <w:sz w:val="21"/>
      <w:szCs w:val="24"/>
    </w:rPr>
  </w:style>
  <w:style w:type="character" w:customStyle="1" w:styleId="51">
    <w:name w:val="正文文本 Char"/>
    <w:qFormat/>
    <w:uiPriority w:val="0"/>
    <w:rPr>
      <w:rFonts w:ascii="Times New Roman" w:hAnsi="Times New Roman"/>
      <w:kern w:val="2"/>
      <w:sz w:val="21"/>
      <w:szCs w:val="24"/>
    </w:rPr>
  </w:style>
  <w:style w:type="character" w:customStyle="1" w:styleId="52">
    <w:name w:val="纯文本 Char"/>
    <w:qFormat/>
    <w:uiPriority w:val="99"/>
    <w:rPr>
      <w:rFonts w:ascii="宋体" w:hAnsi="Courier New" w:eastAsia="宋体" w:cs="Courier New"/>
      <w:szCs w:val="21"/>
    </w:rPr>
  </w:style>
  <w:style w:type="character" w:customStyle="1" w:styleId="53">
    <w:name w:val="纯文本 字符2"/>
    <w:qFormat/>
    <w:uiPriority w:val="0"/>
    <w:rPr>
      <w:rFonts w:ascii="宋体" w:hAnsi="Courier New" w:eastAsia="宋体" w:cs="Courier New"/>
      <w:szCs w:val="21"/>
    </w:rPr>
  </w:style>
  <w:style w:type="character" w:customStyle="1" w:styleId="54">
    <w:name w:val="apple-style-span"/>
    <w:qFormat/>
    <w:uiPriority w:val="0"/>
  </w:style>
  <w:style w:type="character" w:customStyle="1" w:styleId="55">
    <w:name w:val="标题 8 Char"/>
    <w:qFormat/>
    <w:uiPriority w:val="0"/>
    <w:rPr>
      <w:rFonts w:ascii="Arial" w:hAnsi="Arial" w:eastAsia="黑体"/>
      <w:kern w:val="2"/>
      <w:sz w:val="24"/>
      <w:szCs w:val="24"/>
    </w:rPr>
  </w:style>
  <w:style w:type="character" w:customStyle="1" w:styleId="56">
    <w:name w:val="批注文字 字符"/>
    <w:qFormat/>
    <w:uiPriority w:val="0"/>
    <w:rPr>
      <w:rFonts w:ascii="Times New Roman" w:hAnsi="Times New Roman"/>
      <w:kern w:val="2"/>
      <w:sz w:val="21"/>
      <w:szCs w:val="24"/>
    </w:rPr>
  </w:style>
  <w:style w:type="character" w:customStyle="1" w:styleId="57">
    <w:name w:val="正文文本 字符"/>
    <w:qFormat/>
    <w:uiPriority w:val="0"/>
    <w:rPr>
      <w:rFonts w:ascii="Times New Roman" w:hAnsi="Times New Roman"/>
      <w:kern w:val="2"/>
      <w:sz w:val="21"/>
      <w:szCs w:val="24"/>
    </w:rPr>
  </w:style>
  <w:style w:type="character" w:customStyle="1" w:styleId="58">
    <w:name w:val="纯文本 字符1"/>
    <w:qFormat/>
    <w:uiPriority w:val="0"/>
    <w:rPr>
      <w:rFonts w:ascii="宋体" w:hAnsi="Courier New"/>
    </w:rPr>
  </w:style>
  <w:style w:type="character" w:customStyle="1" w:styleId="59">
    <w:name w:val="批注文字 Char"/>
    <w:qFormat/>
    <w:uiPriority w:val="0"/>
    <w:rPr>
      <w:rFonts w:ascii="Times New Roman" w:hAnsi="Times New Roman"/>
      <w:kern w:val="2"/>
      <w:sz w:val="21"/>
      <w:szCs w:val="24"/>
    </w:rPr>
  </w:style>
  <w:style w:type="character" w:customStyle="1" w:styleId="60">
    <w:name w:val="标题 2 Char"/>
    <w:qFormat/>
    <w:uiPriority w:val="9"/>
    <w:rPr>
      <w:rFonts w:ascii="Cambria" w:hAnsi="Cambria" w:eastAsia="宋体" w:cs="Times New Roman"/>
      <w:b/>
      <w:bCs/>
      <w:kern w:val="2"/>
      <w:sz w:val="32"/>
      <w:szCs w:val="32"/>
    </w:rPr>
  </w:style>
  <w:style w:type="character" w:customStyle="1" w:styleId="61">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62">
    <w:name w:val="批注文字 字符1"/>
    <w:qFormat/>
    <w:uiPriority w:val="0"/>
    <w:rPr>
      <w:rFonts w:ascii="Times New Roman" w:hAnsi="Times New Roman"/>
      <w:kern w:val="2"/>
      <w:sz w:val="21"/>
      <w:szCs w:val="24"/>
    </w:rPr>
  </w:style>
  <w:style w:type="character" w:customStyle="1" w:styleId="63">
    <w:name w:val="textcontents"/>
    <w:qFormat/>
    <w:uiPriority w:val="0"/>
  </w:style>
  <w:style w:type="character" w:customStyle="1" w:styleId="64">
    <w:name w:val="标题 1 字符"/>
    <w:qFormat/>
    <w:uiPriority w:val="9"/>
    <w:rPr>
      <w:b/>
      <w:bCs/>
      <w:kern w:val="44"/>
      <w:sz w:val="44"/>
      <w:szCs w:val="44"/>
    </w:rPr>
  </w:style>
  <w:style w:type="paragraph" w:customStyle="1" w:styleId="65">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styleId="66">
    <w:name w:val="List Paragraph"/>
    <w:basedOn w:val="1"/>
    <w:qFormat/>
    <w:uiPriority w:val="34"/>
    <w:pPr>
      <w:ind w:firstLine="420" w:firstLineChars="200"/>
    </w:pPr>
  </w:style>
  <w:style w:type="paragraph" w:customStyle="1" w:styleId="67">
    <w:name w:val="默认段落字体 Para Char Char Char Char Char Char Char Char Char1 Char Char Char Char"/>
    <w:basedOn w:val="1"/>
    <w:qFormat/>
    <w:uiPriority w:val="0"/>
    <w:rPr>
      <w:rFonts w:ascii="Tahoma" w:hAnsi="Tahoma"/>
      <w:sz w:val="24"/>
      <w:szCs w:val="20"/>
    </w:rPr>
  </w:style>
  <w:style w:type="paragraph" w:customStyle="1" w:styleId="68">
    <w:name w:val="Table Paragraph"/>
    <w:basedOn w:val="1"/>
    <w:qFormat/>
    <w:uiPriority w:val="1"/>
    <w:pPr>
      <w:jc w:val="left"/>
    </w:pPr>
    <w:rPr>
      <w:rFonts w:ascii="Calibri" w:hAnsi="Calibri"/>
      <w:kern w:val="0"/>
      <w:sz w:val="22"/>
      <w:szCs w:val="22"/>
      <w:lang w:eastAsia="en-US"/>
    </w:rPr>
  </w:style>
  <w:style w:type="character" w:customStyle="1" w:styleId="69">
    <w:name w:val="页脚 字符"/>
    <w:qFormat/>
    <w:uiPriority w:val="99"/>
    <w:rPr>
      <w:sz w:val="18"/>
      <w:szCs w:val="18"/>
    </w:rPr>
  </w:style>
  <w:style w:type="character" w:customStyle="1" w:styleId="70">
    <w:name w:val="标题 2 字符"/>
    <w:qFormat/>
    <w:uiPriority w:val="9"/>
    <w:rPr>
      <w:rFonts w:ascii="Cambria" w:hAnsi="Cambria" w:eastAsia="宋体" w:cs="Times New Roman"/>
      <w:b/>
      <w:bCs/>
      <w:kern w:val="2"/>
      <w:sz w:val="32"/>
      <w:szCs w:val="32"/>
    </w:rPr>
  </w:style>
  <w:style w:type="character" w:customStyle="1" w:styleId="71">
    <w:name w:val="纯文本 字符"/>
    <w:qFormat/>
    <w:uiPriority w:val="0"/>
    <w:rPr>
      <w:rFonts w:ascii="宋体" w:hAnsi="Courier New" w:eastAsia="宋体" w:cs="Courier New"/>
      <w:szCs w:val="21"/>
    </w:rPr>
  </w:style>
  <w:style w:type="character" w:customStyle="1" w:styleId="72">
    <w:name w:val="正文2 Char Char"/>
    <w:link w:val="73"/>
    <w:qFormat/>
    <w:uiPriority w:val="0"/>
    <w:rPr>
      <w:kern w:val="2"/>
      <w:sz w:val="24"/>
    </w:rPr>
  </w:style>
  <w:style w:type="paragraph" w:customStyle="1" w:styleId="73">
    <w:name w:val="正文2"/>
    <w:basedOn w:val="1"/>
    <w:link w:val="72"/>
    <w:qFormat/>
    <w:uiPriority w:val="0"/>
    <w:pPr>
      <w:adjustRightInd w:val="0"/>
      <w:spacing w:before="156" w:line="360" w:lineRule="auto"/>
      <w:ind w:firstLine="510" w:firstLineChars="200"/>
    </w:pPr>
    <w:rPr>
      <w:sz w:val="24"/>
      <w:szCs w:val="20"/>
    </w:rPr>
  </w:style>
  <w:style w:type="character" w:customStyle="1" w:styleId="74">
    <w:name w:val="_Style 72"/>
    <w:unhideWhenUsed/>
    <w:qFormat/>
    <w:uiPriority w:val="99"/>
    <w:rPr>
      <w:color w:val="605E5C"/>
      <w:shd w:val="clear" w:color="auto" w:fill="E1DFDD"/>
    </w:rPr>
  </w:style>
  <w:style w:type="paragraph" w:customStyle="1" w:styleId="75">
    <w:name w:val="首行缩进"/>
    <w:basedOn w:val="1"/>
    <w:qFormat/>
    <w:uiPriority w:val="0"/>
    <w:pPr>
      <w:spacing w:line="400" w:lineRule="exact"/>
      <w:ind w:firstLine="480" w:firstLineChars="200"/>
      <w:jc w:val="left"/>
    </w:pPr>
    <w:rPr>
      <w:lang w:val="zh-CN"/>
    </w:rPr>
  </w:style>
  <w:style w:type="character" w:customStyle="1" w:styleId="76">
    <w:name w:val="NormalCharacter"/>
    <w:qFormat/>
    <w:uiPriority w:val="0"/>
    <w:rPr>
      <w:rFonts w:ascii="Calibri" w:hAnsi="Calibri" w:eastAsia="宋体"/>
    </w:rPr>
  </w:style>
  <w:style w:type="character" w:customStyle="1" w:styleId="77">
    <w:name w:val="页脚 Char1"/>
    <w:qFormat/>
    <w:uiPriority w:val="0"/>
    <w:rPr>
      <w:sz w:val="18"/>
      <w:szCs w:val="18"/>
    </w:rPr>
  </w:style>
  <w:style w:type="paragraph" w:customStyle="1" w:styleId="78">
    <w:name w:val="_Style 79"/>
    <w:basedOn w:val="1"/>
    <w:next w:val="1"/>
    <w:unhideWhenUsed/>
    <w:qFormat/>
    <w:uiPriority w:val="39"/>
  </w:style>
  <w:style w:type="character" w:customStyle="1" w:styleId="79">
    <w:name w:val="批注文字 Char1"/>
    <w:qFormat/>
    <w:uiPriority w:val="0"/>
    <w:rPr>
      <w:rFonts w:ascii="Times New Roman" w:hAnsi="Times New Roman"/>
      <w:kern w:val="2"/>
      <w:sz w:val="21"/>
      <w:szCs w:val="24"/>
    </w:rPr>
  </w:style>
  <w:style w:type="character" w:customStyle="1" w:styleId="80">
    <w:name w:val="纯文本 Char1"/>
    <w:qFormat/>
    <w:uiPriority w:val="0"/>
    <w:rPr>
      <w:rFonts w:ascii="宋体" w:hAnsi="Courier New"/>
      <w:szCs w:val="21"/>
    </w:rPr>
  </w:style>
  <w:style w:type="paragraph" w:customStyle="1" w:styleId="81">
    <w:name w:val="DAS正文"/>
    <w:basedOn w:val="1"/>
    <w:qFormat/>
    <w:uiPriority w:val="0"/>
    <w:pPr>
      <w:ind w:right="181" w:firstLine="480"/>
    </w:pPr>
    <w:rPr>
      <w:rFonts w:ascii="Verdana" w:hAnsi="Verdana"/>
    </w:rPr>
  </w:style>
  <w:style w:type="character" w:customStyle="1" w:styleId="82">
    <w:name w:val="标题 1 Char1"/>
    <w:qFormat/>
    <w:locked/>
    <w:uiPriority w:val="0"/>
    <w:rPr>
      <w:b/>
      <w:bCs/>
      <w:kern w:val="44"/>
      <w:sz w:val="44"/>
      <w:szCs w:val="44"/>
    </w:rPr>
  </w:style>
  <w:style w:type="character" w:customStyle="1" w:styleId="83">
    <w:name w:val="页眉 Char1"/>
    <w:semiHidden/>
    <w:qFormat/>
    <w:locked/>
    <w:uiPriority w:val="0"/>
    <w:rPr>
      <w:kern w:val="2"/>
      <w:sz w:val="18"/>
      <w:szCs w:val="18"/>
    </w:rPr>
  </w:style>
  <w:style w:type="character" w:customStyle="1" w:styleId="84">
    <w:name w:val="正文文本 Char1"/>
    <w:qFormat/>
    <w:uiPriority w:val="0"/>
    <w:rPr>
      <w:kern w:val="2"/>
      <w:sz w:val="21"/>
      <w:szCs w:val="24"/>
    </w:rPr>
  </w:style>
  <w:style w:type="character" w:customStyle="1" w:styleId="85">
    <w:name w:val="批注文字 Char2"/>
    <w:qFormat/>
    <w:uiPriority w:val="0"/>
    <w:rPr>
      <w:kern w:val="2"/>
      <w:sz w:val="21"/>
      <w:szCs w:val="24"/>
    </w:rPr>
  </w:style>
  <w:style w:type="character" w:customStyle="1" w:styleId="86">
    <w:name w:val="标题 1 Char"/>
    <w:qFormat/>
    <w:uiPriority w:val="0"/>
    <w:rPr>
      <w:b/>
      <w:bCs/>
      <w:kern w:val="44"/>
      <w:sz w:val="44"/>
      <w:szCs w:val="44"/>
    </w:rPr>
  </w:style>
  <w:style w:type="character" w:customStyle="1" w:styleId="87">
    <w:name w:val="标题 2 Char1"/>
    <w:qFormat/>
    <w:uiPriority w:val="9"/>
    <w:rPr>
      <w:rFonts w:ascii="Cambria" w:hAnsi="Cambria" w:eastAsia="宋体" w:cs="Times New Roman"/>
      <w:b/>
      <w:bCs/>
      <w:kern w:val="2"/>
      <w:sz w:val="32"/>
      <w:szCs w:val="32"/>
    </w:rPr>
  </w:style>
  <w:style w:type="character" w:customStyle="1" w:styleId="88">
    <w:name w:val="标题 3 Char"/>
    <w:qFormat/>
    <w:uiPriority w:val="9"/>
    <w:rPr>
      <w:b/>
      <w:bCs/>
      <w:kern w:val="2"/>
      <w:sz w:val="32"/>
      <w:szCs w:val="32"/>
    </w:rPr>
  </w:style>
  <w:style w:type="character" w:customStyle="1" w:styleId="89">
    <w:name w:val="标题 5 Char"/>
    <w:semiHidden/>
    <w:qFormat/>
    <w:uiPriority w:val="9"/>
    <w:rPr>
      <w:rFonts w:ascii="Times New Roman" w:hAnsi="Times New Roman"/>
      <w:b/>
      <w:bCs/>
      <w:kern w:val="2"/>
      <w:sz w:val="28"/>
      <w:szCs w:val="28"/>
    </w:rPr>
  </w:style>
  <w:style w:type="character" w:customStyle="1" w:styleId="90">
    <w:name w:val="标题 7 Char"/>
    <w:qFormat/>
    <w:uiPriority w:val="0"/>
    <w:rPr>
      <w:b/>
      <w:bCs/>
      <w:kern w:val="2"/>
      <w:sz w:val="24"/>
      <w:szCs w:val="24"/>
    </w:rPr>
  </w:style>
  <w:style w:type="character" w:customStyle="1" w:styleId="91">
    <w:name w:val="标题 8 Char1"/>
    <w:semiHidden/>
    <w:qFormat/>
    <w:uiPriority w:val="9"/>
    <w:rPr>
      <w:rFonts w:ascii="等线 Light" w:hAnsi="等线 Light" w:eastAsia="等线 Light" w:cs="Times New Roman"/>
      <w:kern w:val="2"/>
      <w:sz w:val="24"/>
      <w:szCs w:val="24"/>
    </w:rPr>
  </w:style>
  <w:style w:type="character" w:customStyle="1" w:styleId="92">
    <w:name w:val="批注文字 Char3"/>
    <w:qFormat/>
    <w:uiPriority w:val="0"/>
    <w:rPr>
      <w:rFonts w:ascii="Times New Roman" w:hAnsi="Times New Roman"/>
      <w:kern w:val="2"/>
      <w:sz w:val="21"/>
      <w:szCs w:val="24"/>
    </w:rPr>
  </w:style>
  <w:style w:type="character" w:customStyle="1" w:styleId="93">
    <w:name w:val="正文文本 3 Char"/>
    <w:semiHidden/>
    <w:qFormat/>
    <w:uiPriority w:val="99"/>
    <w:rPr>
      <w:kern w:val="2"/>
      <w:sz w:val="16"/>
      <w:szCs w:val="16"/>
    </w:rPr>
  </w:style>
  <w:style w:type="character" w:customStyle="1" w:styleId="94">
    <w:name w:val="正文文本 Char2"/>
    <w:qFormat/>
    <w:uiPriority w:val="0"/>
    <w:rPr>
      <w:rFonts w:ascii="Times New Roman" w:hAnsi="Times New Roman"/>
      <w:kern w:val="2"/>
      <w:sz w:val="21"/>
      <w:szCs w:val="24"/>
    </w:rPr>
  </w:style>
  <w:style w:type="character" w:customStyle="1" w:styleId="95">
    <w:name w:val="正文文本缩进 Char"/>
    <w:qFormat/>
    <w:uiPriority w:val="0"/>
    <w:rPr>
      <w:rFonts w:ascii="仿宋_GB2312" w:hAnsi="Times New Roman" w:eastAsia="仿宋_GB2312" w:cs="Times New Roman"/>
      <w:sz w:val="32"/>
      <w:szCs w:val="20"/>
    </w:rPr>
  </w:style>
  <w:style w:type="character" w:customStyle="1" w:styleId="96">
    <w:name w:val="纯文本 Char2"/>
    <w:qFormat/>
    <w:uiPriority w:val="0"/>
    <w:rPr>
      <w:rFonts w:ascii="宋体" w:hAnsi="Courier New" w:eastAsia="宋体" w:cs="Courier New"/>
      <w:szCs w:val="21"/>
    </w:rPr>
  </w:style>
  <w:style w:type="character" w:customStyle="1" w:styleId="97">
    <w:name w:val="日期 Char"/>
    <w:semiHidden/>
    <w:qFormat/>
    <w:uiPriority w:val="99"/>
    <w:rPr>
      <w:rFonts w:ascii="Times New Roman" w:hAnsi="Times New Roman"/>
      <w:kern w:val="2"/>
      <w:sz w:val="21"/>
      <w:szCs w:val="24"/>
    </w:rPr>
  </w:style>
  <w:style w:type="character" w:customStyle="1" w:styleId="98">
    <w:name w:val="页脚 Char"/>
    <w:qFormat/>
    <w:uiPriority w:val="99"/>
    <w:rPr>
      <w:sz w:val="18"/>
      <w:szCs w:val="18"/>
    </w:rPr>
  </w:style>
  <w:style w:type="character" w:customStyle="1" w:styleId="99">
    <w:name w:val="页眉 Char"/>
    <w:qFormat/>
    <w:uiPriority w:val="99"/>
    <w:rPr>
      <w:sz w:val="18"/>
      <w:szCs w:val="18"/>
    </w:rPr>
  </w:style>
  <w:style w:type="character" w:customStyle="1" w:styleId="100">
    <w:name w:val="批注主题 Char"/>
    <w:qFormat/>
    <w:uiPriority w:val="99"/>
    <w:rPr>
      <w:rFonts w:ascii="Times New Roman" w:hAnsi="Times New Roman"/>
      <w:b/>
      <w:bCs/>
      <w:kern w:val="2"/>
      <w:sz w:val="21"/>
      <w:szCs w:val="24"/>
    </w:rPr>
  </w:style>
  <w:style w:type="paragraph" w:customStyle="1" w:styleId="101">
    <w:name w:val="_Style 99"/>
    <w:hidden/>
    <w:unhideWhenUsed/>
    <w:qFormat/>
    <w:uiPriority w:val="99"/>
    <w:rPr>
      <w:rFonts w:ascii="Times New Roman" w:hAnsi="Times New Roman" w:eastAsia="宋体" w:cs="Times New Roman"/>
      <w:kern w:val="2"/>
      <w:sz w:val="21"/>
      <w:szCs w:val="24"/>
      <w:lang w:val="en-US" w:eastAsia="zh-CN" w:bidi="ar-SA"/>
    </w:rPr>
  </w:style>
  <w:style w:type="paragraph" w:customStyle="1" w:styleId="102">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103">
    <w:name w:val="Char"/>
    <w:basedOn w:val="1"/>
    <w:qFormat/>
    <w:uiPriority w:val="0"/>
  </w:style>
  <w:style w:type="paragraph" w:customStyle="1" w:styleId="104">
    <w:name w:val="列表段落1"/>
    <w:basedOn w:val="1"/>
    <w:qFormat/>
    <w:uiPriority w:val="99"/>
    <w:pPr>
      <w:ind w:firstLine="420" w:firstLineChars="200"/>
    </w:pPr>
    <w:rPr>
      <w:rFonts w:ascii="Calibri" w:hAnsi="Calibri"/>
    </w:rPr>
  </w:style>
  <w:style w:type="paragraph" w:customStyle="1" w:styleId="10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广西云龙招标有限公司</Company>
  <Pages>73</Pages>
  <Words>4682</Words>
  <Characters>5246</Characters>
  <Lines>333</Lines>
  <Paragraphs>93</Paragraphs>
  <TotalTime>2</TotalTime>
  <ScaleCrop>false</ScaleCrop>
  <LinksUpToDate>false</LinksUpToDate>
  <CharactersWithSpaces>5291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2022-10-14T04:54:00Z</dcterms:created>
  <dc:creator>唐冰</dc:creator>
  <cp:lastModifiedBy>WPS_1784545210</cp:lastModifiedBy>
  <cp:lastPrinted>2023-04-04T06:50:00Z</cp:lastPrinted>
  <dcterms:modified xsi:type="dcterms:W3CDTF">2026-10-20T02:22:02Z</dcterms:modified>
  <dc:title>竞争性谈判文件规范</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CF447C70A51E479899AFFCA94AF6ED14_13</vt:lpwstr>
  </property>
  <property fmtid="{D5CDD505-2E9C-101B-9397-08002B2CF9AE}" pid="4" name="KSOTemplateDocerSaveRecord">
    <vt:lpwstr>eyJoZGlkIjoiMzQ3OTM0NjZmN2MwMjJlODAwNDc1OWZhZGI2YmMwZDQiLCJ1c2VySWQiOiIxODcyNzM4MTcxIn0=</vt:lpwstr>
  </property>
</Properties>
</file>