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6AE7BF45">
      <w:pPr>
        <w:spacing w:line="360" w:lineRule="exact"/>
        <w:ind w:firstLine="321" w:firstLineChars="100"/>
        <w:rPr>
          <w:rStyle w:val="12"/>
          <w:rFonts w:ascii="宋体" w:hAnsi="宋体"/>
          <w:b/>
          <w:spacing w:val="20"/>
          <w:kern w:val="0"/>
          <w:sz w:val="28"/>
          <w:szCs w:val="28"/>
        </w:rPr>
      </w:pPr>
      <w:r>
        <w:rPr>
          <w:rStyle w:val="12"/>
          <w:rFonts w:hint="eastAsia" w:ascii="宋体" w:hAnsi="宋体"/>
          <w:b/>
          <w:spacing w:val="20"/>
          <w:kern w:val="0"/>
          <w:sz w:val="28"/>
          <w:szCs w:val="28"/>
          <w:lang w:val="en-US" w:eastAsia="zh-CN"/>
        </w:rPr>
        <w:t>桂林医科大学第一附属医院</w:t>
      </w:r>
      <w:r>
        <w:rPr>
          <w:rStyle w:val="12"/>
          <w:rFonts w:hint="eastAsia" w:ascii="宋体" w:hAnsi="宋体"/>
          <w:b/>
          <w:spacing w:val="20"/>
          <w:kern w:val="0"/>
          <w:sz w:val="28"/>
          <w:szCs w:val="28"/>
        </w:rPr>
        <w:t>招标代理机构遴选评分</w:t>
      </w:r>
      <w:r>
        <w:rPr>
          <w:rStyle w:val="12"/>
          <w:rFonts w:ascii="宋体" w:hAnsi="宋体"/>
          <w:b/>
          <w:spacing w:val="20"/>
          <w:kern w:val="0"/>
          <w:sz w:val="28"/>
          <w:szCs w:val="28"/>
        </w:rPr>
        <w:t>办法</w:t>
      </w:r>
    </w:p>
    <w:p w14:paraId="57A1A510">
      <w:pPr>
        <w:spacing w:line="400" w:lineRule="exact"/>
      </w:pPr>
      <w:r>
        <w:rPr>
          <w:rFonts w:hint="eastAsia"/>
        </w:rPr>
        <w:t>一、本项目采用综合评分法。将总分由高到低排列次序，推荐成交候选人。</w:t>
      </w:r>
    </w:p>
    <w:p w14:paraId="6F463F56">
      <w:pPr>
        <w:pStyle w:val="4"/>
      </w:pPr>
      <w:r>
        <w:rPr>
          <w:rFonts w:hint="eastAsia"/>
        </w:rPr>
        <w:t>二、评委组成及评审依据</w:t>
      </w:r>
    </w:p>
    <w:p w14:paraId="74F8AEFD">
      <w:pPr>
        <w:pStyle w:val="4"/>
      </w:pPr>
      <w:r>
        <w:rPr>
          <w:rFonts w:hint="eastAsia"/>
          <w:color w:val="000000"/>
        </w:rPr>
        <w:t>（一）评委构成：本项目的评委</w:t>
      </w:r>
      <w:r>
        <w:rPr>
          <w:rFonts w:hint="eastAsia"/>
          <w:color w:val="000000"/>
          <w:lang w:val="en-US" w:eastAsia="zh-CN"/>
        </w:rPr>
        <w:t>从</w:t>
      </w:r>
      <w:r>
        <w:rPr>
          <w:rFonts w:hint="eastAsia"/>
          <w:color w:val="000000"/>
        </w:rPr>
        <w:t>医</w:t>
      </w:r>
      <w:r>
        <w:rPr>
          <w:rFonts w:hint="eastAsia"/>
        </w:rPr>
        <w:t>院</w:t>
      </w:r>
      <w:r>
        <w:rPr>
          <w:rFonts w:hint="eastAsia"/>
          <w:lang w:val="en-US" w:eastAsia="zh-CN"/>
        </w:rPr>
        <w:t>评审专家库抽取</w:t>
      </w:r>
      <w:r>
        <w:rPr>
          <w:rFonts w:hint="eastAsia"/>
        </w:rPr>
        <w:t>。</w:t>
      </w:r>
    </w:p>
    <w:p w14:paraId="035E1DB8">
      <w:pPr>
        <w:pStyle w:val="4"/>
      </w:pPr>
      <w:r>
        <w:rPr>
          <w:rFonts w:hint="eastAsia"/>
        </w:rPr>
        <w:t>（二）评委将以参会文件为评审依据，对供应商的价格、服务方案、专业能力、业绩等方面内容进行打分。合计100分。</w:t>
      </w:r>
    </w:p>
    <w:p w14:paraId="4CA6CE6B">
      <w:pPr>
        <w:pStyle w:val="4"/>
        <w:rPr>
          <w:color w:val="000000"/>
        </w:rPr>
      </w:pPr>
      <w:r>
        <w:rPr>
          <w:rFonts w:hint="eastAsia"/>
        </w:rPr>
        <w:t>三、综合评分的分值表：</w:t>
      </w:r>
    </w:p>
    <w:tbl>
      <w:tblPr>
        <w:tblStyle w:val="8"/>
        <w:tblW w:w="10080" w:type="dxa"/>
        <w:tblInd w:w="-252"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440"/>
        <w:gridCol w:w="905"/>
        <w:gridCol w:w="7735"/>
      </w:tblGrid>
      <w:tr w14:paraId="45A3763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32" w:hRule="atLeast"/>
        </w:trPr>
        <w:tc>
          <w:tcPr>
            <w:tcW w:w="1440" w:type="dxa"/>
            <w:vAlign w:val="center"/>
          </w:tcPr>
          <w:p w14:paraId="3649D004">
            <w:pPr>
              <w:spacing w:line="260" w:lineRule="exact"/>
              <w:jc w:val="center"/>
              <w:rPr>
                <w:rFonts w:ascii="宋体" w:hAnsi="宋体"/>
                <w:b/>
                <w:bCs/>
                <w:color w:val="auto"/>
                <w:szCs w:val="21"/>
                <w:highlight w:val="none"/>
              </w:rPr>
            </w:pPr>
            <w:r>
              <w:rPr>
                <w:rFonts w:hint="eastAsia" w:ascii="宋体" w:hAnsi="宋体"/>
                <w:b/>
                <w:bCs/>
                <w:color w:val="auto"/>
                <w:szCs w:val="21"/>
                <w:highlight w:val="none"/>
              </w:rPr>
              <w:t>项目</w:t>
            </w:r>
          </w:p>
        </w:tc>
        <w:tc>
          <w:tcPr>
            <w:tcW w:w="905" w:type="dxa"/>
            <w:vAlign w:val="center"/>
          </w:tcPr>
          <w:p w14:paraId="48BDE792">
            <w:pPr>
              <w:jc w:val="center"/>
              <w:rPr>
                <w:rFonts w:ascii="宋体" w:hAnsi="宋体"/>
                <w:b/>
                <w:color w:val="auto"/>
                <w:szCs w:val="21"/>
                <w:highlight w:val="none"/>
              </w:rPr>
            </w:pPr>
            <w:r>
              <w:rPr>
                <w:rFonts w:hint="eastAsia" w:ascii="宋体" w:hAnsi="宋体"/>
                <w:b/>
                <w:bCs/>
                <w:color w:val="auto"/>
                <w:szCs w:val="21"/>
                <w:highlight w:val="none"/>
              </w:rPr>
              <w:t>分值</w:t>
            </w:r>
          </w:p>
        </w:tc>
        <w:tc>
          <w:tcPr>
            <w:tcW w:w="7735" w:type="dxa"/>
            <w:vAlign w:val="center"/>
          </w:tcPr>
          <w:p w14:paraId="386995C5">
            <w:pPr>
              <w:jc w:val="center"/>
              <w:rPr>
                <w:rFonts w:ascii="宋体" w:hAnsi="宋体"/>
                <w:b/>
                <w:color w:val="auto"/>
                <w:szCs w:val="21"/>
                <w:highlight w:val="none"/>
              </w:rPr>
            </w:pPr>
            <w:r>
              <w:rPr>
                <w:rFonts w:hint="eastAsia" w:ascii="宋体" w:hAnsi="宋体"/>
                <w:b/>
                <w:bCs/>
                <w:color w:val="auto"/>
                <w:szCs w:val="21"/>
                <w:highlight w:val="none"/>
              </w:rPr>
              <w:t>评分内容</w:t>
            </w:r>
          </w:p>
        </w:tc>
      </w:tr>
      <w:tr w14:paraId="30E526C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72" w:hRule="atLeast"/>
        </w:trPr>
        <w:tc>
          <w:tcPr>
            <w:tcW w:w="1440" w:type="dxa"/>
            <w:vAlign w:val="center"/>
          </w:tcPr>
          <w:p w14:paraId="2AFAF90B">
            <w:pPr>
              <w:spacing w:line="260" w:lineRule="exact"/>
              <w:jc w:val="center"/>
              <w:rPr>
                <w:rFonts w:asciiTheme="minorEastAsia" w:hAnsiTheme="minorEastAsia" w:eastAsiaTheme="minorEastAsia" w:cstheme="minorEastAsia"/>
                <w:color w:val="auto"/>
                <w:sz w:val="24"/>
                <w:highlight w:val="none"/>
              </w:rPr>
            </w:pPr>
            <w:r>
              <w:rPr>
                <w:rFonts w:hint="eastAsia" w:asciiTheme="minorEastAsia" w:hAnsiTheme="minorEastAsia" w:eastAsiaTheme="minorEastAsia" w:cstheme="minorEastAsia"/>
                <w:b/>
                <w:bCs/>
                <w:color w:val="auto"/>
                <w:sz w:val="24"/>
                <w:highlight w:val="none"/>
              </w:rPr>
              <w:t xml:space="preserve">价格分 </w:t>
            </w:r>
          </w:p>
        </w:tc>
        <w:tc>
          <w:tcPr>
            <w:tcW w:w="905" w:type="dxa"/>
            <w:vAlign w:val="center"/>
          </w:tcPr>
          <w:p w14:paraId="7930E566">
            <w:pPr>
              <w:spacing w:line="260" w:lineRule="exact"/>
              <w:jc w:val="center"/>
              <w:rPr>
                <w:rFonts w:asciiTheme="minorEastAsia" w:hAnsiTheme="minorEastAsia" w:eastAsiaTheme="minorEastAsia" w:cstheme="minorEastAsia"/>
                <w:b/>
                <w:bCs/>
                <w:color w:val="auto"/>
                <w:sz w:val="24"/>
                <w:highlight w:val="none"/>
              </w:rPr>
            </w:pPr>
            <w:r>
              <w:rPr>
                <w:rFonts w:asciiTheme="minorEastAsia" w:hAnsiTheme="minorEastAsia" w:eastAsiaTheme="minorEastAsia" w:cstheme="minorEastAsia"/>
                <w:b/>
                <w:bCs/>
                <w:color w:val="auto"/>
                <w:sz w:val="24"/>
                <w:highlight w:val="none"/>
              </w:rPr>
              <w:t>10</w:t>
            </w:r>
            <w:r>
              <w:rPr>
                <w:rFonts w:hint="eastAsia" w:asciiTheme="minorEastAsia" w:hAnsiTheme="minorEastAsia" w:eastAsiaTheme="minorEastAsia" w:cstheme="minorEastAsia"/>
                <w:b/>
                <w:bCs/>
                <w:color w:val="auto"/>
                <w:sz w:val="24"/>
                <w:highlight w:val="none"/>
              </w:rPr>
              <w:t>分</w:t>
            </w:r>
          </w:p>
        </w:tc>
        <w:tc>
          <w:tcPr>
            <w:tcW w:w="7735" w:type="dxa"/>
            <w:vAlign w:val="center"/>
          </w:tcPr>
          <w:p w14:paraId="63DD620E">
            <w:pPr>
              <w:spacing w:line="300" w:lineRule="exact"/>
              <w:rPr>
                <w:rFonts w:ascii="宋体" w:hAnsi="宋体"/>
                <w:color w:val="auto"/>
                <w:szCs w:val="21"/>
                <w:highlight w:val="none"/>
              </w:rPr>
            </w:pPr>
            <w:r>
              <w:rPr>
                <w:rFonts w:hint="eastAsia" w:ascii="宋体" w:hAnsi="宋体"/>
                <w:color w:val="auto"/>
                <w:szCs w:val="21"/>
                <w:highlight w:val="none"/>
              </w:rPr>
              <w:t>1.</w:t>
            </w:r>
            <w:bookmarkStart w:id="0" w:name="_Hlk176961974"/>
            <w:r>
              <w:rPr>
                <w:rFonts w:hint="eastAsia" w:ascii="宋体" w:hAnsi="宋体"/>
                <w:color w:val="auto"/>
                <w:szCs w:val="21"/>
                <w:highlight w:val="none"/>
              </w:rPr>
              <w:t>收费标准参照国家计委《招标代理服务收费管理暂行办法》（计价格[2002]1980号）及发改价格[2011]534号收费标准执行，根据中标金额采用差额定率累进法计算代理服务费。</w:t>
            </w:r>
            <w:bookmarkEnd w:id="0"/>
          </w:p>
          <w:p w14:paraId="3F07916C">
            <w:pPr>
              <w:spacing w:line="300" w:lineRule="exact"/>
              <w:rPr>
                <w:rFonts w:ascii="宋体" w:hAnsi="宋体"/>
                <w:color w:val="auto"/>
                <w:szCs w:val="21"/>
                <w:highlight w:val="none"/>
              </w:rPr>
            </w:pPr>
            <w:r>
              <w:rPr>
                <w:rFonts w:hint="eastAsia" w:ascii="宋体" w:hAnsi="宋体"/>
                <w:color w:val="auto"/>
                <w:szCs w:val="21"/>
                <w:highlight w:val="none"/>
              </w:rPr>
              <w:t>2.</w:t>
            </w:r>
            <w:bookmarkStart w:id="1" w:name="_Hlk173495678"/>
            <w:r>
              <w:rPr>
                <w:rFonts w:hint="eastAsia" w:ascii="宋体" w:hAnsi="宋体"/>
                <w:color w:val="auto"/>
                <w:szCs w:val="21"/>
                <w:highlight w:val="none"/>
              </w:rPr>
              <w:t>各招标代理机构报出价格下浮系数</w:t>
            </w:r>
            <w:bookmarkEnd w:id="1"/>
            <w:r>
              <w:rPr>
                <w:rFonts w:hint="eastAsia" w:ascii="宋体" w:hAnsi="宋体"/>
                <w:color w:val="auto"/>
                <w:szCs w:val="21"/>
                <w:highlight w:val="none"/>
              </w:rPr>
              <w:t>为d1、d2、d3、</w:t>
            </w:r>
            <w:r>
              <w:rPr>
                <w:rFonts w:ascii="宋体" w:hAnsi="宋体"/>
                <w:color w:val="auto"/>
                <w:szCs w:val="21"/>
                <w:highlight w:val="none"/>
              </w:rPr>
              <w:t>…</w:t>
            </w:r>
            <w:r>
              <w:rPr>
                <w:rFonts w:hint="eastAsia" w:ascii="宋体" w:hAnsi="宋体"/>
                <w:color w:val="auto"/>
                <w:szCs w:val="21"/>
                <w:highlight w:val="none"/>
              </w:rPr>
              <w:t>dn，对比各招标代理机构的下浮系数，下浮系数最大者为dmax,得满分</w:t>
            </w:r>
            <w:r>
              <w:rPr>
                <w:rFonts w:ascii="宋体" w:hAnsi="宋体"/>
                <w:color w:val="auto"/>
                <w:szCs w:val="21"/>
                <w:highlight w:val="none"/>
              </w:rPr>
              <w:t>10</w:t>
            </w:r>
            <w:r>
              <w:rPr>
                <w:rFonts w:hint="eastAsia" w:ascii="宋体" w:hAnsi="宋体"/>
                <w:color w:val="auto"/>
                <w:szCs w:val="21"/>
                <w:highlight w:val="none"/>
              </w:rPr>
              <w:t>分，其他招标代理机构的价格分按以下公式计算:</w:t>
            </w:r>
          </w:p>
          <w:p w14:paraId="2062AA03">
            <w:pPr>
              <w:pStyle w:val="13"/>
              <w:rPr>
                <w:rFonts w:hAnsi="宋体" w:cs="Times New Roman"/>
                <w:color w:val="auto"/>
                <w:kern w:val="2"/>
                <w:sz w:val="21"/>
                <w:szCs w:val="21"/>
                <w:highlight w:val="none"/>
              </w:rPr>
            </w:pPr>
            <w:r>
              <w:rPr>
                <w:rFonts w:hint="eastAsia" w:hAnsi="宋体" w:cs="Times New Roman"/>
                <w:color w:val="auto"/>
                <w:kern w:val="2"/>
                <w:sz w:val="21"/>
                <w:szCs w:val="21"/>
                <w:highlight w:val="none"/>
              </w:rPr>
              <w:t>某招标代理机构价格分=【（1-dmax）/（1-dn）】×1</w:t>
            </w:r>
            <w:r>
              <w:rPr>
                <w:rFonts w:hAnsi="宋体" w:cs="Times New Roman"/>
                <w:color w:val="auto"/>
                <w:kern w:val="2"/>
                <w:sz w:val="21"/>
                <w:szCs w:val="21"/>
                <w:highlight w:val="none"/>
              </w:rPr>
              <w:t>0</w:t>
            </w:r>
            <w:r>
              <w:rPr>
                <w:rFonts w:hint="eastAsia" w:hAnsi="宋体" w:cs="Times New Roman"/>
                <w:color w:val="auto"/>
                <w:kern w:val="2"/>
                <w:sz w:val="21"/>
                <w:szCs w:val="21"/>
                <w:highlight w:val="none"/>
              </w:rPr>
              <w:t>分</w:t>
            </w:r>
          </w:p>
          <w:p w14:paraId="402ED635">
            <w:pPr>
              <w:pStyle w:val="13"/>
              <w:rPr>
                <w:rFonts w:hAnsi="宋体"/>
                <w:color w:val="auto"/>
                <w:sz w:val="21"/>
                <w:szCs w:val="21"/>
                <w:highlight w:val="none"/>
              </w:rPr>
            </w:pPr>
            <w:r>
              <w:rPr>
                <w:rFonts w:hint="eastAsia" w:hAnsi="宋体"/>
                <w:color w:val="auto"/>
                <w:sz w:val="21"/>
                <w:szCs w:val="21"/>
                <w:highlight w:val="none"/>
              </w:rPr>
              <w:t>3、代理费包含</w:t>
            </w:r>
            <w:bookmarkStart w:id="2" w:name="_Hlk176947550"/>
            <w:r>
              <w:rPr>
                <w:rFonts w:hint="eastAsia" w:hAnsi="宋体"/>
                <w:color w:val="auto"/>
                <w:sz w:val="21"/>
                <w:szCs w:val="21"/>
                <w:highlight w:val="none"/>
              </w:rPr>
              <w:t>采购需求</w:t>
            </w:r>
            <w:r>
              <w:rPr>
                <w:rFonts w:hint="eastAsia" w:hAnsi="宋体" w:cs="Times New Roman"/>
                <w:color w:val="auto"/>
                <w:kern w:val="2"/>
                <w:sz w:val="21"/>
                <w:szCs w:val="21"/>
                <w:highlight w:val="none"/>
              </w:rPr>
              <w:t>调查</w:t>
            </w:r>
            <w:r>
              <w:rPr>
                <w:rFonts w:hint="eastAsia" w:hAnsi="宋体"/>
                <w:color w:val="auto"/>
                <w:sz w:val="21"/>
                <w:szCs w:val="21"/>
                <w:highlight w:val="none"/>
              </w:rPr>
              <w:t>服务、编制采购实施计划及审查服务 、协助市场调研、进口设备论证，达到公开招标限额的项目组织专家完成招标文件复核论证</w:t>
            </w:r>
            <w:bookmarkEnd w:id="2"/>
            <w:r>
              <w:rPr>
                <w:rFonts w:hint="eastAsia" w:hAnsi="宋体"/>
                <w:color w:val="auto"/>
                <w:sz w:val="21"/>
                <w:szCs w:val="21"/>
                <w:highlight w:val="none"/>
              </w:rPr>
              <w:t>。</w:t>
            </w:r>
          </w:p>
          <w:p w14:paraId="79043153">
            <w:pPr>
              <w:pStyle w:val="13"/>
              <w:rPr>
                <w:rFonts w:hAnsi="宋体"/>
                <w:color w:val="auto"/>
                <w:sz w:val="21"/>
                <w:szCs w:val="21"/>
                <w:highlight w:val="none"/>
              </w:rPr>
            </w:pPr>
          </w:p>
        </w:tc>
      </w:tr>
      <w:tr w14:paraId="09F1CE3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629" w:hRule="atLeast"/>
        </w:trPr>
        <w:tc>
          <w:tcPr>
            <w:tcW w:w="1440" w:type="dxa"/>
            <w:vAlign w:val="center"/>
          </w:tcPr>
          <w:p w14:paraId="620E7032">
            <w:pPr>
              <w:pStyle w:val="13"/>
              <w:rPr>
                <w:rFonts w:asciiTheme="minorEastAsia" w:hAnsiTheme="minorEastAsia" w:eastAsiaTheme="minorEastAsia" w:cstheme="minorEastAsia"/>
                <w:b/>
                <w:bCs/>
                <w:color w:val="auto"/>
                <w:highlight w:val="none"/>
              </w:rPr>
            </w:pPr>
            <w:r>
              <w:rPr>
                <w:rFonts w:hint="eastAsia" w:asciiTheme="minorEastAsia" w:hAnsiTheme="minorEastAsia" w:eastAsiaTheme="minorEastAsia" w:cstheme="minorEastAsia"/>
                <w:b/>
                <w:bCs/>
                <w:color w:val="auto"/>
                <w:highlight w:val="none"/>
              </w:rPr>
              <w:t>服务工作方案及程序</w:t>
            </w:r>
          </w:p>
          <w:p w14:paraId="5EF31351">
            <w:pPr>
              <w:spacing w:line="260" w:lineRule="exact"/>
              <w:jc w:val="center"/>
              <w:rPr>
                <w:rFonts w:asciiTheme="minorEastAsia" w:hAnsiTheme="minorEastAsia" w:eastAsiaTheme="minorEastAsia" w:cstheme="minorEastAsia"/>
                <w:color w:val="auto"/>
                <w:sz w:val="24"/>
                <w:highlight w:val="none"/>
              </w:rPr>
            </w:pPr>
          </w:p>
        </w:tc>
        <w:tc>
          <w:tcPr>
            <w:tcW w:w="905" w:type="dxa"/>
            <w:vAlign w:val="center"/>
          </w:tcPr>
          <w:p w14:paraId="2E38EC82">
            <w:pPr>
              <w:spacing w:line="260" w:lineRule="exact"/>
              <w:jc w:val="center"/>
              <w:rPr>
                <w:rFonts w:asciiTheme="minorEastAsia" w:hAnsiTheme="minorEastAsia" w:eastAsiaTheme="minorEastAsia" w:cstheme="minorEastAsia"/>
                <w:color w:val="auto"/>
                <w:sz w:val="24"/>
                <w:highlight w:val="none"/>
              </w:rPr>
            </w:pPr>
            <w:r>
              <w:rPr>
                <w:rFonts w:hint="eastAsia" w:asciiTheme="minorEastAsia" w:hAnsiTheme="minorEastAsia" w:eastAsiaTheme="minorEastAsia" w:cstheme="minorEastAsia"/>
                <w:b/>
                <w:bCs/>
                <w:color w:val="auto"/>
                <w:sz w:val="24"/>
                <w:highlight w:val="none"/>
              </w:rPr>
              <w:t>24分</w:t>
            </w:r>
          </w:p>
        </w:tc>
        <w:tc>
          <w:tcPr>
            <w:tcW w:w="7735" w:type="dxa"/>
            <w:vAlign w:val="center"/>
          </w:tcPr>
          <w:p w14:paraId="58D60826">
            <w:pPr>
              <w:pStyle w:val="13"/>
              <w:rPr>
                <w:rFonts w:hAnsi="宋体" w:cs="Times New Roman"/>
                <w:b/>
                <w:bCs/>
                <w:color w:val="auto"/>
                <w:kern w:val="2"/>
                <w:sz w:val="21"/>
                <w:szCs w:val="21"/>
                <w:highlight w:val="none"/>
              </w:rPr>
            </w:pPr>
            <w:r>
              <w:rPr>
                <w:rFonts w:hint="eastAsia" w:hAnsi="宋体" w:cs="Times New Roman"/>
                <w:b/>
                <w:bCs/>
                <w:color w:val="auto"/>
                <w:kern w:val="2"/>
                <w:sz w:val="21"/>
                <w:szCs w:val="21"/>
                <w:highlight w:val="none"/>
              </w:rPr>
              <w:t>（1）采购工作方案（满分12分）</w:t>
            </w:r>
          </w:p>
          <w:p w14:paraId="26037A3D">
            <w:pPr>
              <w:pStyle w:val="13"/>
              <w:rPr>
                <w:rFonts w:hAnsi="宋体" w:cs="Times New Roman"/>
                <w:color w:val="auto"/>
                <w:kern w:val="2"/>
                <w:sz w:val="21"/>
                <w:szCs w:val="21"/>
                <w:highlight w:val="none"/>
              </w:rPr>
            </w:pPr>
            <w:r>
              <w:rPr>
                <w:rFonts w:hint="eastAsia" w:hAnsi="宋体" w:cs="Times New Roman"/>
                <w:color w:val="auto"/>
                <w:kern w:val="2"/>
                <w:sz w:val="21"/>
                <w:szCs w:val="21"/>
                <w:highlight w:val="none"/>
              </w:rPr>
              <w:t>一档（4分 ）：对医院采购工作了解一般，采购工作目标、工作内容等有简单认识和简单方案；</w:t>
            </w:r>
          </w:p>
          <w:p w14:paraId="6E75473B">
            <w:pPr>
              <w:pStyle w:val="13"/>
              <w:rPr>
                <w:rFonts w:hAnsi="宋体" w:cs="Times New Roman"/>
                <w:color w:val="auto"/>
                <w:kern w:val="2"/>
                <w:sz w:val="21"/>
                <w:szCs w:val="21"/>
                <w:highlight w:val="none"/>
              </w:rPr>
            </w:pPr>
            <w:r>
              <w:rPr>
                <w:rFonts w:hint="eastAsia" w:hAnsi="宋体" w:cs="Times New Roman"/>
                <w:color w:val="auto"/>
                <w:kern w:val="2"/>
                <w:sz w:val="21"/>
                <w:szCs w:val="21"/>
                <w:highlight w:val="none"/>
              </w:rPr>
              <w:t>二档（8分 ）：对医院采购情况比较熟悉，对采购工作目标、工作内容等有较好的认识，工作方案较为具体可行，对采购文件，采购过程及采购公告质量有一定把控，能满足医院采购需求；</w:t>
            </w:r>
          </w:p>
          <w:p w14:paraId="243A90CE">
            <w:pPr>
              <w:pStyle w:val="13"/>
              <w:rPr>
                <w:rFonts w:hAnsi="宋体" w:cs="Times New Roman"/>
                <w:color w:val="auto"/>
                <w:kern w:val="2"/>
                <w:sz w:val="21"/>
                <w:szCs w:val="21"/>
                <w:highlight w:val="none"/>
              </w:rPr>
            </w:pPr>
            <w:r>
              <w:rPr>
                <w:rFonts w:hint="eastAsia" w:hAnsi="宋体" w:cs="Times New Roman"/>
                <w:color w:val="auto"/>
                <w:kern w:val="2"/>
                <w:sz w:val="21"/>
                <w:szCs w:val="21"/>
                <w:highlight w:val="none"/>
              </w:rPr>
              <w:t>三档（12分）：对医院采购管理、流程有深入理解，经验丰富，能提供具体针对性方案，有关认识和措施非常详细和到位，重点、难点突出，服务优势明显，凭借专业特长，为采购人提供增值服务，确保采购文件，采购过程及采购公告质量，完全能满足医院采购需求。</w:t>
            </w:r>
          </w:p>
          <w:p w14:paraId="75D1F7BD">
            <w:pPr>
              <w:pStyle w:val="13"/>
              <w:rPr>
                <w:rFonts w:hAnsi="宋体" w:cs="Times New Roman"/>
                <w:color w:val="auto"/>
                <w:kern w:val="2"/>
                <w:sz w:val="21"/>
                <w:szCs w:val="21"/>
                <w:highlight w:val="none"/>
              </w:rPr>
            </w:pPr>
            <w:r>
              <w:rPr>
                <w:rFonts w:hint="eastAsia" w:hAnsi="宋体" w:cs="Times New Roman"/>
                <w:b/>
                <w:bCs/>
                <w:color w:val="auto"/>
                <w:kern w:val="2"/>
                <w:sz w:val="21"/>
                <w:szCs w:val="21"/>
                <w:highlight w:val="none"/>
              </w:rPr>
              <w:t>（2）采购需求管理实施方案及审查方案（满分12分）</w:t>
            </w:r>
            <w:r>
              <w:rPr>
                <w:rFonts w:hint="eastAsia" w:hAnsi="宋体" w:cs="Times New Roman"/>
                <w:color w:val="auto"/>
                <w:kern w:val="2"/>
                <w:sz w:val="21"/>
                <w:szCs w:val="21"/>
                <w:highlight w:val="none"/>
              </w:rPr>
              <w:t>：</w:t>
            </w:r>
          </w:p>
          <w:p w14:paraId="131A03C0">
            <w:pPr>
              <w:pStyle w:val="13"/>
              <w:rPr>
                <w:rFonts w:hAnsi="宋体" w:cs="Times New Roman"/>
                <w:color w:val="auto"/>
                <w:kern w:val="2"/>
                <w:sz w:val="21"/>
                <w:szCs w:val="21"/>
                <w:highlight w:val="none"/>
              </w:rPr>
            </w:pPr>
            <w:r>
              <w:rPr>
                <w:rFonts w:hint="eastAsia" w:hAnsi="宋体" w:cs="Times New Roman"/>
                <w:color w:val="auto"/>
                <w:kern w:val="2"/>
                <w:sz w:val="21"/>
                <w:szCs w:val="21"/>
                <w:highlight w:val="none"/>
              </w:rPr>
              <w:t>一档（4分 ）：对项目采购需求管理及审查特点基本了解，缺乏准确性和全面性，有简单实施方案；</w:t>
            </w:r>
          </w:p>
          <w:p w14:paraId="680E9A6A">
            <w:pPr>
              <w:pStyle w:val="13"/>
              <w:rPr>
                <w:rFonts w:hAnsi="宋体" w:cs="Times New Roman"/>
                <w:color w:val="auto"/>
                <w:kern w:val="2"/>
                <w:sz w:val="21"/>
                <w:szCs w:val="21"/>
                <w:highlight w:val="none"/>
              </w:rPr>
            </w:pPr>
            <w:r>
              <w:rPr>
                <w:rFonts w:hint="eastAsia" w:hAnsi="宋体" w:cs="Times New Roman"/>
                <w:color w:val="auto"/>
                <w:kern w:val="2"/>
                <w:sz w:val="21"/>
                <w:szCs w:val="21"/>
                <w:highlight w:val="none"/>
              </w:rPr>
              <w:t>二档（8分 ）：对采购需求管理及审查特点理解较为全面，有基本可行的实施方案；</w:t>
            </w:r>
          </w:p>
          <w:p w14:paraId="177BF850">
            <w:pPr>
              <w:pStyle w:val="13"/>
              <w:rPr>
                <w:rFonts w:hAnsi="宋体" w:cs="Times New Roman"/>
                <w:color w:val="auto"/>
                <w:kern w:val="2"/>
                <w:sz w:val="21"/>
                <w:szCs w:val="21"/>
                <w:highlight w:val="none"/>
              </w:rPr>
            </w:pPr>
            <w:r>
              <w:rPr>
                <w:rFonts w:hint="eastAsia" w:hAnsi="宋体" w:cs="Times New Roman"/>
                <w:color w:val="auto"/>
                <w:kern w:val="2"/>
                <w:sz w:val="21"/>
                <w:szCs w:val="21"/>
                <w:highlight w:val="none"/>
              </w:rPr>
              <w:t>三档（12分）：对采购需求管理及审查特点理解全面、有针对性，有详细的、切实可行的实施方案，措施到位，确保采购需求合法合规，完全满足服务需要。</w:t>
            </w:r>
          </w:p>
        </w:tc>
      </w:tr>
      <w:tr w14:paraId="1681412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34" w:hRule="atLeast"/>
        </w:trPr>
        <w:tc>
          <w:tcPr>
            <w:tcW w:w="1440" w:type="dxa"/>
            <w:vAlign w:val="center"/>
          </w:tcPr>
          <w:p w14:paraId="1C819DFA">
            <w:pPr>
              <w:pStyle w:val="13"/>
              <w:rPr>
                <w:rFonts w:asciiTheme="majorEastAsia" w:hAnsiTheme="majorEastAsia" w:eastAsiaTheme="majorEastAsia" w:cstheme="majorEastAsia"/>
                <w:b/>
                <w:bCs/>
                <w:color w:val="auto"/>
                <w:highlight w:val="none"/>
              </w:rPr>
            </w:pPr>
            <w:r>
              <w:rPr>
                <w:rFonts w:hint="eastAsia" w:asciiTheme="majorEastAsia" w:hAnsiTheme="majorEastAsia" w:eastAsiaTheme="majorEastAsia" w:cstheme="majorEastAsia"/>
                <w:b/>
                <w:bCs/>
                <w:color w:val="auto"/>
                <w:highlight w:val="none"/>
              </w:rPr>
              <w:t>服务承诺、廉政廉洁承诺</w:t>
            </w:r>
          </w:p>
          <w:p w14:paraId="339652EB">
            <w:pPr>
              <w:spacing w:line="260" w:lineRule="exact"/>
              <w:jc w:val="center"/>
              <w:rPr>
                <w:rFonts w:asciiTheme="majorEastAsia" w:hAnsiTheme="majorEastAsia" w:eastAsiaTheme="majorEastAsia" w:cstheme="majorEastAsia"/>
                <w:color w:val="auto"/>
                <w:sz w:val="24"/>
                <w:highlight w:val="none"/>
              </w:rPr>
            </w:pPr>
          </w:p>
        </w:tc>
        <w:tc>
          <w:tcPr>
            <w:tcW w:w="905" w:type="dxa"/>
            <w:vAlign w:val="center"/>
          </w:tcPr>
          <w:p w14:paraId="28F7C5B5">
            <w:pPr>
              <w:spacing w:line="260" w:lineRule="exact"/>
              <w:jc w:val="center"/>
              <w:rPr>
                <w:rFonts w:asciiTheme="majorEastAsia" w:hAnsiTheme="majorEastAsia" w:eastAsiaTheme="majorEastAsia" w:cstheme="majorEastAsia"/>
                <w:color w:val="auto"/>
                <w:sz w:val="24"/>
                <w:highlight w:val="none"/>
              </w:rPr>
            </w:pPr>
            <w:r>
              <w:rPr>
                <w:rFonts w:asciiTheme="majorEastAsia" w:hAnsiTheme="majorEastAsia" w:eastAsiaTheme="majorEastAsia" w:cstheme="majorEastAsia"/>
                <w:b/>
                <w:bCs/>
                <w:color w:val="auto"/>
                <w:sz w:val="24"/>
                <w:highlight w:val="none"/>
              </w:rPr>
              <w:t>10</w:t>
            </w:r>
            <w:r>
              <w:rPr>
                <w:rFonts w:hint="eastAsia" w:asciiTheme="majorEastAsia" w:hAnsiTheme="majorEastAsia" w:eastAsiaTheme="majorEastAsia" w:cstheme="majorEastAsia"/>
                <w:b/>
                <w:bCs/>
                <w:color w:val="auto"/>
                <w:sz w:val="24"/>
                <w:highlight w:val="none"/>
              </w:rPr>
              <w:t>分</w:t>
            </w:r>
          </w:p>
        </w:tc>
        <w:tc>
          <w:tcPr>
            <w:tcW w:w="7735" w:type="dxa"/>
            <w:vAlign w:val="center"/>
          </w:tcPr>
          <w:p w14:paraId="44687D68">
            <w:pPr>
              <w:pStyle w:val="13"/>
              <w:rPr>
                <w:rFonts w:hAnsi="宋体" w:cs="Times New Roman"/>
                <w:color w:val="auto"/>
                <w:kern w:val="2"/>
                <w:sz w:val="21"/>
                <w:szCs w:val="21"/>
                <w:highlight w:val="none"/>
              </w:rPr>
            </w:pPr>
            <w:r>
              <w:rPr>
                <w:rFonts w:hint="eastAsia" w:hAnsi="宋体" w:cs="Times New Roman"/>
                <w:b/>
                <w:bCs/>
                <w:color w:val="auto"/>
                <w:kern w:val="2"/>
                <w:sz w:val="21"/>
                <w:szCs w:val="21"/>
                <w:highlight w:val="none"/>
              </w:rPr>
              <w:t>（1） 服务承诺分（满分</w:t>
            </w:r>
            <w:r>
              <w:rPr>
                <w:rFonts w:hAnsi="宋体" w:cs="Times New Roman"/>
                <w:b/>
                <w:bCs/>
                <w:color w:val="auto"/>
                <w:kern w:val="2"/>
                <w:sz w:val="21"/>
                <w:szCs w:val="21"/>
                <w:highlight w:val="none"/>
              </w:rPr>
              <w:t>3</w:t>
            </w:r>
            <w:r>
              <w:rPr>
                <w:rFonts w:hint="eastAsia" w:hAnsi="宋体" w:cs="Times New Roman"/>
                <w:b/>
                <w:bCs/>
                <w:color w:val="auto"/>
                <w:kern w:val="2"/>
                <w:sz w:val="21"/>
                <w:szCs w:val="21"/>
                <w:highlight w:val="none"/>
              </w:rPr>
              <w:t>分）</w:t>
            </w:r>
            <w:r>
              <w:rPr>
                <w:rFonts w:hint="eastAsia" w:hAnsi="宋体" w:cs="Times New Roman"/>
                <w:color w:val="auto"/>
                <w:kern w:val="2"/>
                <w:sz w:val="21"/>
                <w:szCs w:val="21"/>
                <w:highlight w:val="none"/>
              </w:rPr>
              <w:t>：</w:t>
            </w:r>
          </w:p>
          <w:p w14:paraId="779FD1A6">
            <w:pPr>
              <w:pStyle w:val="13"/>
              <w:rPr>
                <w:rFonts w:hAnsi="宋体" w:cs="Times New Roman"/>
                <w:color w:val="auto"/>
                <w:kern w:val="2"/>
                <w:sz w:val="21"/>
                <w:szCs w:val="21"/>
                <w:highlight w:val="none"/>
              </w:rPr>
            </w:pPr>
            <w:r>
              <w:rPr>
                <w:rFonts w:hint="eastAsia" w:hAnsi="宋体" w:cs="Times New Roman"/>
                <w:color w:val="auto"/>
                <w:kern w:val="2"/>
                <w:sz w:val="21"/>
                <w:szCs w:val="21"/>
                <w:highlight w:val="none"/>
              </w:rPr>
              <w:t>一档（1分）：有服务承诺，基本内容具备，基本满足服务要求；</w:t>
            </w:r>
          </w:p>
          <w:p w14:paraId="493AC976">
            <w:pPr>
              <w:pStyle w:val="13"/>
              <w:rPr>
                <w:rFonts w:hAnsi="宋体" w:cs="Times New Roman"/>
                <w:color w:val="auto"/>
                <w:kern w:val="2"/>
                <w:sz w:val="21"/>
                <w:szCs w:val="21"/>
                <w:highlight w:val="none"/>
              </w:rPr>
            </w:pPr>
            <w:r>
              <w:rPr>
                <w:rFonts w:hint="eastAsia" w:hAnsi="宋体" w:cs="Times New Roman"/>
                <w:color w:val="auto"/>
                <w:kern w:val="2"/>
                <w:sz w:val="21"/>
                <w:szCs w:val="21"/>
                <w:highlight w:val="none"/>
              </w:rPr>
              <w:t>二档（2分）：服务承诺具体，服务保障较好，能满足服务需要；</w:t>
            </w:r>
          </w:p>
          <w:p w14:paraId="6F4F8CF4">
            <w:pPr>
              <w:pStyle w:val="13"/>
              <w:rPr>
                <w:rFonts w:hAnsi="宋体" w:cs="Times New Roman"/>
                <w:color w:val="auto"/>
                <w:kern w:val="2"/>
                <w:sz w:val="21"/>
                <w:szCs w:val="21"/>
                <w:highlight w:val="none"/>
              </w:rPr>
            </w:pPr>
            <w:r>
              <w:rPr>
                <w:rFonts w:hint="eastAsia" w:hAnsi="宋体" w:cs="Times New Roman"/>
                <w:color w:val="auto"/>
                <w:kern w:val="2"/>
                <w:sz w:val="21"/>
                <w:szCs w:val="21"/>
                <w:highlight w:val="none"/>
              </w:rPr>
              <w:t>三档（</w:t>
            </w:r>
            <w:r>
              <w:rPr>
                <w:rFonts w:hAnsi="宋体" w:cs="Times New Roman"/>
                <w:color w:val="auto"/>
                <w:kern w:val="2"/>
                <w:sz w:val="21"/>
                <w:szCs w:val="21"/>
                <w:highlight w:val="none"/>
              </w:rPr>
              <w:t>3</w:t>
            </w:r>
            <w:r>
              <w:rPr>
                <w:rFonts w:hint="eastAsia" w:hAnsi="宋体" w:cs="Times New Roman"/>
                <w:color w:val="auto"/>
                <w:kern w:val="2"/>
                <w:sz w:val="21"/>
                <w:szCs w:val="21"/>
                <w:highlight w:val="none"/>
              </w:rPr>
              <w:t>分）：服务承诺具体，服务保障措施全面可行，完全满足服务需要。</w:t>
            </w:r>
          </w:p>
          <w:p w14:paraId="59DF6BB8">
            <w:pPr>
              <w:pStyle w:val="13"/>
              <w:rPr>
                <w:rFonts w:hAnsi="宋体" w:cs="Times New Roman"/>
                <w:color w:val="auto"/>
                <w:kern w:val="2"/>
                <w:sz w:val="21"/>
                <w:szCs w:val="21"/>
                <w:highlight w:val="none"/>
              </w:rPr>
            </w:pPr>
            <w:r>
              <w:rPr>
                <w:rFonts w:hint="eastAsia" w:hAnsi="宋体" w:cs="Times New Roman"/>
                <w:b/>
                <w:bCs/>
                <w:color w:val="auto"/>
                <w:kern w:val="2"/>
                <w:sz w:val="21"/>
                <w:szCs w:val="21"/>
                <w:highlight w:val="none"/>
              </w:rPr>
              <w:t>（2）廉政廉洁承诺（满分</w:t>
            </w:r>
            <w:r>
              <w:rPr>
                <w:rFonts w:hAnsi="宋体" w:cs="Times New Roman"/>
                <w:b/>
                <w:bCs/>
                <w:color w:val="auto"/>
                <w:kern w:val="2"/>
                <w:sz w:val="21"/>
                <w:szCs w:val="21"/>
                <w:highlight w:val="none"/>
              </w:rPr>
              <w:t>5</w:t>
            </w:r>
            <w:r>
              <w:rPr>
                <w:rFonts w:hint="eastAsia" w:hAnsi="宋体" w:cs="Times New Roman"/>
                <w:b/>
                <w:bCs/>
                <w:color w:val="auto"/>
                <w:kern w:val="2"/>
                <w:sz w:val="21"/>
                <w:szCs w:val="21"/>
                <w:highlight w:val="none"/>
              </w:rPr>
              <w:t>分）</w:t>
            </w:r>
            <w:r>
              <w:rPr>
                <w:rFonts w:hint="eastAsia" w:hAnsi="宋体" w:cs="Times New Roman"/>
                <w:color w:val="auto"/>
                <w:kern w:val="2"/>
                <w:sz w:val="21"/>
                <w:szCs w:val="21"/>
                <w:highlight w:val="none"/>
              </w:rPr>
              <w:t>：</w:t>
            </w:r>
          </w:p>
          <w:p w14:paraId="6B344E14">
            <w:pPr>
              <w:pStyle w:val="13"/>
              <w:rPr>
                <w:rFonts w:hAnsi="宋体" w:cs="Times New Roman"/>
                <w:color w:val="auto"/>
                <w:kern w:val="2"/>
                <w:sz w:val="21"/>
                <w:szCs w:val="21"/>
                <w:highlight w:val="none"/>
              </w:rPr>
            </w:pPr>
            <w:r>
              <w:rPr>
                <w:rFonts w:hint="eastAsia" w:hAnsi="宋体" w:cs="Times New Roman"/>
                <w:color w:val="auto"/>
                <w:kern w:val="2"/>
                <w:sz w:val="21"/>
                <w:szCs w:val="21"/>
                <w:highlight w:val="none"/>
              </w:rPr>
              <w:t>一档（1分）：有廉政管理措施及制度；</w:t>
            </w:r>
          </w:p>
          <w:p w14:paraId="50A4461B">
            <w:pPr>
              <w:pStyle w:val="13"/>
              <w:rPr>
                <w:rFonts w:hAnsi="宋体" w:cs="Times New Roman"/>
                <w:color w:val="auto"/>
                <w:kern w:val="2"/>
                <w:sz w:val="21"/>
                <w:szCs w:val="21"/>
                <w:highlight w:val="none"/>
              </w:rPr>
            </w:pPr>
            <w:r>
              <w:rPr>
                <w:rFonts w:hint="eastAsia" w:hAnsi="宋体" w:cs="Times New Roman"/>
                <w:color w:val="auto"/>
                <w:kern w:val="2"/>
                <w:sz w:val="21"/>
                <w:szCs w:val="21"/>
                <w:highlight w:val="none"/>
              </w:rPr>
              <w:t>二档（</w:t>
            </w:r>
            <w:r>
              <w:rPr>
                <w:rFonts w:hAnsi="宋体" w:cs="Times New Roman"/>
                <w:color w:val="auto"/>
                <w:kern w:val="2"/>
                <w:sz w:val="21"/>
                <w:szCs w:val="21"/>
                <w:highlight w:val="none"/>
              </w:rPr>
              <w:t>3</w:t>
            </w:r>
            <w:r>
              <w:rPr>
                <w:rFonts w:hint="eastAsia" w:hAnsi="宋体" w:cs="Times New Roman"/>
                <w:color w:val="auto"/>
                <w:kern w:val="2"/>
                <w:sz w:val="21"/>
                <w:szCs w:val="21"/>
                <w:highlight w:val="none"/>
              </w:rPr>
              <w:t>分）：有较为具体的廉政管理措施及制度，符合采购人服务需求；</w:t>
            </w:r>
          </w:p>
          <w:p w14:paraId="492268ED">
            <w:pPr>
              <w:pStyle w:val="13"/>
              <w:rPr>
                <w:rFonts w:hAnsi="宋体"/>
                <w:color w:val="auto"/>
                <w:highlight w:val="none"/>
              </w:rPr>
            </w:pPr>
            <w:r>
              <w:rPr>
                <w:rFonts w:hint="eastAsia" w:hAnsi="宋体" w:cs="Times New Roman"/>
                <w:color w:val="auto"/>
                <w:kern w:val="2"/>
                <w:sz w:val="21"/>
                <w:szCs w:val="21"/>
                <w:highlight w:val="none"/>
              </w:rPr>
              <w:t>三档（</w:t>
            </w:r>
            <w:r>
              <w:rPr>
                <w:rFonts w:hAnsi="宋体" w:cs="Times New Roman"/>
                <w:color w:val="auto"/>
                <w:kern w:val="2"/>
                <w:sz w:val="21"/>
                <w:szCs w:val="21"/>
                <w:highlight w:val="none"/>
              </w:rPr>
              <w:t>5</w:t>
            </w:r>
            <w:r>
              <w:rPr>
                <w:rFonts w:hint="eastAsia" w:hAnsi="宋体" w:cs="Times New Roman"/>
                <w:color w:val="auto"/>
                <w:kern w:val="2"/>
                <w:sz w:val="21"/>
                <w:szCs w:val="21"/>
                <w:highlight w:val="none"/>
              </w:rPr>
              <w:t>分）：廉政廉洁管理措施和制度健全，保障措施全面可行，完全满足采购人服务需求。</w:t>
            </w:r>
          </w:p>
          <w:p w14:paraId="45D3D7B1">
            <w:pPr>
              <w:pStyle w:val="4"/>
              <w:numPr>
                <w:ilvl w:val="0"/>
                <w:numId w:val="1"/>
              </w:numPr>
              <w:rPr>
                <w:b/>
                <w:bCs/>
                <w:color w:val="auto"/>
                <w:highlight w:val="none"/>
              </w:rPr>
            </w:pPr>
            <w:r>
              <w:rPr>
                <w:rFonts w:hint="eastAsia"/>
                <w:b/>
                <w:bCs/>
                <w:color w:val="auto"/>
                <w:highlight w:val="none"/>
              </w:rPr>
              <w:t>其他承诺（满分</w:t>
            </w:r>
            <w:r>
              <w:rPr>
                <w:b/>
                <w:bCs/>
                <w:color w:val="auto"/>
                <w:highlight w:val="none"/>
              </w:rPr>
              <w:t>2</w:t>
            </w:r>
            <w:r>
              <w:rPr>
                <w:rFonts w:hint="eastAsia"/>
                <w:b/>
                <w:bCs/>
                <w:color w:val="auto"/>
                <w:highlight w:val="none"/>
              </w:rPr>
              <w:t>分）：</w:t>
            </w:r>
          </w:p>
          <w:p w14:paraId="081A2F4D">
            <w:pPr>
              <w:pStyle w:val="4"/>
              <w:jc w:val="left"/>
              <w:rPr>
                <w:rFonts w:ascii="Arial" w:hAnsi="Arial" w:cs="Arial"/>
                <w:color w:val="auto"/>
                <w:highlight w:val="none"/>
              </w:rPr>
            </w:pPr>
            <w:r>
              <w:rPr>
                <w:rFonts w:ascii="Arial" w:hAnsi="Arial" w:cs="Arial"/>
                <w:color w:val="auto"/>
                <w:highlight w:val="none"/>
              </w:rPr>
              <w:t>1.</w:t>
            </w:r>
            <w:bookmarkStart w:id="3" w:name="_Hlk176966767"/>
            <w:r>
              <w:rPr>
                <w:rFonts w:hint="eastAsia" w:ascii="Arial" w:hAnsi="Arial" w:cs="Arial"/>
                <w:color w:val="auto"/>
                <w:highlight w:val="none"/>
              </w:rPr>
              <w:t>代理机构</w:t>
            </w:r>
            <w:bookmarkEnd w:id="3"/>
            <w:r>
              <w:rPr>
                <w:rFonts w:ascii="Arial" w:hAnsi="Arial" w:cs="Arial"/>
                <w:color w:val="auto"/>
                <w:highlight w:val="none"/>
              </w:rPr>
              <w:t>承诺后续为医院提供采购代理服务的</w:t>
            </w:r>
            <w:r>
              <w:rPr>
                <w:rFonts w:hint="eastAsia" w:ascii="Arial" w:hAnsi="Arial" w:cs="Arial"/>
                <w:color w:val="auto"/>
                <w:highlight w:val="none"/>
              </w:rPr>
              <w:t>团队</w:t>
            </w:r>
            <w:r>
              <w:rPr>
                <w:rFonts w:ascii="Arial" w:hAnsi="Arial" w:cs="Arial"/>
                <w:color w:val="auto"/>
                <w:highlight w:val="none"/>
              </w:rPr>
              <w:t>人员</w:t>
            </w:r>
            <w:r>
              <w:rPr>
                <w:rFonts w:hint="eastAsia" w:ascii="Arial" w:hAnsi="Arial" w:cs="Arial"/>
                <w:color w:val="auto"/>
                <w:highlight w:val="none"/>
              </w:rPr>
              <w:t>稳定，</w:t>
            </w:r>
            <w:r>
              <w:rPr>
                <w:rFonts w:ascii="Arial" w:hAnsi="Arial" w:cs="Arial"/>
                <w:color w:val="auto"/>
                <w:highlight w:val="none"/>
              </w:rPr>
              <w:t>提供承诺函得1分。</w:t>
            </w:r>
          </w:p>
          <w:p w14:paraId="4820343F">
            <w:pPr>
              <w:pStyle w:val="4"/>
              <w:rPr>
                <w:b/>
                <w:bCs/>
                <w:color w:val="auto"/>
                <w:highlight w:val="none"/>
              </w:rPr>
            </w:pPr>
            <w:r>
              <w:rPr>
                <w:rFonts w:ascii="Arial" w:hAnsi="Arial" w:cs="Arial"/>
                <w:color w:val="auto"/>
                <w:highlight w:val="none"/>
              </w:rPr>
              <w:t>2.</w:t>
            </w:r>
            <w:r>
              <w:rPr>
                <w:rFonts w:hint="eastAsia" w:ascii="Arial" w:hAnsi="Arial" w:cs="Arial"/>
                <w:color w:val="auto"/>
                <w:highlight w:val="none"/>
              </w:rPr>
              <w:t>代理机构</w:t>
            </w:r>
            <w:r>
              <w:rPr>
                <w:rFonts w:ascii="Arial" w:hAnsi="Arial" w:cs="Arial"/>
                <w:color w:val="auto"/>
                <w:highlight w:val="none"/>
              </w:rPr>
              <w:t>承诺</w:t>
            </w:r>
            <w:r>
              <w:rPr>
                <w:rFonts w:hint="eastAsia" w:ascii="Arial" w:hAnsi="Arial" w:cs="Arial"/>
                <w:color w:val="auto"/>
                <w:highlight w:val="none"/>
              </w:rPr>
              <w:t>在服务期间</w:t>
            </w:r>
            <w:r>
              <w:rPr>
                <w:rFonts w:ascii="Arial" w:hAnsi="Arial" w:cs="Arial"/>
                <w:color w:val="auto"/>
                <w:highlight w:val="none"/>
              </w:rPr>
              <w:t>严格</w:t>
            </w:r>
            <w:r>
              <w:rPr>
                <w:rFonts w:hint="eastAsia" w:ascii="Arial" w:hAnsi="Arial" w:cs="Arial"/>
                <w:color w:val="auto"/>
                <w:highlight w:val="none"/>
              </w:rPr>
              <w:t>依法依规合理收取费用，不多收费，不巧立名目乱收费</w:t>
            </w:r>
            <w:r>
              <w:rPr>
                <w:rFonts w:ascii="Arial" w:hAnsi="Arial" w:cs="Arial"/>
                <w:color w:val="auto"/>
                <w:highlight w:val="none"/>
              </w:rPr>
              <w:t>，提供承诺函得1分。</w:t>
            </w:r>
          </w:p>
        </w:tc>
      </w:tr>
      <w:tr w14:paraId="4854955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578" w:hRule="atLeast"/>
        </w:trPr>
        <w:tc>
          <w:tcPr>
            <w:tcW w:w="1440" w:type="dxa"/>
            <w:vAlign w:val="center"/>
          </w:tcPr>
          <w:p w14:paraId="32672AC5">
            <w:pPr>
              <w:pStyle w:val="13"/>
              <w:rPr>
                <w:rFonts w:asciiTheme="majorEastAsia" w:hAnsiTheme="majorEastAsia" w:eastAsiaTheme="majorEastAsia" w:cstheme="majorEastAsia"/>
                <w:b/>
                <w:bCs/>
                <w:color w:val="auto"/>
                <w:highlight w:val="none"/>
              </w:rPr>
            </w:pPr>
            <w:r>
              <w:rPr>
                <w:rFonts w:hint="eastAsia" w:asciiTheme="majorEastAsia" w:hAnsiTheme="majorEastAsia" w:eastAsiaTheme="majorEastAsia" w:cstheme="majorEastAsia"/>
                <w:b/>
                <w:bCs/>
                <w:color w:val="auto"/>
                <w:highlight w:val="none"/>
              </w:rPr>
              <w:t>质疑投诉解决方案</w:t>
            </w:r>
          </w:p>
        </w:tc>
        <w:tc>
          <w:tcPr>
            <w:tcW w:w="905" w:type="dxa"/>
            <w:vAlign w:val="center"/>
          </w:tcPr>
          <w:p w14:paraId="3AE09EC9">
            <w:pPr>
              <w:spacing w:line="260" w:lineRule="exact"/>
              <w:jc w:val="center"/>
              <w:rPr>
                <w:rFonts w:asciiTheme="majorEastAsia" w:hAnsiTheme="majorEastAsia" w:eastAsiaTheme="majorEastAsia" w:cstheme="majorEastAsia"/>
                <w:b/>
                <w:bCs/>
                <w:color w:val="auto"/>
                <w:sz w:val="24"/>
                <w:highlight w:val="none"/>
              </w:rPr>
            </w:pPr>
            <w:r>
              <w:rPr>
                <w:rFonts w:hint="eastAsia" w:asciiTheme="majorEastAsia" w:hAnsiTheme="majorEastAsia" w:eastAsiaTheme="majorEastAsia" w:cstheme="majorEastAsia"/>
                <w:b/>
                <w:bCs/>
                <w:color w:val="auto"/>
                <w:sz w:val="24"/>
                <w:highlight w:val="none"/>
                <w:lang w:val="en-US" w:eastAsia="zh-CN"/>
              </w:rPr>
              <w:t>5</w:t>
            </w:r>
            <w:r>
              <w:rPr>
                <w:rFonts w:hint="eastAsia" w:asciiTheme="majorEastAsia" w:hAnsiTheme="majorEastAsia" w:eastAsiaTheme="majorEastAsia" w:cstheme="majorEastAsia"/>
                <w:b/>
                <w:bCs/>
                <w:color w:val="auto"/>
                <w:sz w:val="24"/>
                <w:highlight w:val="none"/>
              </w:rPr>
              <w:t>分</w:t>
            </w:r>
          </w:p>
        </w:tc>
        <w:tc>
          <w:tcPr>
            <w:tcW w:w="7735" w:type="dxa"/>
            <w:vAlign w:val="center"/>
          </w:tcPr>
          <w:p w14:paraId="30E831E8">
            <w:pPr>
              <w:pStyle w:val="4"/>
              <w:rPr>
                <w:color w:val="auto"/>
                <w:highlight w:val="none"/>
              </w:rPr>
            </w:pPr>
            <w:r>
              <w:rPr>
                <w:rFonts w:hint="eastAsia"/>
                <w:color w:val="auto"/>
                <w:highlight w:val="none"/>
              </w:rPr>
              <w:t>一档（1分）：有基本质疑投诉解决方案，基本能为采购人解决问题；</w:t>
            </w:r>
          </w:p>
          <w:p w14:paraId="56CF4C40">
            <w:pPr>
              <w:pStyle w:val="4"/>
              <w:rPr>
                <w:color w:val="auto"/>
                <w:highlight w:val="none"/>
              </w:rPr>
            </w:pPr>
            <w:r>
              <w:rPr>
                <w:rFonts w:hint="eastAsia"/>
                <w:color w:val="auto"/>
                <w:highlight w:val="none"/>
              </w:rPr>
              <w:t>二档（</w:t>
            </w:r>
            <w:r>
              <w:rPr>
                <w:rFonts w:hint="eastAsia"/>
                <w:color w:val="auto"/>
                <w:highlight w:val="none"/>
                <w:lang w:val="en-US" w:eastAsia="zh-CN"/>
              </w:rPr>
              <w:t>3</w:t>
            </w:r>
            <w:r>
              <w:rPr>
                <w:rFonts w:hint="eastAsia"/>
                <w:color w:val="auto"/>
                <w:highlight w:val="none"/>
              </w:rPr>
              <w:t>分）：较为具体的质疑投诉解决方案，能满足服务需求，相对考虑全面；</w:t>
            </w:r>
          </w:p>
          <w:p w14:paraId="563848FA">
            <w:pPr>
              <w:pStyle w:val="4"/>
              <w:rPr>
                <w:color w:val="auto"/>
                <w:highlight w:val="none"/>
              </w:rPr>
            </w:pPr>
            <w:r>
              <w:rPr>
                <w:rFonts w:hint="eastAsia"/>
                <w:color w:val="auto"/>
                <w:highlight w:val="none"/>
              </w:rPr>
              <w:t>三档（</w:t>
            </w:r>
            <w:r>
              <w:rPr>
                <w:rFonts w:hint="eastAsia"/>
                <w:color w:val="auto"/>
                <w:highlight w:val="none"/>
                <w:lang w:val="en-US" w:eastAsia="zh-CN"/>
              </w:rPr>
              <w:t>5</w:t>
            </w:r>
            <w:r>
              <w:rPr>
                <w:rFonts w:hint="eastAsia"/>
                <w:color w:val="auto"/>
                <w:highlight w:val="none"/>
              </w:rPr>
              <w:t>分）：质疑投诉解决措施和制度健全，保障措施全面可行，举措较优，能针对性给出建议，流程妥善处理，时间节点把控到位，考虑全面。</w:t>
            </w:r>
          </w:p>
        </w:tc>
      </w:tr>
      <w:tr w14:paraId="70501A0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578" w:hRule="atLeast"/>
        </w:trPr>
        <w:tc>
          <w:tcPr>
            <w:tcW w:w="1440" w:type="dxa"/>
            <w:vAlign w:val="center"/>
          </w:tcPr>
          <w:p w14:paraId="69485D01">
            <w:pPr>
              <w:pStyle w:val="13"/>
              <w:rPr>
                <w:rFonts w:asciiTheme="majorEastAsia" w:hAnsiTheme="majorEastAsia" w:eastAsiaTheme="majorEastAsia" w:cstheme="majorEastAsia"/>
                <w:b/>
                <w:bCs/>
                <w:color w:val="auto"/>
                <w:highlight w:val="none"/>
              </w:rPr>
            </w:pPr>
            <w:bookmarkStart w:id="4" w:name="_Hlk173495803"/>
            <w:r>
              <w:rPr>
                <w:rFonts w:hint="eastAsia" w:asciiTheme="majorEastAsia" w:hAnsiTheme="majorEastAsia" w:eastAsiaTheme="majorEastAsia" w:cstheme="majorEastAsia"/>
                <w:b/>
                <w:bCs/>
                <w:color w:val="auto"/>
                <w:highlight w:val="none"/>
              </w:rPr>
              <w:t>项目</w:t>
            </w:r>
          </w:p>
          <w:p w14:paraId="3F4F6461">
            <w:pPr>
              <w:pStyle w:val="13"/>
              <w:rPr>
                <w:rFonts w:asciiTheme="majorEastAsia" w:hAnsiTheme="majorEastAsia" w:eastAsiaTheme="majorEastAsia" w:cstheme="majorEastAsia"/>
                <w:b/>
                <w:bCs/>
                <w:color w:val="auto"/>
                <w:highlight w:val="none"/>
              </w:rPr>
            </w:pPr>
            <w:r>
              <w:rPr>
                <w:rFonts w:hint="eastAsia" w:asciiTheme="majorEastAsia" w:hAnsiTheme="majorEastAsia" w:eastAsiaTheme="majorEastAsia" w:cstheme="majorEastAsia"/>
                <w:b/>
                <w:bCs/>
                <w:color w:val="auto"/>
                <w:highlight w:val="none"/>
              </w:rPr>
              <w:t>负责人</w:t>
            </w:r>
            <w:bookmarkEnd w:id="4"/>
          </w:p>
        </w:tc>
        <w:tc>
          <w:tcPr>
            <w:tcW w:w="905" w:type="dxa"/>
            <w:vAlign w:val="center"/>
          </w:tcPr>
          <w:p w14:paraId="63CAC47D">
            <w:pPr>
              <w:spacing w:line="260" w:lineRule="exact"/>
              <w:jc w:val="center"/>
              <w:rPr>
                <w:rFonts w:asciiTheme="majorEastAsia" w:hAnsiTheme="majorEastAsia" w:eastAsiaTheme="majorEastAsia" w:cstheme="majorEastAsia"/>
                <w:b/>
                <w:bCs/>
                <w:color w:val="auto"/>
                <w:sz w:val="24"/>
                <w:highlight w:val="none"/>
              </w:rPr>
            </w:pPr>
            <w:r>
              <w:rPr>
                <w:rFonts w:hint="eastAsia" w:asciiTheme="majorEastAsia" w:hAnsiTheme="majorEastAsia" w:eastAsiaTheme="majorEastAsia" w:cstheme="majorEastAsia"/>
                <w:b/>
                <w:bCs/>
                <w:color w:val="auto"/>
                <w:sz w:val="24"/>
                <w:highlight w:val="none"/>
              </w:rPr>
              <w:t>4分</w:t>
            </w:r>
          </w:p>
        </w:tc>
        <w:tc>
          <w:tcPr>
            <w:tcW w:w="7735" w:type="dxa"/>
            <w:vAlign w:val="center"/>
          </w:tcPr>
          <w:p w14:paraId="6CA1C90D">
            <w:pPr>
              <w:pStyle w:val="4"/>
              <w:rPr>
                <w:b/>
                <w:bCs/>
                <w:color w:val="auto"/>
                <w:highlight w:val="none"/>
              </w:rPr>
            </w:pPr>
            <w:r>
              <w:rPr>
                <w:rFonts w:hint="eastAsia"/>
                <w:color w:val="auto"/>
                <w:highlight w:val="none"/>
              </w:rPr>
              <w:t>1.拟投入本项目的负责人具备高级职称的，得2分；具备中级职称的，得1分；具备初级职称或初级以下职称不得分。</w:t>
            </w:r>
            <w:r>
              <w:rPr>
                <w:rFonts w:hint="eastAsia"/>
                <w:b/>
                <w:bCs/>
                <w:color w:val="auto"/>
                <w:highlight w:val="none"/>
              </w:rPr>
              <w:t>（满分2分）</w:t>
            </w:r>
          </w:p>
          <w:p w14:paraId="74E0D4C9">
            <w:pPr>
              <w:pStyle w:val="4"/>
              <w:rPr>
                <w:color w:val="auto"/>
                <w:highlight w:val="none"/>
              </w:rPr>
            </w:pPr>
            <w:r>
              <w:rPr>
                <w:rFonts w:hint="eastAsia"/>
                <w:color w:val="auto"/>
                <w:highlight w:val="none"/>
              </w:rPr>
              <w:t>2. 拟投入本项目的负责人具有国家注册造价工程师（或注册监理工程师、或注册咨询师、或注册一级建造师、）执业资格的得2分。</w:t>
            </w:r>
            <w:r>
              <w:rPr>
                <w:rFonts w:hint="eastAsia"/>
                <w:b/>
                <w:bCs/>
                <w:color w:val="auto"/>
                <w:highlight w:val="none"/>
              </w:rPr>
              <w:t>（满分2分）</w:t>
            </w:r>
          </w:p>
        </w:tc>
      </w:tr>
      <w:tr w14:paraId="6E8D439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578" w:hRule="atLeast"/>
        </w:trPr>
        <w:tc>
          <w:tcPr>
            <w:tcW w:w="1440" w:type="dxa"/>
            <w:vAlign w:val="center"/>
          </w:tcPr>
          <w:p w14:paraId="4874E61F">
            <w:pPr>
              <w:spacing w:line="260" w:lineRule="exact"/>
              <w:jc w:val="center"/>
              <w:rPr>
                <w:rFonts w:asciiTheme="majorEastAsia" w:hAnsiTheme="majorEastAsia" w:eastAsiaTheme="majorEastAsia" w:cstheme="majorEastAsia"/>
                <w:b/>
                <w:bCs/>
                <w:color w:val="auto"/>
                <w:kern w:val="0"/>
                <w:sz w:val="24"/>
                <w:highlight w:val="none"/>
              </w:rPr>
            </w:pPr>
            <w:r>
              <w:rPr>
                <w:rFonts w:hint="eastAsia" w:asciiTheme="majorEastAsia" w:hAnsiTheme="majorEastAsia" w:eastAsiaTheme="majorEastAsia" w:cstheme="majorEastAsia"/>
                <w:b/>
                <w:bCs/>
                <w:color w:val="auto"/>
                <w:kern w:val="0"/>
                <w:sz w:val="24"/>
                <w:highlight w:val="none"/>
              </w:rPr>
              <w:t>拟投入项目人员情况</w:t>
            </w:r>
          </w:p>
        </w:tc>
        <w:tc>
          <w:tcPr>
            <w:tcW w:w="905" w:type="dxa"/>
            <w:vAlign w:val="center"/>
          </w:tcPr>
          <w:p w14:paraId="47AD11AC">
            <w:pPr>
              <w:spacing w:line="260" w:lineRule="exact"/>
              <w:jc w:val="center"/>
              <w:rPr>
                <w:rFonts w:asciiTheme="majorEastAsia" w:hAnsiTheme="majorEastAsia" w:eastAsiaTheme="majorEastAsia" w:cstheme="majorEastAsia"/>
                <w:b/>
                <w:bCs/>
                <w:color w:val="auto"/>
                <w:sz w:val="24"/>
                <w:highlight w:val="none"/>
              </w:rPr>
            </w:pPr>
            <w:r>
              <w:rPr>
                <w:rFonts w:hint="eastAsia" w:asciiTheme="majorEastAsia" w:hAnsiTheme="majorEastAsia" w:eastAsiaTheme="majorEastAsia" w:cstheme="majorEastAsia"/>
                <w:b/>
                <w:bCs/>
                <w:color w:val="auto"/>
                <w:sz w:val="24"/>
                <w:highlight w:val="none"/>
              </w:rPr>
              <w:t>8分</w:t>
            </w:r>
          </w:p>
        </w:tc>
        <w:tc>
          <w:tcPr>
            <w:tcW w:w="7735" w:type="dxa"/>
            <w:vAlign w:val="center"/>
          </w:tcPr>
          <w:p w14:paraId="4ABB1888">
            <w:pPr>
              <w:pStyle w:val="4"/>
              <w:rPr>
                <w:color w:val="auto"/>
                <w:highlight w:val="none"/>
              </w:rPr>
            </w:pPr>
            <w:r>
              <w:rPr>
                <w:rFonts w:hint="eastAsia"/>
                <w:color w:val="auto"/>
                <w:highlight w:val="none"/>
              </w:rPr>
              <w:t>一档（</w:t>
            </w:r>
            <w:r>
              <w:rPr>
                <w:color w:val="auto"/>
                <w:highlight w:val="none"/>
              </w:rPr>
              <w:t>2</w:t>
            </w:r>
            <w:r>
              <w:rPr>
                <w:rFonts w:hint="eastAsia"/>
                <w:color w:val="auto"/>
                <w:highlight w:val="none"/>
              </w:rPr>
              <w:t>分）：拟投入项目团队配置及人员职责分工一般，项目团队人数不少于3人，其中具备中级职称2人及以下.</w:t>
            </w:r>
          </w:p>
          <w:p w14:paraId="06A8EDEE">
            <w:pPr>
              <w:pStyle w:val="4"/>
              <w:rPr>
                <w:color w:val="auto"/>
                <w:highlight w:val="none"/>
              </w:rPr>
            </w:pPr>
            <w:r>
              <w:rPr>
                <w:rFonts w:hint="eastAsia"/>
                <w:color w:val="auto"/>
                <w:highlight w:val="none"/>
              </w:rPr>
              <w:t>二档（</w:t>
            </w:r>
            <w:r>
              <w:rPr>
                <w:color w:val="auto"/>
                <w:highlight w:val="none"/>
              </w:rPr>
              <w:t>5</w:t>
            </w:r>
            <w:r>
              <w:rPr>
                <w:rFonts w:hint="eastAsia"/>
                <w:color w:val="auto"/>
                <w:highlight w:val="none"/>
              </w:rPr>
              <w:t>分）：拟投入项目团队配置合理，项目团队人数不少于5人，其中具备高级职称不少于1人，中级职称不少于3人。</w:t>
            </w:r>
          </w:p>
          <w:p w14:paraId="558BC83A">
            <w:pPr>
              <w:pStyle w:val="4"/>
              <w:rPr>
                <w:b/>
                <w:bCs/>
                <w:color w:val="auto"/>
                <w:highlight w:val="none"/>
              </w:rPr>
            </w:pPr>
            <w:r>
              <w:rPr>
                <w:rFonts w:hint="eastAsia"/>
                <w:color w:val="auto"/>
                <w:highlight w:val="none"/>
              </w:rPr>
              <w:t>三档（</w:t>
            </w:r>
            <w:r>
              <w:rPr>
                <w:color w:val="auto"/>
                <w:highlight w:val="none"/>
              </w:rPr>
              <w:t>8</w:t>
            </w:r>
            <w:r>
              <w:rPr>
                <w:rFonts w:hint="eastAsia"/>
                <w:color w:val="auto"/>
                <w:highlight w:val="none"/>
              </w:rPr>
              <w:t>分）：拟投入项目团队配置科学合理、人员职责分工明确，项目团队人数不少于7人，其中具备高级职称不少于2人，中级职称不少于4人。 （提供上述人员近3个月社保缴纳凭证，证书复印件）</w:t>
            </w:r>
          </w:p>
        </w:tc>
      </w:tr>
      <w:tr w14:paraId="0D6CB40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578" w:hRule="atLeast"/>
        </w:trPr>
        <w:tc>
          <w:tcPr>
            <w:tcW w:w="1440" w:type="dxa"/>
            <w:vAlign w:val="center"/>
          </w:tcPr>
          <w:p w14:paraId="57315004">
            <w:pPr>
              <w:spacing w:line="260" w:lineRule="exact"/>
              <w:jc w:val="center"/>
              <w:rPr>
                <w:rFonts w:asciiTheme="majorEastAsia" w:hAnsiTheme="majorEastAsia" w:eastAsiaTheme="majorEastAsia" w:cstheme="majorEastAsia"/>
                <w:color w:val="auto"/>
                <w:sz w:val="24"/>
                <w:highlight w:val="none"/>
              </w:rPr>
            </w:pPr>
            <w:r>
              <w:rPr>
                <w:rFonts w:hint="eastAsia" w:asciiTheme="majorEastAsia" w:hAnsiTheme="majorEastAsia" w:eastAsiaTheme="majorEastAsia" w:cstheme="majorEastAsia"/>
                <w:b/>
                <w:bCs/>
                <w:color w:val="auto"/>
                <w:kern w:val="0"/>
                <w:sz w:val="24"/>
                <w:highlight w:val="none"/>
              </w:rPr>
              <w:t>办公场地情况分</w:t>
            </w:r>
          </w:p>
        </w:tc>
        <w:tc>
          <w:tcPr>
            <w:tcW w:w="905" w:type="dxa"/>
            <w:vAlign w:val="center"/>
          </w:tcPr>
          <w:p w14:paraId="19D78731">
            <w:pPr>
              <w:spacing w:line="260" w:lineRule="exact"/>
              <w:jc w:val="center"/>
              <w:rPr>
                <w:rFonts w:asciiTheme="majorEastAsia" w:hAnsiTheme="majorEastAsia" w:eastAsiaTheme="majorEastAsia" w:cstheme="majorEastAsia"/>
                <w:color w:val="auto"/>
                <w:sz w:val="24"/>
                <w:highlight w:val="none"/>
              </w:rPr>
            </w:pPr>
            <w:r>
              <w:rPr>
                <w:rFonts w:hint="eastAsia" w:asciiTheme="majorEastAsia" w:hAnsiTheme="majorEastAsia" w:eastAsiaTheme="majorEastAsia" w:cstheme="majorEastAsia"/>
                <w:b/>
                <w:bCs/>
                <w:color w:val="auto"/>
                <w:sz w:val="24"/>
                <w:highlight w:val="none"/>
                <w:lang w:val="en-US" w:eastAsia="zh-CN"/>
              </w:rPr>
              <w:t>11</w:t>
            </w:r>
            <w:r>
              <w:rPr>
                <w:rFonts w:hint="eastAsia" w:asciiTheme="majorEastAsia" w:hAnsiTheme="majorEastAsia" w:eastAsiaTheme="majorEastAsia" w:cstheme="majorEastAsia"/>
                <w:b/>
                <w:bCs/>
                <w:color w:val="auto"/>
                <w:sz w:val="24"/>
                <w:highlight w:val="none"/>
              </w:rPr>
              <w:t>分</w:t>
            </w:r>
          </w:p>
        </w:tc>
        <w:tc>
          <w:tcPr>
            <w:tcW w:w="7735" w:type="dxa"/>
            <w:vAlign w:val="center"/>
          </w:tcPr>
          <w:p w14:paraId="19B4956B">
            <w:pPr>
              <w:pStyle w:val="4"/>
              <w:ind w:firstLine="315" w:firstLineChars="150"/>
              <w:rPr>
                <w:color w:val="auto"/>
                <w:highlight w:val="none"/>
              </w:rPr>
            </w:pPr>
            <w:r>
              <w:rPr>
                <w:rFonts w:hint="eastAsia"/>
                <w:color w:val="auto"/>
                <w:highlight w:val="none"/>
                <w:lang w:eastAsia="zh-CN"/>
              </w:rPr>
              <w:t>（</w:t>
            </w:r>
            <w:r>
              <w:rPr>
                <w:rFonts w:hint="eastAsia"/>
                <w:color w:val="auto"/>
                <w:highlight w:val="none"/>
                <w:lang w:val="en-US" w:eastAsia="zh-CN"/>
              </w:rPr>
              <w:t>1</w:t>
            </w:r>
            <w:r>
              <w:rPr>
                <w:rFonts w:hint="eastAsia"/>
                <w:color w:val="auto"/>
                <w:highlight w:val="none"/>
                <w:lang w:eastAsia="zh-CN"/>
              </w:rPr>
              <w:t>）</w:t>
            </w:r>
            <w:r>
              <w:rPr>
                <w:rFonts w:hint="eastAsia"/>
                <w:color w:val="auto"/>
                <w:highlight w:val="none"/>
              </w:rPr>
              <w:t>开标室和评标室均必须满足政府采购要求，配置有音频视频电子监控设备，评标室具备评标全过程现场传递监控图像及语音通话条件，实现对开标评标全过程录像录音，并可以刻录存档，不满足条件不得分。(以租赁合同、房产证或者其他有效证明材料复印件为准，成交后实地核查)</w:t>
            </w:r>
          </w:p>
          <w:p w14:paraId="0E3B8414">
            <w:pPr>
              <w:pStyle w:val="4"/>
              <w:numPr>
                <w:ilvl w:val="0"/>
                <w:numId w:val="2"/>
              </w:numPr>
              <w:rPr>
                <w:color w:val="auto"/>
                <w:highlight w:val="none"/>
              </w:rPr>
            </w:pPr>
            <w:r>
              <w:rPr>
                <w:rFonts w:hint="eastAsia"/>
                <w:color w:val="auto"/>
                <w:highlight w:val="none"/>
              </w:rPr>
              <w:t>招标代理机构在采购人所在地拥有1间开标室及评标室得1分；每增加1间评标室得1分，满分为</w:t>
            </w:r>
            <w:r>
              <w:rPr>
                <w:color w:val="auto"/>
                <w:highlight w:val="none"/>
              </w:rPr>
              <w:t>3</w:t>
            </w:r>
            <w:r>
              <w:rPr>
                <w:rFonts w:hint="eastAsia"/>
                <w:color w:val="auto"/>
                <w:highlight w:val="none"/>
              </w:rPr>
              <w:t>分。（提供图片）</w:t>
            </w:r>
          </w:p>
          <w:p w14:paraId="5EA84AFC">
            <w:pPr>
              <w:pStyle w:val="4"/>
              <w:rPr>
                <w:color w:val="auto"/>
                <w:highlight w:val="none"/>
              </w:rPr>
            </w:pPr>
            <w:r>
              <w:rPr>
                <w:rFonts w:hint="eastAsia"/>
                <w:color w:val="auto"/>
                <w:highlight w:val="none"/>
              </w:rPr>
              <w:t>②在采购人所在地市的服务办公场所达到150平方米(以响应时为准)的得1分，每增加100平方米加1分，满分为</w:t>
            </w:r>
            <w:r>
              <w:rPr>
                <w:color w:val="auto"/>
                <w:highlight w:val="none"/>
              </w:rPr>
              <w:t>3</w:t>
            </w:r>
            <w:r>
              <w:rPr>
                <w:rFonts w:hint="eastAsia"/>
                <w:color w:val="auto"/>
                <w:highlight w:val="none"/>
              </w:rPr>
              <w:t>分。设有独立档案室，档案室面积少于40平方米的，得</w:t>
            </w:r>
            <w:r>
              <w:rPr>
                <w:color w:val="auto"/>
                <w:highlight w:val="none"/>
              </w:rPr>
              <w:t>1</w:t>
            </w:r>
            <w:r>
              <w:rPr>
                <w:rFonts w:hint="eastAsia"/>
                <w:color w:val="auto"/>
                <w:highlight w:val="none"/>
              </w:rPr>
              <w:t>分，40平方米及以上的，得</w:t>
            </w:r>
            <w:r>
              <w:rPr>
                <w:color w:val="auto"/>
                <w:highlight w:val="none"/>
              </w:rPr>
              <w:t>2</w:t>
            </w:r>
            <w:r>
              <w:rPr>
                <w:rFonts w:hint="eastAsia"/>
                <w:color w:val="auto"/>
                <w:highlight w:val="none"/>
              </w:rPr>
              <w:t>分。</w:t>
            </w:r>
          </w:p>
          <w:p w14:paraId="79519676">
            <w:pPr>
              <w:pStyle w:val="4"/>
              <w:rPr>
                <w:color w:val="auto"/>
                <w:highlight w:val="none"/>
              </w:rPr>
            </w:pPr>
            <w:r>
              <w:rPr>
                <w:color w:val="auto"/>
                <w:highlight w:val="none"/>
              </w:rPr>
              <w:t>③</w:t>
            </w:r>
            <w:r>
              <w:rPr>
                <w:rFonts w:hint="eastAsia" w:ascii="Arial" w:hAnsi="Arial" w:cs="Arial"/>
                <w:color w:val="auto"/>
                <w:highlight w:val="none"/>
              </w:rPr>
              <w:t>代理机构</w:t>
            </w:r>
            <w:r>
              <w:rPr>
                <w:color w:val="auto"/>
                <w:highlight w:val="none"/>
              </w:rPr>
              <w:t>在桂林市开标评场地具备承接政府采购全流程电子标项目的，得</w:t>
            </w:r>
            <w:r>
              <w:rPr>
                <w:rFonts w:hint="eastAsia"/>
                <w:color w:val="auto"/>
                <w:highlight w:val="none"/>
              </w:rPr>
              <w:t>1</w:t>
            </w:r>
            <w:r>
              <w:rPr>
                <w:color w:val="auto"/>
                <w:highlight w:val="none"/>
              </w:rPr>
              <w:t>分。（提供政采云平台可视化远程开评标系统建设合同复印件、桂林市开评标场地在政府采购云平台具备可视化远程开评标的配置截图，上述资料应能清晰反映可视化远程开评标场地点）</w:t>
            </w:r>
          </w:p>
          <w:p w14:paraId="4E5E298C">
            <w:pPr>
              <w:pStyle w:val="4"/>
              <w:rPr>
                <w:b/>
                <w:bCs/>
                <w:color w:val="auto"/>
                <w:highlight w:val="none"/>
              </w:rPr>
            </w:pPr>
            <w:r>
              <w:rPr>
                <w:rFonts w:hint="eastAsia"/>
                <w:b/>
                <w:bCs/>
                <w:color w:val="auto"/>
                <w:highlight w:val="none"/>
              </w:rPr>
              <w:t>（2）有具有专家库管理平台得</w:t>
            </w:r>
            <w:r>
              <w:rPr>
                <w:b/>
                <w:bCs/>
                <w:color w:val="auto"/>
                <w:highlight w:val="none"/>
              </w:rPr>
              <w:t>2</w:t>
            </w:r>
            <w:r>
              <w:rPr>
                <w:rFonts w:hint="eastAsia"/>
                <w:b/>
                <w:bCs/>
                <w:color w:val="auto"/>
                <w:highlight w:val="none"/>
              </w:rPr>
              <w:t>分</w:t>
            </w:r>
            <w:r>
              <w:rPr>
                <w:rFonts w:ascii="Arial" w:hAnsi="Arial" w:cs="Arial"/>
                <w:bCs/>
                <w:color w:val="auto"/>
                <w:highlight w:val="none"/>
              </w:rPr>
              <w:t>，非广西政府采购云平台专家库</w:t>
            </w:r>
            <w:r>
              <w:rPr>
                <w:rFonts w:hint="eastAsia"/>
                <w:b/>
                <w:bCs/>
                <w:color w:val="auto"/>
                <w:highlight w:val="none"/>
              </w:rPr>
              <w:t>。（提供截图证明，否则不得分）</w:t>
            </w:r>
          </w:p>
        </w:tc>
      </w:tr>
      <w:tr w14:paraId="307141E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542" w:hRule="atLeast"/>
        </w:trPr>
        <w:tc>
          <w:tcPr>
            <w:tcW w:w="1440" w:type="dxa"/>
            <w:vAlign w:val="center"/>
          </w:tcPr>
          <w:p w14:paraId="1E426388">
            <w:pPr>
              <w:pStyle w:val="13"/>
              <w:rPr>
                <w:rFonts w:asciiTheme="majorEastAsia" w:hAnsiTheme="majorEastAsia" w:eastAsiaTheme="majorEastAsia" w:cstheme="majorEastAsia"/>
                <w:b/>
                <w:bCs/>
                <w:color w:val="auto"/>
                <w:highlight w:val="none"/>
              </w:rPr>
            </w:pPr>
            <w:r>
              <w:rPr>
                <w:rFonts w:hint="eastAsia" w:asciiTheme="majorEastAsia" w:hAnsiTheme="majorEastAsia" w:eastAsiaTheme="majorEastAsia" w:cstheme="majorEastAsia"/>
                <w:b/>
                <w:bCs/>
                <w:color w:val="auto"/>
                <w:highlight w:val="none"/>
              </w:rPr>
              <w:t>信誉业绩分</w:t>
            </w:r>
          </w:p>
          <w:p w14:paraId="73F111B9">
            <w:pPr>
              <w:spacing w:line="260" w:lineRule="exact"/>
              <w:jc w:val="center"/>
              <w:rPr>
                <w:rFonts w:asciiTheme="majorEastAsia" w:hAnsiTheme="majorEastAsia" w:eastAsiaTheme="majorEastAsia" w:cstheme="majorEastAsia"/>
                <w:color w:val="auto"/>
                <w:sz w:val="24"/>
                <w:highlight w:val="none"/>
              </w:rPr>
            </w:pPr>
          </w:p>
        </w:tc>
        <w:tc>
          <w:tcPr>
            <w:tcW w:w="905" w:type="dxa"/>
            <w:vAlign w:val="center"/>
          </w:tcPr>
          <w:p w14:paraId="0241E4B1">
            <w:pPr>
              <w:spacing w:line="260" w:lineRule="exact"/>
              <w:jc w:val="center"/>
              <w:rPr>
                <w:rFonts w:asciiTheme="majorEastAsia" w:hAnsiTheme="majorEastAsia" w:eastAsiaTheme="majorEastAsia" w:cstheme="majorEastAsia"/>
                <w:color w:val="auto"/>
                <w:sz w:val="24"/>
                <w:highlight w:val="none"/>
              </w:rPr>
            </w:pPr>
            <w:r>
              <w:rPr>
                <w:rFonts w:hint="eastAsia" w:asciiTheme="majorEastAsia" w:hAnsiTheme="majorEastAsia" w:eastAsiaTheme="majorEastAsia" w:cstheme="majorEastAsia"/>
                <w:b/>
                <w:bCs/>
                <w:color w:val="auto"/>
                <w:sz w:val="24"/>
                <w:highlight w:val="none"/>
                <w:lang w:val="en-US" w:eastAsia="zh-CN"/>
              </w:rPr>
              <w:t>28</w:t>
            </w:r>
            <w:r>
              <w:rPr>
                <w:rFonts w:hint="eastAsia" w:asciiTheme="majorEastAsia" w:hAnsiTheme="majorEastAsia" w:eastAsiaTheme="majorEastAsia" w:cstheme="majorEastAsia"/>
                <w:b/>
                <w:bCs/>
                <w:color w:val="auto"/>
                <w:sz w:val="24"/>
                <w:highlight w:val="none"/>
              </w:rPr>
              <w:t>分</w:t>
            </w:r>
          </w:p>
        </w:tc>
        <w:tc>
          <w:tcPr>
            <w:tcW w:w="7735" w:type="dxa"/>
            <w:vAlign w:val="center"/>
          </w:tcPr>
          <w:p w14:paraId="34EEFECB">
            <w:pPr>
              <w:pStyle w:val="4"/>
              <w:rPr>
                <w:b/>
                <w:bCs/>
                <w:color w:val="auto"/>
                <w:highlight w:val="none"/>
              </w:rPr>
            </w:pPr>
            <w:r>
              <w:rPr>
                <w:rFonts w:hint="eastAsia"/>
                <w:b/>
                <w:bCs/>
                <w:color w:val="auto"/>
                <w:highlight w:val="none"/>
              </w:rPr>
              <w:t>（1）招标代理机构具有ISO质量管理体系认证证书、ISO环境管理体系认证证书、ISO职业安全健康管理体系认证证书的，每项得1分，满分3分；（提供有效期内的认证证书复印件，否则不得分）；</w:t>
            </w:r>
          </w:p>
          <w:p w14:paraId="6628A5FD">
            <w:pPr>
              <w:pStyle w:val="4"/>
              <w:rPr>
                <w:b/>
                <w:bCs/>
                <w:color w:val="auto"/>
                <w:highlight w:val="none"/>
              </w:rPr>
            </w:pPr>
            <w:r>
              <w:rPr>
                <w:rFonts w:hint="eastAsia"/>
                <w:b/>
                <w:bCs/>
                <w:color w:val="auto"/>
                <w:highlight w:val="none"/>
              </w:rPr>
              <w:t>（</w:t>
            </w:r>
            <w:r>
              <w:rPr>
                <w:rFonts w:hint="eastAsia"/>
                <w:b/>
                <w:bCs/>
                <w:color w:val="auto"/>
                <w:highlight w:val="none"/>
                <w:lang w:val="en-US" w:eastAsia="zh-CN"/>
              </w:rPr>
              <w:t>2</w:t>
            </w:r>
            <w:r>
              <w:rPr>
                <w:rFonts w:hint="eastAsia"/>
                <w:b/>
                <w:bCs/>
                <w:color w:val="auto"/>
                <w:highlight w:val="none"/>
              </w:rPr>
              <w:t>）业绩（考核期为</w:t>
            </w:r>
            <w:bookmarkStart w:id="5" w:name="_Hlk173509794"/>
            <w:r>
              <w:rPr>
                <w:rFonts w:hint="eastAsia"/>
                <w:b/>
                <w:bCs/>
                <w:color w:val="auto"/>
                <w:highlight w:val="none"/>
              </w:rPr>
              <w:t>2021年至2024年</w:t>
            </w:r>
            <w:bookmarkEnd w:id="5"/>
            <w:r>
              <w:rPr>
                <w:rFonts w:hint="eastAsia"/>
                <w:b/>
                <w:bCs/>
                <w:color w:val="auto"/>
                <w:highlight w:val="none"/>
              </w:rPr>
              <w:t>），提供中标通知书复印件，原件备查）满分2</w:t>
            </w:r>
            <w:r>
              <w:rPr>
                <w:b/>
                <w:bCs/>
                <w:color w:val="auto"/>
                <w:highlight w:val="none"/>
              </w:rPr>
              <w:t>0</w:t>
            </w:r>
            <w:r>
              <w:rPr>
                <w:rFonts w:hint="eastAsia"/>
                <w:b/>
                <w:bCs/>
                <w:color w:val="auto"/>
                <w:highlight w:val="none"/>
              </w:rPr>
              <w:t>分：</w:t>
            </w:r>
          </w:p>
          <w:p w14:paraId="4074C83B">
            <w:pPr>
              <w:pStyle w:val="4"/>
              <w:rPr>
                <w:color w:val="auto"/>
                <w:highlight w:val="none"/>
              </w:rPr>
            </w:pPr>
            <w:r>
              <w:rPr>
                <w:rFonts w:hint="eastAsia"/>
                <w:color w:val="auto"/>
                <w:highlight w:val="none"/>
              </w:rPr>
              <w:t>A.货物类（满分5分）；代理单个项目采购中标金额 500-1000万元（含500万元）项目业绩，每个项目得0.4分，该项满分2分；1000-10000万元（含10000万元）项目业绩，每个项目得0.4分，该项满分2分；10000万元（含10000万元）以上的每个项目得1分，该项满分1分。</w:t>
            </w:r>
          </w:p>
          <w:p w14:paraId="5B3259CC">
            <w:pPr>
              <w:pStyle w:val="4"/>
              <w:rPr>
                <w:color w:val="auto"/>
                <w:highlight w:val="none"/>
              </w:rPr>
            </w:pPr>
            <w:r>
              <w:rPr>
                <w:rFonts w:hint="eastAsia"/>
                <w:color w:val="auto"/>
                <w:highlight w:val="none"/>
              </w:rPr>
              <w:t>B.服务类（满分5分）；代理单个项目采购中标金额 500-1000万元（含1000万元）项目业绩，每个项目得0.4分，该项满分2分；代理单个项目采购中标金额1000万元-10000万元项目业绩，每个项目得0.4分，满分2分；10000万元（含10000万元）以上的每个项目得1分，该项满分1分。</w:t>
            </w:r>
          </w:p>
          <w:p w14:paraId="35ABC332">
            <w:pPr>
              <w:pStyle w:val="4"/>
              <w:rPr>
                <w:color w:val="auto"/>
                <w:highlight w:val="none"/>
              </w:rPr>
            </w:pPr>
            <w:r>
              <w:rPr>
                <w:rFonts w:hint="eastAsia"/>
                <w:color w:val="auto"/>
                <w:highlight w:val="none"/>
              </w:rPr>
              <w:t>C.工程类（满分5分）；代理单个项目采购中标金额1000-5000万元（含5000万元）项目业绩，每个项目得0.2分，该项满分2分；5000-15000万元（含150000万元）项目业绩，每个项目得0.5分，该项满分1分；15000万元（含15000万元）以上的每个项目得1分，该项满分2分。</w:t>
            </w:r>
          </w:p>
          <w:p w14:paraId="196C3812">
            <w:pPr>
              <w:pStyle w:val="4"/>
              <w:rPr>
                <w:color w:val="auto"/>
                <w:highlight w:val="none"/>
              </w:rPr>
            </w:pPr>
            <w:r>
              <w:rPr>
                <w:rFonts w:hint="eastAsia"/>
                <w:color w:val="auto"/>
                <w:highlight w:val="none"/>
              </w:rPr>
              <w:t>D.工程总承包类（EPC）（满分5分）：代理单个项目采购中标金额1000-10000万元（含10000万元）的每个项目得0.5分，该项满分2分；10000万元以上的每个项目得1分，20000万元以上的每个项目得2分，该项满分3分。</w:t>
            </w:r>
          </w:p>
          <w:p w14:paraId="58D3148C">
            <w:pPr>
              <w:pStyle w:val="4"/>
              <w:rPr>
                <w:color w:val="auto"/>
                <w:highlight w:val="none"/>
              </w:rPr>
            </w:pPr>
            <w:r>
              <w:rPr>
                <w:rFonts w:hint="eastAsia"/>
                <w:color w:val="auto"/>
                <w:highlight w:val="none"/>
              </w:rPr>
              <w:t>备注：以上工程类采购代理项目与工程总承包（EPC）项目不得重复。</w:t>
            </w:r>
          </w:p>
          <w:p w14:paraId="0335E12B">
            <w:pPr>
              <w:pStyle w:val="4"/>
              <w:rPr>
                <w:color w:val="auto"/>
                <w:highlight w:val="none"/>
              </w:rPr>
            </w:pPr>
            <w:r>
              <w:rPr>
                <w:rFonts w:hint="eastAsia"/>
                <w:b/>
                <w:bCs/>
                <w:color w:val="auto"/>
                <w:highlight w:val="none"/>
              </w:rPr>
              <w:t>（</w:t>
            </w:r>
            <w:r>
              <w:rPr>
                <w:rFonts w:hint="eastAsia"/>
                <w:b/>
                <w:bCs/>
                <w:color w:val="auto"/>
                <w:highlight w:val="none"/>
                <w:lang w:val="en-US" w:eastAsia="zh-CN"/>
              </w:rPr>
              <w:t>3</w:t>
            </w:r>
            <w:r>
              <w:rPr>
                <w:rFonts w:hint="eastAsia"/>
                <w:b/>
                <w:bCs/>
                <w:color w:val="auto"/>
                <w:highlight w:val="none"/>
              </w:rPr>
              <w:t>）具有《机电产品国际招标电子交易凭证》资格的得</w:t>
            </w:r>
            <w:r>
              <w:rPr>
                <w:b/>
                <w:bCs/>
                <w:color w:val="auto"/>
                <w:highlight w:val="none"/>
              </w:rPr>
              <w:t>1</w:t>
            </w:r>
            <w:r>
              <w:rPr>
                <w:rFonts w:hint="eastAsia"/>
                <w:b/>
                <w:bCs/>
                <w:color w:val="auto"/>
                <w:highlight w:val="none"/>
              </w:rPr>
              <w:t>分</w:t>
            </w:r>
            <w:r>
              <w:rPr>
                <w:rFonts w:hint="eastAsia"/>
                <w:color w:val="auto"/>
                <w:highlight w:val="none"/>
              </w:rPr>
              <w:t>。</w:t>
            </w:r>
          </w:p>
          <w:p w14:paraId="1006DA63">
            <w:pPr>
              <w:pStyle w:val="4"/>
              <w:rPr>
                <w:color w:val="auto"/>
                <w:highlight w:val="none"/>
              </w:rPr>
            </w:pPr>
            <w:r>
              <w:rPr>
                <w:rFonts w:hint="eastAsia"/>
                <w:b/>
                <w:bCs/>
                <w:color w:val="auto"/>
                <w:highlight w:val="none"/>
              </w:rPr>
              <w:t>（</w:t>
            </w:r>
            <w:r>
              <w:rPr>
                <w:rFonts w:hint="eastAsia"/>
                <w:b/>
                <w:bCs/>
                <w:color w:val="auto"/>
                <w:highlight w:val="none"/>
                <w:lang w:val="en-US" w:eastAsia="zh-CN"/>
              </w:rPr>
              <w:t>4</w:t>
            </w:r>
            <w:r>
              <w:rPr>
                <w:rFonts w:hint="eastAsia"/>
                <w:b/>
                <w:bCs/>
                <w:color w:val="auto"/>
                <w:highlight w:val="none"/>
              </w:rPr>
              <w:t>）</w:t>
            </w:r>
            <w:bookmarkStart w:id="6" w:name="_Hlk173492435"/>
            <w:r>
              <w:rPr>
                <w:rFonts w:hint="eastAsia"/>
                <w:b/>
                <w:bCs/>
                <w:color w:val="auto"/>
                <w:highlight w:val="none"/>
              </w:rPr>
              <w:t>自2022</w:t>
            </w:r>
            <w:r>
              <w:rPr>
                <w:b/>
                <w:bCs/>
                <w:color w:val="auto"/>
                <w:highlight w:val="none"/>
              </w:rPr>
              <w:t>.</w:t>
            </w:r>
            <w:r>
              <w:rPr>
                <w:rFonts w:hint="eastAsia"/>
                <w:b/>
                <w:bCs/>
                <w:color w:val="auto"/>
                <w:highlight w:val="none"/>
              </w:rPr>
              <w:t>年以来，招标代理机构获得国家机关、事业单位定点招标代理入库资格的，每个得1分，该项满分4分。（考核期为202</w:t>
            </w:r>
            <w:r>
              <w:rPr>
                <w:b/>
                <w:bCs/>
                <w:color w:val="auto"/>
                <w:highlight w:val="none"/>
              </w:rPr>
              <w:t>2</w:t>
            </w:r>
            <w:r>
              <w:rPr>
                <w:rFonts w:hint="eastAsia"/>
                <w:b/>
                <w:bCs/>
                <w:color w:val="auto"/>
                <w:highlight w:val="none"/>
              </w:rPr>
              <w:t>年1月1日至响应时间，提供无有效投诉事件承诺函）</w:t>
            </w:r>
            <w:bookmarkEnd w:id="6"/>
            <w:bookmarkStart w:id="7" w:name="_GoBack"/>
            <w:bookmarkEnd w:id="7"/>
          </w:p>
          <w:p w14:paraId="763A2A2F">
            <w:pPr>
              <w:pStyle w:val="4"/>
              <w:rPr>
                <w:color w:val="auto"/>
                <w:highlight w:val="none"/>
              </w:rPr>
            </w:pPr>
            <w:r>
              <w:rPr>
                <w:rFonts w:hint="eastAsia"/>
                <w:color w:val="auto"/>
                <w:highlight w:val="none"/>
              </w:rPr>
              <w:t>备注：提供合同复印件，否则不得分（原件备查）；服务期限内在采购人上级监管部门（如财政厅）有投诉事件发生，投诉事项成立或者部分成立，此项不得分。</w:t>
            </w:r>
          </w:p>
        </w:tc>
      </w:tr>
    </w:tbl>
    <w:p w14:paraId="03F98234"/>
    <w:p w14:paraId="1604A51D">
      <w:pPr>
        <w:pStyle w:val="2"/>
      </w:pPr>
    </w:p>
    <w:p w14:paraId="4B3F010F">
      <w:pPr>
        <w:pStyle w:val="2"/>
      </w:pPr>
    </w:p>
    <w:p w14:paraId="4B1866C7">
      <w:pPr>
        <w:pStyle w:val="2"/>
      </w:pPr>
    </w:p>
    <w:p w14:paraId="022BC154">
      <w:pPr>
        <w:pStyle w:val="2"/>
      </w:pPr>
    </w:p>
    <w:p w14:paraId="63A46F9B">
      <w:pPr>
        <w:pStyle w:val="2"/>
      </w:pPr>
    </w:p>
    <w:p w14:paraId="0689F11E">
      <w:pPr>
        <w:shd w:val="clear" w:color="auto" w:fill="FFFFFF"/>
        <w:spacing w:line="400" w:lineRule="atLeast"/>
        <w:rPr>
          <w:rFonts w:ascii="Calibri" w:hAnsi="Calibri" w:eastAsia="Microsoft YaHei UI" w:cs="宋体"/>
          <w:color w:val="555555"/>
          <w:kern w:val="0"/>
          <w:szCs w:val="21"/>
        </w:rPr>
      </w:pP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Microsoft YaHei UI">
    <w:panose1 w:val="020B0503020204020204"/>
    <w:charset w:val="86"/>
    <w:family w:val="swiss"/>
    <w:pitch w:val="default"/>
    <w:sig w:usb0="80000287" w:usb1="2ACF3C50" w:usb2="00000016" w:usb3="00000000" w:csb0="0004001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142E4F25"/>
    <w:multiLevelType w:val="multilevel"/>
    <w:tmpl w:val="142E4F25"/>
    <w:lvl w:ilvl="0" w:tentative="0">
      <w:start w:val="3"/>
      <w:numFmt w:val="decimal"/>
      <w:lvlText w:val="（%1）"/>
      <w:lvlJc w:val="left"/>
      <w:pPr>
        <w:ind w:left="720" w:hanging="720"/>
      </w:pPr>
      <w:rPr>
        <w:rFonts w:hint="default"/>
      </w:r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abstractNum w:abstractNumId="1">
    <w:nsid w:val="7B4437C4"/>
    <w:multiLevelType w:val="multilevel"/>
    <w:tmpl w:val="7B4437C4"/>
    <w:lvl w:ilvl="0" w:tentative="0">
      <w:start w:val="1"/>
      <w:numFmt w:val="decimalEnclosedCircle"/>
      <w:lvlText w:val="%1"/>
      <w:lvlJc w:val="left"/>
      <w:pPr>
        <w:ind w:left="360" w:hanging="360"/>
      </w:pPr>
      <w:rPr>
        <w:rFonts w:hint="default"/>
      </w:r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1"/>
  <w:bordersDoNotSurroundFooter w:val="1"/>
  <w:documentProtection w:enforcement="0"/>
  <w:defaultTabStop w:val="420"/>
  <w:drawingGridVerticalSpacing w:val="156"/>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YTU3NTI3YmE5Y2NiZWI5YTE0Y2Y3ODA3NTY0NjhkYjYifQ=="/>
  </w:docVars>
  <w:rsids>
    <w:rsidRoot w:val="00785F1D"/>
    <w:rsid w:val="000141E3"/>
    <w:rsid w:val="00093656"/>
    <w:rsid w:val="000A0E92"/>
    <w:rsid w:val="000A2D45"/>
    <w:rsid w:val="000A3372"/>
    <w:rsid w:val="0010523F"/>
    <w:rsid w:val="00117B49"/>
    <w:rsid w:val="00135AE1"/>
    <w:rsid w:val="00170E3C"/>
    <w:rsid w:val="001879AA"/>
    <w:rsid w:val="001A3A76"/>
    <w:rsid w:val="001C531C"/>
    <w:rsid w:val="001E4FFB"/>
    <w:rsid w:val="00210D17"/>
    <w:rsid w:val="0026674F"/>
    <w:rsid w:val="00270360"/>
    <w:rsid w:val="002E183C"/>
    <w:rsid w:val="002E57B0"/>
    <w:rsid w:val="003511D2"/>
    <w:rsid w:val="003748B6"/>
    <w:rsid w:val="00375CC5"/>
    <w:rsid w:val="00395308"/>
    <w:rsid w:val="003974C4"/>
    <w:rsid w:val="003A39CE"/>
    <w:rsid w:val="003F0CBA"/>
    <w:rsid w:val="0043175C"/>
    <w:rsid w:val="004366AA"/>
    <w:rsid w:val="0045789B"/>
    <w:rsid w:val="00475071"/>
    <w:rsid w:val="00496147"/>
    <w:rsid w:val="004A3639"/>
    <w:rsid w:val="004C2A7A"/>
    <w:rsid w:val="00512021"/>
    <w:rsid w:val="00513721"/>
    <w:rsid w:val="005143F7"/>
    <w:rsid w:val="00530AE8"/>
    <w:rsid w:val="00566869"/>
    <w:rsid w:val="00594F90"/>
    <w:rsid w:val="005C71BA"/>
    <w:rsid w:val="0061070D"/>
    <w:rsid w:val="006507C1"/>
    <w:rsid w:val="00691FE2"/>
    <w:rsid w:val="00697F0B"/>
    <w:rsid w:val="006A1C7B"/>
    <w:rsid w:val="006B6CCB"/>
    <w:rsid w:val="007478CF"/>
    <w:rsid w:val="00766731"/>
    <w:rsid w:val="00770B32"/>
    <w:rsid w:val="00776221"/>
    <w:rsid w:val="00785F1D"/>
    <w:rsid w:val="007B3C38"/>
    <w:rsid w:val="007C3E3E"/>
    <w:rsid w:val="007D513F"/>
    <w:rsid w:val="007E02D4"/>
    <w:rsid w:val="007F2EBB"/>
    <w:rsid w:val="007F5A28"/>
    <w:rsid w:val="00870B98"/>
    <w:rsid w:val="008C6133"/>
    <w:rsid w:val="008E278A"/>
    <w:rsid w:val="008E4C58"/>
    <w:rsid w:val="008F0350"/>
    <w:rsid w:val="00926630"/>
    <w:rsid w:val="00933E5A"/>
    <w:rsid w:val="00962DAA"/>
    <w:rsid w:val="0097098F"/>
    <w:rsid w:val="00975B2D"/>
    <w:rsid w:val="0098710B"/>
    <w:rsid w:val="00993E15"/>
    <w:rsid w:val="009951B2"/>
    <w:rsid w:val="009E12B9"/>
    <w:rsid w:val="009E6911"/>
    <w:rsid w:val="009F7501"/>
    <w:rsid w:val="00A04832"/>
    <w:rsid w:val="00A10A94"/>
    <w:rsid w:val="00A60EFB"/>
    <w:rsid w:val="00A632BB"/>
    <w:rsid w:val="00AC0230"/>
    <w:rsid w:val="00AF177D"/>
    <w:rsid w:val="00AF1B9C"/>
    <w:rsid w:val="00AF4428"/>
    <w:rsid w:val="00AF6834"/>
    <w:rsid w:val="00B01EA6"/>
    <w:rsid w:val="00B07ACD"/>
    <w:rsid w:val="00B14210"/>
    <w:rsid w:val="00B317E2"/>
    <w:rsid w:val="00B77BE0"/>
    <w:rsid w:val="00B8082E"/>
    <w:rsid w:val="00BF4E11"/>
    <w:rsid w:val="00BF7DA7"/>
    <w:rsid w:val="00C1426C"/>
    <w:rsid w:val="00C216F9"/>
    <w:rsid w:val="00C708D9"/>
    <w:rsid w:val="00C82B42"/>
    <w:rsid w:val="00C92DD5"/>
    <w:rsid w:val="00CA3B01"/>
    <w:rsid w:val="00CD02E6"/>
    <w:rsid w:val="00CE70CB"/>
    <w:rsid w:val="00CF0D04"/>
    <w:rsid w:val="00D01E8B"/>
    <w:rsid w:val="00D119C7"/>
    <w:rsid w:val="00D11EA2"/>
    <w:rsid w:val="00D13E7D"/>
    <w:rsid w:val="00D40E9C"/>
    <w:rsid w:val="00D414E0"/>
    <w:rsid w:val="00D66691"/>
    <w:rsid w:val="00DA52BD"/>
    <w:rsid w:val="00DC20C5"/>
    <w:rsid w:val="00E03B98"/>
    <w:rsid w:val="00E16529"/>
    <w:rsid w:val="00E165D9"/>
    <w:rsid w:val="00EA2017"/>
    <w:rsid w:val="00EA2694"/>
    <w:rsid w:val="00EB4727"/>
    <w:rsid w:val="00EE101C"/>
    <w:rsid w:val="00EE60DE"/>
    <w:rsid w:val="00F22079"/>
    <w:rsid w:val="00F2433A"/>
    <w:rsid w:val="00F247BB"/>
    <w:rsid w:val="00FC1051"/>
    <w:rsid w:val="0370272B"/>
    <w:rsid w:val="04246BA1"/>
    <w:rsid w:val="09570789"/>
    <w:rsid w:val="0ACE6EE2"/>
    <w:rsid w:val="0EAC14C7"/>
    <w:rsid w:val="16E314D2"/>
    <w:rsid w:val="17B54FD6"/>
    <w:rsid w:val="25FC575B"/>
    <w:rsid w:val="26372F9B"/>
    <w:rsid w:val="2BC02F04"/>
    <w:rsid w:val="2F284BAE"/>
    <w:rsid w:val="34931DC5"/>
    <w:rsid w:val="3DA663E4"/>
    <w:rsid w:val="422658DF"/>
    <w:rsid w:val="43A24ABF"/>
    <w:rsid w:val="43E115C8"/>
    <w:rsid w:val="4615190B"/>
    <w:rsid w:val="48157461"/>
    <w:rsid w:val="4B75370D"/>
    <w:rsid w:val="4E34043B"/>
    <w:rsid w:val="520C744A"/>
    <w:rsid w:val="598071E4"/>
    <w:rsid w:val="5E5F6CBD"/>
    <w:rsid w:val="5EC76C05"/>
    <w:rsid w:val="62095640"/>
    <w:rsid w:val="63DE40EE"/>
    <w:rsid w:val="6A253A30"/>
    <w:rsid w:val="6CDD26FA"/>
    <w:rsid w:val="72606DE0"/>
    <w:rsid w:val="793E61A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0"/>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qFormat="1"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22" w:semiHidden="0" w:name="Strong"/>
    <w:lsdException w:qFormat="1" w:unhideWhenUsed="0" w:uiPriority="0" w:semiHidden="0" w:name="Emphasis"/>
    <w:lsdException w:unhideWhenUsed="0" w:uiPriority="0" w:semiHidden="0" w:name="Document Map"/>
    <w:lsdException w:qFormat="1" w:unhideWhenUsed="0" w:uiPriority="0" w:semiHidden="0" w:name="Plain Text"/>
    <w:lsdException w:unhideWhenUsed="0" w:uiPriority="0" w:semiHidden="0" w:name="E-mail Signature"/>
    <w:lsdException w:qFormat="1" w:unhideWhenUsed="0" w:uiPriority="99"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qFormat="1"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autoRedefine/>
    <w:qFormat/>
    <w:uiPriority w:val="0"/>
    <w:pPr>
      <w:jc w:val="both"/>
      <w:textAlignment w:val="baseline"/>
    </w:pPr>
    <w:rPr>
      <w:rFonts w:ascii="Times New Roman" w:hAnsi="Times New Roman" w:eastAsia="宋体" w:cs="Times New Roman"/>
      <w:kern w:val="2"/>
      <w:sz w:val="21"/>
      <w:szCs w:val="24"/>
      <w:lang w:val="en-US" w:eastAsia="zh-CN" w:bidi="ar-SA"/>
    </w:rPr>
  </w:style>
  <w:style w:type="character" w:default="1" w:styleId="9">
    <w:name w:val="Default Paragraph Font"/>
    <w:semiHidden/>
    <w:unhideWhenUsed/>
    <w:uiPriority w:val="1"/>
  </w:style>
  <w:style w:type="table" w:default="1" w:styleId="8">
    <w:name w:val="Normal Table"/>
    <w:semiHidden/>
    <w:unhideWhenUsed/>
    <w:qFormat/>
    <w:uiPriority w:val="99"/>
    <w:tblPr>
      <w:tblCellMar>
        <w:top w:w="0" w:type="dxa"/>
        <w:left w:w="108" w:type="dxa"/>
        <w:bottom w:w="0" w:type="dxa"/>
        <w:right w:w="108" w:type="dxa"/>
      </w:tblCellMar>
    </w:tblPr>
  </w:style>
  <w:style w:type="paragraph" w:styleId="2">
    <w:name w:val="Balloon Text"/>
    <w:basedOn w:val="1"/>
    <w:autoRedefine/>
    <w:qFormat/>
    <w:uiPriority w:val="0"/>
    <w:pPr>
      <w:jc w:val="left"/>
    </w:pPr>
    <w:rPr>
      <w:rFonts w:ascii="Calibri" w:hAnsi="Calibri"/>
      <w:sz w:val="18"/>
      <w:szCs w:val="18"/>
    </w:rPr>
  </w:style>
  <w:style w:type="paragraph" w:styleId="3">
    <w:name w:val="annotation text"/>
    <w:basedOn w:val="1"/>
    <w:qFormat/>
    <w:uiPriority w:val="0"/>
    <w:pPr>
      <w:jc w:val="left"/>
    </w:pPr>
  </w:style>
  <w:style w:type="paragraph" w:styleId="4">
    <w:name w:val="Plain Text"/>
    <w:basedOn w:val="1"/>
    <w:link w:val="17"/>
    <w:autoRedefine/>
    <w:qFormat/>
    <w:uiPriority w:val="0"/>
    <w:pPr>
      <w:spacing w:line="340" w:lineRule="exact"/>
    </w:pPr>
    <w:rPr>
      <w:rFonts w:ascii="宋体" w:hAnsi="宋体"/>
      <w:szCs w:val="21"/>
    </w:rPr>
  </w:style>
  <w:style w:type="paragraph" w:styleId="5">
    <w:name w:val="footer"/>
    <w:basedOn w:val="1"/>
    <w:link w:val="16"/>
    <w:qFormat/>
    <w:uiPriority w:val="0"/>
    <w:pPr>
      <w:tabs>
        <w:tab w:val="center" w:pos="4153"/>
        <w:tab w:val="right" w:pos="8306"/>
      </w:tabs>
      <w:snapToGrid w:val="0"/>
      <w:jc w:val="left"/>
    </w:pPr>
    <w:rPr>
      <w:sz w:val="18"/>
      <w:szCs w:val="18"/>
    </w:rPr>
  </w:style>
  <w:style w:type="paragraph" w:styleId="6">
    <w:name w:val="header"/>
    <w:basedOn w:val="1"/>
    <w:link w:val="15"/>
    <w:qFormat/>
    <w:uiPriority w:val="0"/>
    <w:pPr>
      <w:pBdr>
        <w:bottom w:val="single" w:color="auto" w:sz="6" w:space="1"/>
      </w:pBdr>
      <w:tabs>
        <w:tab w:val="center" w:pos="4153"/>
        <w:tab w:val="right" w:pos="8306"/>
      </w:tabs>
      <w:snapToGrid w:val="0"/>
      <w:jc w:val="center"/>
    </w:pPr>
    <w:rPr>
      <w:sz w:val="18"/>
      <w:szCs w:val="18"/>
    </w:rPr>
  </w:style>
  <w:style w:type="paragraph" w:styleId="7">
    <w:name w:val="Normal (Web)"/>
    <w:basedOn w:val="1"/>
    <w:qFormat/>
    <w:uiPriority w:val="99"/>
    <w:pPr>
      <w:spacing w:beforeAutospacing="1" w:afterAutospacing="1"/>
      <w:jc w:val="left"/>
    </w:pPr>
    <w:rPr>
      <w:kern w:val="0"/>
      <w:sz w:val="24"/>
    </w:rPr>
  </w:style>
  <w:style w:type="character" w:styleId="10">
    <w:name w:val="Strong"/>
    <w:basedOn w:val="9"/>
    <w:qFormat/>
    <w:uiPriority w:val="22"/>
    <w:rPr>
      <w:b/>
      <w:bCs/>
    </w:rPr>
  </w:style>
  <w:style w:type="character" w:styleId="11">
    <w:name w:val="annotation reference"/>
    <w:basedOn w:val="9"/>
    <w:qFormat/>
    <w:uiPriority w:val="0"/>
    <w:rPr>
      <w:sz w:val="21"/>
      <w:szCs w:val="21"/>
    </w:rPr>
  </w:style>
  <w:style w:type="character" w:customStyle="1" w:styleId="12">
    <w:name w:val="NormalCharacter"/>
    <w:autoRedefine/>
    <w:semiHidden/>
    <w:qFormat/>
    <w:uiPriority w:val="0"/>
  </w:style>
  <w:style w:type="paragraph" w:customStyle="1" w:styleId="13">
    <w:name w:val="Default"/>
    <w:autoRedefine/>
    <w:qFormat/>
    <w:uiPriority w:val="0"/>
    <w:pPr>
      <w:widowControl w:val="0"/>
      <w:autoSpaceDE w:val="0"/>
      <w:autoSpaceDN w:val="0"/>
      <w:adjustRightInd w:val="0"/>
    </w:pPr>
    <w:rPr>
      <w:rFonts w:ascii="宋体" w:hAnsi="Calibri" w:eastAsia="宋体" w:cs="宋体"/>
      <w:color w:val="000000"/>
      <w:sz w:val="24"/>
      <w:szCs w:val="24"/>
      <w:lang w:val="en-US" w:eastAsia="zh-CN" w:bidi="ar-SA"/>
    </w:rPr>
  </w:style>
  <w:style w:type="paragraph" w:customStyle="1" w:styleId="14">
    <w:name w:val="PlainText"/>
    <w:basedOn w:val="1"/>
    <w:autoRedefine/>
    <w:qFormat/>
    <w:uiPriority w:val="0"/>
    <w:rPr>
      <w:rFonts w:ascii="宋体" w:hAnsi="Courier New"/>
      <w:szCs w:val="20"/>
    </w:rPr>
  </w:style>
  <w:style w:type="character" w:customStyle="1" w:styleId="15">
    <w:name w:val="页眉 字符"/>
    <w:basedOn w:val="9"/>
    <w:link w:val="6"/>
    <w:qFormat/>
    <w:uiPriority w:val="0"/>
    <w:rPr>
      <w:kern w:val="2"/>
      <w:sz w:val="18"/>
      <w:szCs w:val="18"/>
    </w:rPr>
  </w:style>
  <w:style w:type="character" w:customStyle="1" w:styleId="16">
    <w:name w:val="页脚 字符"/>
    <w:basedOn w:val="9"/>
    <w:link w:val="5"/>
    <w:qFormat/>
    <w:uiPriority w:val="0"/>
    <w:rPr>
      <w:kern w:val="2"/>
      <w:sz w:val="18"/>
      <w:szCs w:val="18"/>
    </w:rPr>
  </w:style>
  <w:style w:type="character" w:customStyle="1" w:styleId="17">
    <w:name w:val="纯文本 字符"/>
    <w:basedOn w:val="9"/>
    <w:link w:val="4"/>
    <w:qFormat/>
    <w:uiPriority w:val="0"/>
    <w:rPr>
      <w:rFonts w:ascii="宋体" w:hAnsi="宋体"/>
      <w:kern w:val="2"/>
      <w:sz w:val="21"/>
      <w:szCs w:val="21"/>
    </w:r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numbering" Target="numbering.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Template>
  <Pages>3</Pages>
  <Words>2911</Words>
  <Characters>3124</Characters>
  <Lines>37</Lines>
  <Paragraphs>10</Paragraphs>
  <TotalTime>699</TotalTime>
  <ScaleCrop>false</ScaleCrop>
  <LinksUpToDate>false</LinksUpToDate>
  <CharactersWithSpaces>3135</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2024-01-23T01:39:00Z</dcterms:created>
  <dc:creator>Administrator</dc:creator>
  <cp:lastModifiedBy>唐奕</cp:lastModifiedBy>
  <cp:lastPrinted>2024-02-20T02:17:00Z</cp:lastPrinted>
  <dcterms:modified xsi:type="dcterms:W3CDTF">2026-10-12T01:40:59Z</dcterms:modified>
  <cp:revision>91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ICV">
    <vt:lpwstr>67BD717E18A64E75A61E27596D318589_12</vt:lpwstr>
  </property>
  <property fmtid="{D5CDD505-2E9C-101B-9397-08002B2CF9AE}" pid="4" name="KSOTemplateDocerSaveRecord">
    <vt:lpwstr>eyJoZGlkIjoiMmY5MTc4ZjA5NDZhODUyMTNmMjlhNDkzZjhlNDFhZWMiLCJ1c2VySWQiOiI0OTUxNDE1NTEifQ==</vt:lpwstr>
  </property>
</Properties>
</file>