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FC7C7">
      <w:pPr>
        <w:jc w:val="center"/>
        <w:rPr>
          <w:b/>
          <w:bCs/>
          <w:sz w:val="30"/>
          <w:szCs w:val="30"/>
        </w:rPr>
      </w:pPr>
    </w:p>
    <w:tbl>
      <w:tblPr>
        <w:tblStyle w:val="5"/>
        <w:tblpPr w:leftFromText="180" w:rightFromText="180" w:vertAnchor="text" w:horzAnchor="page" w:tblpX="1855" w:tblpY="331"/>
        <w:tblOverlap w:val="never"/>
        <w:tblW w:w="9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960"/>
        <w:gridCol w:w="5420"/>
      </w:tblGrid>
      <w:tr w14:paraId="42F2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080" w:type="dxa"/>
            <w:gridSpan w:val="3"/>
            <w:vMerge w:val="restart"/>
            <w:shd w:val="clear" w:color="auto" w:fill="auto"/>
            <w:vAlign w:val="center"/>
          </w:tcPr>
          <w:p w14:paraId="0A5D8C0E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30"/>
                <w:szCs w:val="30"/>
                <w:lang w:bidi="ar"/>
              </w:rPr>
              <w:t>桂林医科大学第一附属医院</w:t>
            </w:r>
            <w:r>
              <w:rPr>
                <w:rFonts w:ascii="宋体" w:hAnsi="宋体" w:eastAsia="宋体" w:cs="宋体"/>
                <w:b/>
                <w:bCs/>
                <w:kern w:val="0"/>
                <w:sz w:val="30"/>
                <w:szCs w:val="30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30"/>
                <w:szCs w:val="30"/>
                <w:lang w:bidi="ar"/>
              </w:rPr>
              <w:t>医疗设备采购需求（技术性能与参数要求）</w:t>
            </w:r>
          </w:p>
        </w:tc>
      </w:tr>
      <w:tr w14:paraId="2BD5A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80" w:type="dxa"/>
            <w:gridSpan w:val="3"/>
            <w:vMerge w:val="continue"/>
            <w:shd w:val="clear" w:color="auto" w:fill="auto"/>
            <w:vAlign w:val="center"/>
          </w:tcPr>
          <w:p w14:paraId="742F02D2">
            <w:pPr>
              <w:rPr>
                <w:rFonts w:ascii="宋体"/>
                <w:b/>
                <w:bCs/>
                <w:sz w:val="24"/>
              </w:rPr>
            </w:pPr>
          </w:p>
        </w:tc>
      </w:tr>
      <w:tr w14:paraId="24BBD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60" w:type="dxa"/>
            <w:gridSpan w:val="2"/>
            <w:shd w:val="clear" w:color="auto" w:fill="auto"/>
            <w:vAlign w:val="center"/>
          </w:tcPr>
          <w:p w14:paraId="6BC009C7">
            <w:pPr>
              <w:widowControl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申请科室：放射治疗科</w:t>
            </w:r>
          </w:p>
        </w:tc>
        <w:tc>
          <w:tcPr>
            <w:tcW w:w="5420" w:type="dxa"/>
            <w:shd w:val="clear" w:color="auto" w:fill="auto"/>
            <w:vAlign w:val="center"/>
          </w:tcPr>
          <w:p w14:paraId="3F9E2064">
            <w:pPr>
              <w:widowControl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项目名称：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直线加速器</w:t>
            </w:r>
          </w:p>
        </w:tc>
      </w:tr>
      <w:tr w14:paraId="5A421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60" w:type="dxa"/>
            <w:gridSpan w:val="2"/>
            <w:shd w:val="clear" w:color="auto" w:fill="auto"/>
            <w:vAlign w:val="center"/>
          </w:tcPr>
          <w:p w14:paraId="0226E492">
            <w:pPr>
              <w:widowControl/>
              <w:jc w:val="left"/>
              <w:rPr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lang w:bidi="ar"/>
              </w:rPr>
              <w:t>数量（台/套）：1套</w:t>
            </w:r>
          </w:p>
        </w:tc>
        <w:tc>
          <w:tcPr>
            <w:tcW w:w="5420" w:type="dxa"/>
            <w:shd w:val="clear" w:color="auto" w:fill="auto"/>
            <w:vAlign w:val="center"/>
          </w:tcPr>
          <w:p w14:paraId="2AA4568C">
            <w:pPr>
              <w:widowControl/>
              <w:jc w:val="left"/>
              <w:rPr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lang w:bidi="ar"/>
              </w:rPr>
              <w:t>进口/国产：国产</w:t>
            </w:r>
          </w:p>
        </w:tc>
      </w:tr>
      <w:tr w14:paraId="18DD7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700" w:type="dxa"/>
            <w:shd w:val="clear" w:color="auto" w:fill="auto"/>
            <w:vAlign w:val="center"/>
          </w:tcPr>
          <w:p w14:paraId="0306CF0E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0" w:type="dxa"/>
            <w:gridSpan w:val="2"/>
            <w:shd w:val="clear" w:color="auto" w:fill="auto"/>
            <w:vAlign w:val="center"/>
          </w:tcPr>
          <w:p w14:paraId="355F3EC1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适用范围及用途：可用于对人体适合接受放射治疗的病灶和肿瘤提供放射治疗。具备二维放疗、三维适形放疗、调强放疗、容积旋转调强放疗、图像引导调强放疗等功能，可开展放射外科治疗。放射外科治疗可用于放疗临床应用成熟、疗效确切的良性疾病和部分功能性疾病， 具体适应症应由临床医生根据实际情况确定。</w:t>
            </w:r>
          </w:p>
        </w:tc>
      </w:tr>
      <w:tr w14:paraId="2841E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700" w:type="dxa"/>
            <w:shd w:val="clear" w:color="auto" w:fill="auto"/>
            <w:vAlign w:val="center"/>
          </w:tcPr>
          <w:p w14:paraId="00EEE6CF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0" w:type="dxa"/>
            <w:gridSpan w:val="2"/>
            <w:shd w:val="clear" w:color="auto" w:fill="auto"/>
            <w:vAlign w:val="center"/>
          </w:tcPr>
          <w:p w14:paraId="546333F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hint="eastAsia" w:ascii="宋体" w:hAnsi="宋体" w:eastAsia="宋体" w:cs="宋体"/>
                <w:color w:val="0F1115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1、 直线加速器系统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1.1、 三极数控电子枪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1.2、 驻波加速管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1.3、 磁控管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1.4、 密闭式电离室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2、 治疗技术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2.1 三维适形放疗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2.2 调强放射治疗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2.3 容积旋转调强放射治疗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2.4 立体定向放射治疗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3、 高速大孔径环形机架系统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4、 自屏蔽系统：内置自屏蔽装置，屏蔽治疗室主射线束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5、 束流系统：≥6MV X射线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6、 双层多叶准直系统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7、 高速kV级锥形束CT扫描系统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8、 高速MV级图像引导系统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9、 基于EPID的患者计划的质量保证系统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10、 精确图像引导放射治疗治疗床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11、 原厂TPS治疗计划系统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12、 原厂肿瘤信息管理系统</w:t>
            </w:r>
          </w:p>
        </w:tc>
      </w:tr>
      <w:tr w14:paraId="00EAB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700" w:type="dxa"/>
            <w:shd w:val="clear" w:color="auto" w:fill="auto"/>
            <w:vAlign w:val="center"/>
          </w:tcPr>
          <w:p w14:paraId="109E36B5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0" w:type="dxa"/>
            <w:gridSpan w:val="2"/>
            <w:shd w:val="clear" w:color="auto" w:fill="auto"/>
            <w:vAlign w:val="center"/>
          </w:tcPr>
          <w:p w14:paraId="5BF229B3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</w:t>
            </w:r>
            <w:r>
              <w:rPr>
                <w:rFonts w:hint="eastAsia" w:ascii="宋体" w:hAnsi="宋体" w:eastAsia="宋体" w:cs="宋体"/>
                <w:color w:val="0F1115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1.  环形机架：治疗系统与kV影像系统机架孔径 ≥100cm,患者治疗空间充裕，降低碰撞风险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2.  机架和kV CBCT影像系统封闭在机壳内，无碰撞隐患，且kV CBCT与加速器共等中心，降低摆位误差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3. ★ 等中心高度：≤115cm, 便于患者摆位，减少摆位时间，加快治疗速度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4. ★ 机架特性：可回转机架，运动范围≥±185°，能够一次以顺时针或逆时针机架旋转完成投照。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5. ★ MV级束流系统的机架最大旋转速度：≥4 RPM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6.  X线能量：≥6 MV, 具备FFF模式，剂量率：≥700cGy/min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7. ★ 多叶准直器系统:等中心处所有叶片有效分辨率：≤0.5cm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8.  采用双层多叶准直器结构，上下两层叶片可进行独立调制运动,可有效避免射线泄漏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9.  多页准直器叶片（不含钨门）透射率≤0.1%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10. ★ 准直器系统综合漏射率≤0.02%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11.  高速kV级三维影像扫描: 每 360°旋转扫描头脚方向的可成像长度：≥20cm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12. ★ kV影像中心和MV束流中心的物理重合度：≤1mm,保证图像引导治疗精度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13. ★ MV-MV 正交影像: 成像探测器的有效图像感应面积≥43cm×43cm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14. ★ 精确图像引导放射治疗治疗床：前后移动范围：≥160cm，保证治疗范围满足超长靶区的治疗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15.  质量保证: 应支持基于EPID的计划射野剂量验证。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16. ▲ 同品牌放射治疗计划系统：支持光子线放疗计划；支持正向、逆向放疗计划设计; GPU支持加速剂量计算。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17.放射治疗网络管理系统：所有的病人治疗数据，包括文字资料、图像资料、治疗计划数据和治疗过程中产生的图像和文字数据等，均应储存在服务器数据库中，以方便管理、备份和所有联网工作站的信息资源共享。</w:t>
            </w:r>
          </w:p>
        </w:tc>
      </w:tr>
      <w:tr w14:paraId="3D8FC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700" w:type="dxa"/>
            <w:shd w:val="clear" w:color="auto" w:fill="auto"/>
            <w:vAlign w:val="center"/>
          </w:tcPr>
          <w:p w14:paraId="54A92E24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0" w:type="dxa"/>
            <w:gridSpan w:val="2"/>
            <w:shd w:val="clear" w:color="auto" w:fill="FFFFFF"/>
            <w:vAlign w:val="center"/>
          </w:tcPr>
          <w:p w14:paraId="2375544C">
            <w:pPr>
              <w:widowControl/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var(--dsw-font-markdown-table-h" w:hAnsi="var(--dsw-font-markdown-table-h" w:eastAsia="var(--dsw-font-markdown-table-h" w:cs="var(--dsw-font-markdown-table-h"/>
                <w:color w:val="000000"/>
                <w:kern w:val="0"/>
                <w:sz w:val="24"/>
                <w:bdr w:val="single" w:color="000000" w:sz="4" w:space="0"/>
                <w:shd w:val="clear" w:color="auto" w:fill="FFFFFF"/>
                <w:lang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耗材要求：设备是否需要使用试剂/耗材？试剂/耗材为专机专用类还是通用类？不需要可写“无”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无</w:t>
            </w:r>
          </w:p>
        </w:tc>
      </w:tr>
      <w:tr w14:paraId="3B6BE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700" w:type="dxa"/>
            <w:shd w:val="clear" w:color="auto" w:fill="auto"/>
            <w:vAlign w:val="center"/>
          </w:tcPr>
          <w:p w14:paraId="7D1DF1A4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五</w:t>
            </w:r>
          </w:p>
        </w:tc>
        <w:tc>
          <w:tcPr>
            <w:tcW w:w="8380" w:type="dxa"/>
            <w:gridSpan w:val="2"/>
            <w:shd w:val="clear" w:color="auto" w:fill="auto"/>
            <w:vAlign w:val="center"/>
          </w:tcPr>
          <w:p w14:paraId="73B7A981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售后服务要求（免费保修期≥____年，现场响应时间：≤____小时，维修期间无备用机，提供设备技术培训，设备使用年限≥__10__年等）</w:t>
            </w:r>
          </w:p>
        </w:tc>
      </w:tr>
      <w:tr w14:paraId="672FE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080" w:type="dxa"/>
            <w:gridSpan w:val="3"/>
            <w:shd w:val="clear" w:color="auto" w:fill="auto"/>
            <w:vAlign w:val="center"/>
          </w:tcPr>
          <w:p w14:paraId="378ABEC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lang w:bidi="ar"/>
              </w:rPr>
              <w:t>①标“▲”号的为实质性参数，任意一项“▲”参数未达到，即做废标处理；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lang w:bidi="ar"/>
              </w:rPr>
              <w:t>②标“★”号的为重要参数，是分值权重较高的参数；</w:t>
            </w:r>
          </w:p>
        </w:tc>
      </w:tr>
    </w:tbl>
    <w:p w14:paraId="60C321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ar(--dsw-font-markdown-table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FC4350"/>
    <w:rsid w:val="00181360"/>
    <w:rsid w:val="00F91074"/>
    <w:rsid w:val="00FC4350"/>
    <w:rsid w:val="079A3EF4"/>
    <w:rsid w:val="0A9B415C"/>
    <w:rsid w:val="0FE070E2"/>
    <w:rsid w:val="18065216"/>
    <w:rsid w:val="197E0A92"/>
    <w:rsid w:val="26AA1AA0"/>
    <w:rsid w:val="340A2063"/>
    <w:rsid w:val="3FB5435F"/>
    <w:rsid w:val="410E6C44"/>
    <w:rsid w:val="43FD725B"/>
    <w:rsid w:val="4C912599"/>
    <w:rsid w:val="55A463B5"/>
    <w:rsid w:val="565905B7"/>
    <w:rsid w:val="598B6C60"/>
    <w:rsid w:val="62BB5B68"/>
    <w:rsid w:val="6F1A6664"/>
    <w:rsid w:val="7F39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1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9">
    <w:name w:val="font1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112"/>
    <w:basedOn w:val="6"/>
    <w:qFormat/>
    <w:uiPriority w:val="0"/>
    <w:rPr>
      <w:rFonts w:ascii="var(--dsw-font-markdown-table-h" w:hAnsi="var(--dsw-font-markdown-table-h" w:eastAsia="var(--dsw-font-markdown-table-h" w:cs="var(--dsw-font-markdown-table-h"/>
      <w:color w:val="000000"/>
      <w:sz w:val="24"/>
      <w:szCs w:val="24"/>
      <w:bdr w:val="single" w:color="000000" w:sz="4" w:space="0"/>
      <w:shd w:val="clear" w:color="auto" w:fill="FFFFFF"/>
    </w:rPr>
  </w:style>
  <w:style w:type="character" w:customStyle="1" w:styleId="11">
    <w:name w:val="font61"/>
    <w:basedOn w:val="6"/>
    <w:qFormat/>
    <w:uiPriority w:val="0"/>
    <w:rPr>
      <w:rFonts w:hint="eastAsia" w:ascii="宋体" w:hAnsi="宋体" w:eastAsia="宋体" w:cs="宋体"/>
      <w:color w:val="0F1115"/>
      <w:sz w:val="24"/>
      <w:szCs w:val="24"/>
      <w:u w:val="none"/>
    </w:rPr>
  </w:style>
  <w:style w:type="character" w:customStyle="1" w:styleId="12">
    <w:name w:val="font11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3">
    <w:name w:val="font31"/>
    <w:basedOn w:val="6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14">
    <w:name w:val="font7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81"/>
    <w:basedOn w:val="6"/>
    <w:qFormat/>
    <w:uiPriority w:val="0"/>
    <w:rPr>
      <w:rFonts w:ascii="var(--dsw-font-markdown-table-h" w:hAnsi="var(--dsw-font-markdown-table-h" w:eastAsia="var(--dsw-font-markdown-table-h" w:cs="var(--dsw-font-markdown-table-h"/>
      <w:color w:val="000000"/>
      <w:sz w:val="24"/>
      <w:szCs w:val="24"/>
      <w:bdr w:val="single" w:color="000000" w:sz="4" w:space="0"/>
      <w:shd w:val="clear" w:color="auto" w:fill="FFFFFF"/>
    </w:rPr>
  </w:style>
  <w:style w:type="character" w:customStyle="1" w:styleId="16">
    <w:name w:val="font41"/>
    <w:basedOn w:val="6"/>
    <w:qFormat/>
    <w:uiPriority w:val="0"/>
    <w:rPr>
      <w:rFonts w:hint="eastAsia" w:ascii="宋体" w:hAnsi="宋体" w:eastAsia="宋体" w:cs="宋体"/>
      <w:color w:val="0F1115"/>
      <w:sz w:val="24"/>
      <w:szCs w:val="24"/>
      <w:u w:val="none"/>
    </w:rPr>
  </w:style>
  <w:style w:type="character" w:customStyle="1" w:styleId="1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1277</Words>
  <Characters>1420</Characters>
  <Lines>12</Lines>
  <Paragraphs>3</Paragraphs>
  <TotalTime>7</TotalTime>
  <ScaleCrop>false</ScaleCrop>
  <LinksUpToDate>false</LinksUpToDate>
  <CharactersWithSpaces>1487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2026-02-23T07:12:00Z</dcterms:created>
  <dc:creator>56594</dc:creator>
  <cp:lastModifiedBy>阿拉蕾</cp:lastModifiedBy>
  <dcterms:modified xsi:type="dcterms:W3CDTF">2026-06-12T05:57:34Z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eyJoZGlkIjoiNTA1YjE1OTI0ZjFiOGFhMWM4MWNjMzdkNjI3N2RmY2MiLCJ1c2VySWQiOiIyMzYxMTM3NDkifQ==</vt:lpwstr>
  </property>
  <property fmtid="{D5CDD505-2E9C-101B-9397-08002B2CF9AE}" pid="4" name="ICV">
    <vt:lpwstr>632994639FAA46CDA29AE2D1A20517DA_13</vt:lpwstr>
  </property>
</Properties>
</file>