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C7C7">
      <w:pPr>
        <w:jc w:val="center"/>
        <w:rPr>
          <w:b/>
          <w:bCs/>
          <w:sz w:val="30"/>
          <w:szCs w:val="30"/>
        </w:rPr>
      </w:pPr>
    </w:p>
    <w:tbl>
      <w:tblPr>
        <w:tblStyle w:val="5"/>
        <w:tblpPr w:leftFromText="180" w:rightFromText="180" w:vertAnchor="text" w:horzAnchor="page" w:tblpX="1855" w:tblpY="331"/>
        <w:tblOverlap w:val="never"/>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960"/>
        <w:gridCol w:w="5420"/>
      </w:tblGrid>
      <w:tr w14:paraId="42F2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080" w:type="dxa"/>
            <w:gridSpan w:val="3"/>
            <w:vMerge w:val="restart"/>
            <w:shd w:val="clear" w:color="auto" w:fill="auto"/>
            <w:vAlign w:val="center"/>
          </w:tcPr>
          <w:p w14:paraId="0A5D8C0E">
            <w:pPr>
              <w:widowControl/>
              <w:jc w:val="center"/>
              <w:rPr>
                <w:b/>
                <w:bCs/>
                <w:sz w:val="30"/>
                <w:szCs w:val="30"/>
              </w:rPr>
            </w:pPr>
            <w:r>
              <w:rPr>
                <w:rFonts w:ascii="宋体" w:hAnsi="宋体" w:eastAsia="宋体" w:cs="宋体"/>
                <w:b/>
                <w:bCs/>
                <w:kern w:val="0"/>
                <w:sz w:val="30"/>
                <w:szCs w:val="30"/>
                <w:lang w:bidi="ar"/>
              </w:rPr>
              <w:t>桂林医科大学第一附属医院</w:t>
            </w:r>
            <w:r>
              <w:rPr>
                <w:rFonts w:ascii="宋体" w:hAnsi="宋体" w:eastAsia="宋体" w:cs="宋体"/>
                <w:b/>
                <w:bCs/>
                <w:kern w:val="0"/>
                <w:sz w:val="30"/>
                <w:szCs w:val="30"/>
                <w:lang w:bidi="ar"/>
              </w:rPr>
              <w:br w:type="textWrapping"/>
            </w:r>
            <w:r>
              <w:rPr>
                <w:rFonts w:ascii="宋体" w:hAnsi="宋体" w:eastAsia="宋体" w:cs="宋体"/>
                <w:b/>
                <w:bCs/>
                <w:kern w:val="0"/>
                <w:sz w:val="30"/>
                <w:szCs w:val="30"/>
                <w:lang w:bidi="ar"/>
              </w:rPr>
              <w:t>医疗设备采购需求（技术性能与参数要求）</w:t>
            </w:r>
          </w:p>
        </w:tc>
      </w:tr>
      <w:tr w14:paraId="2BD5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80" w:type="dxa"/>
            <w:gridSpan w:val="3"/>
            <w:vMerge w:val="continue"/>
            <w:shd w:val="clear" w:color="auto" w:fill="auto"/>
            <w:vAlign w:val="center"/>
          </w:tcPr>
          <w:p w14:paraId="742F02D2">
            <w:pPr>
              <w:rPr>
                <w:rFonts w:ascii="宋体"/>
                <w:b/>
                <w:bCs/>
                <w:sz w:val="24"/>
              </w:rPr>
            </w:pPr>
          </w:p>
        </w:tc>
      </w:tr>
      <w:tr w14:paraId="24BB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60" w:type="dxa"/>
            <w:gridSpan w:val="2"/>
            <w:shd w:val="clear" w:color="auto" w:fill="auto"/>
            <w:vAlign w:val="center"/>
          </w:tcPr>
          <w:p w14:paraId="6BC009C7">
            <w:pPr>
              <w:widowControl/>
              <w:jc w:val="left"/>
              <w:rPr>
                <w:b/>
                <w:bCs/>
              </w:rPr>
            </w:pPr>
            <w:r>
              <w:rPr>
                <w:rFonts w:hint="eastAsia" w:ascii="宋体" w:hAnsi="宋体" w:eastAsia="宋体" w:cs="宋体"/>
                <w:b/>
                <w:bCs/>
                <w:color w:val="000000"/>
                <w:kern w:val="0"/>
                <w:sz w:val="24"/>
                <w:lang w:bidi="ar"/>
              </w:rPr>
              <w:t>申请科室：药学部</w:t>
            </w:r>
          </w:p>
        </w:tc>
        <w:tc>
          <w:tcPr>
            <w:tcW w:w="5420" w:type="dxa"/>
            <w:shd w:val="clear" w:color="auto" w:fill="auto"/>
            <w:vAlign w:val="center"/>
          </w:tcPr>
          <w:p w14:paraId="3F9E2064">
            <w:pPr>
              <w:widowControl/>
              <w:jc w:val="left"/>
              <w:rPr>
                <w:b/>
                <w:bCs/>
              </w:rPr>
            </w:pPr>
            <w:r>
              <w:rPr>
                <w:rFonts w:hint="eastAsia" w:ascii="宋体" w:hAnsi="宋体" w:eastAsia="宋体" w:cs="宋体"/>
                <w:b/>
                <w:bCs/>
                <w:color w:val="000000"/>
                <w:kern w:val="0"/>
                <w:sz w:val="24"/>
                <w:lang w:bidi="ar"/>
              </w:rPr>
              <w:t>项目名称：高效液相色谱串联质谱检测系统</w:t>
            </w:r>
          </w:p>
        </w:tc>
      </w:tr>
      <w:tr w14:paraId="5A42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60" w:type="dxa"/>
            <w:gridSpan w:val="2"/>
            <w:shd w:val="clear" w:color="auto" w:fill="auto"/>
            <w:vAlign w:val="center"/>
          </w:tcPr>
          <w:p w14:paraId="0226E492">
            <w:pPr>
              <w:widowControl/>
              <w:jc w:val="left"/>
              <w:rPr>
                <w:b/>
                <w:bCs/>
              </w:rPr>
            </w:pPr>
            <w:r>
              <w:rPr>
                <w:rFonts w:hint="eastAsia" w:ascii="宋体" w:hAnsi="宋体" w:eastAsia="宋体" w:cs="宋体"/>
                <w:b/>
                <w:bCs/>
                <w:kern w:val="0"/>
                <w:sz w:val="24"/>
                <w:lang w:bidi="ar"/>
              </w:rPr>
              <w:t>数量（台/套）：1套</w:t>
            </w:r>
          </w:p>
        </w:tc>
        <w:tc>
          <w:tcPr>
            <w:tcW w:w="5420" w:type="dxa"/>
            <w:shd w:val="clear" w:color="auto" w:fill="auto"/>
            <w:vAlign w:val="center"/>
          </w:tcPr>
          <w:p w14:paraId="2AA4568C">
            <w:pPr>
              <w:widowControl/>
              <w:jc w:val="left"/>
              <w:rPr>
                <w:b/>
                <w:bCs/>
              </w:rPr>
            </w:pPr>
            <w:r>
              <w:rPr>
                <w:rFonts w:hint="eastAsia" w:ascii="宋体" w:hAnsi="宋体" w:eastAsia="宋体" w:cs="宋体"/>
                <w:b/>
                <w:bCs/>
                <w:kern w:val="0"/>
                <w:sz w:val="24"/>
                <w:lang w:bidi="ar"/>
              </w:rPr>
              <w:t>进口/国产：国产</w:t>
            </w:r>
          </w:p>
        </w:tc>
      </w:tr>
      <w:tr w14:paraId="7AA1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700" w:type="dxa"/>
            <w:shd w:val="clear" w:color="auto" w:fill="auto"/>
            <w:vAlign w:val="center"/>
          </w:tcPr>
          <w:p w14:paraId="7529A8F6">
            <w:pPr>
              <w:widowControl/>
              <w:jc w:val="left"/>
            </w:pPr>
            <w:r>
              <w:rPr>
                <w:rFonts w:ascii="宋体" w:hAnsi="宋体" w:eastAsia="宋体" w:cs="宋体"/>
                <w:kern w:val="0"/>
                <w:sz w:val="24"/>
                <w:lang w:bidi="ar"/>
              </w:rPr>
              <w:t>序号</w:t>
            </w:r>
          </w:p>
        </w:tc>
        <w:tc>
          <w:tcPr>
            <w:tcW w:w="8380" w:type="dxa"/>
            <w:gridSpan w:val="2"/>
            <w:shd w:val="clear" w:color="auto" w:fill="auto"/>
            <w:vAlign w:val="center"/>
          </w:tcPr>
          <w:p w14:paraId="63632CA3">
            <w:pPr>
              <w:widowControl/>
              <w:jc w:val="left"/>
            </w:pPr>
            <w:r>
              <w:rPr>
                <w:rFonts w:ascii="宋体" w:hAnsi="宋体" w:eastAsia="宋体" w:cs="宋体"/>
                <w:kern w:val="0"/>
                <w:sz w:val="24"/>
                <w:lang w:bidi="ar"/>
              </w:rPr>
              <w:t>以下模板供使用部门拟定参数时作为参考，包含但不限于以下五个方面，每条参数单独列一项，可按照重要程度标注“▲”（实质性参数）和“★”（重要参数）。需求参数是精准匹配功能、性能与成本的决策基石，直接决定项目成败，请科室务必认真填写。</w:t>
            </w:r>
          </w:p>
        </w:tc>
      </w:tr>
      <w:tr w14:paraId="18DD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700" w:type="dxa"/>
            <w:shd w:val="clear" w:color="auto" w:fill="auto"/>
            <w:vAlign w:val="center"/>
          </w:tcPr>
          <w:p w14:paraId="0306CF0E">
            <w:pPr>
              <w:widowControl/>
              <w:jc w:val="left"/>
            </w:pPr>
            <w:r>
              <w:rPr>
                <w:rFonts w:ascii="宋体" w:hAnsi="宋体" w:eastAsia="宋体" w:cs="宋体"/>
                <w:kern w:val="0"/>
                <w:sz w:val="24"/>
                <w:lang w:bidi="ar"/>
              </w:rPr>
              <w:t>一</w:t>
            </w:r>
          </w:p>
        </w:tc>
        <w:tc>
          <w:tcPr>
            <w:tcW w:w="8380" w:type="dxa"/>
            <w:gridSpan w:val="2"/>
            <w:shd w:val="clear" w:color="auto" w:fill="auto"/>
            <w:vAlign w:val="center"/>
          </w:tcPr>
          <w:p w14:paraId="751368F7">
            <w:pPr>
              <w:widowControl/>
              <w:spacing w:line="360" w:lineRule="auto"/>
              <w:ind w:firstLine="480" w:firstLineChars="200"/>
              <w:jc w:val="left"/>
              <w:rPr>
                <w:rFonts w:hint="eastAsia" w:ascii="宋体" w:hAnsi="宋体" w:eastAsia="宋体" w:cs="宋体"/>
                <w:kern w:val="0"/>
                <w:sz w:val="24"/>
                <w:lang w:bidi="ar"/>
              </w:rPr>
            </w:pPr>
            <w:r>
              <w:rPr>
                <w:rFonts w:ascii="宋体" w:hAnsi="宋体" w:eastAsia="宋体" w:cs="宋体"/>
                <w:kern w:val="0"/>
                <w:sz w:val="24"/>
                <w:lang w:bidi="ar"/>
              </w:rPr>
              <w:t>适用范围及用途：▲</w:t>
            </w:r>
            <w:r>
              <w:rPr>
                <w:rFonts w:hint="eastAsia" w:ascii="宋体" w:hAnsi="宋体" w:eastAsia="宋体" w:cs="宋体"/>
                <w:kern w:val="0"/>
                <w:sz w:val="24"/>
                <w:lang w:bidi="ar"/>
              </w:rPr>
              <w:t>取得NMPA医疗器械II类注册证，基于色谱、质谱原理，与配套的检测试剂共同使用，用于对来源于人体的生物样品中的有机小分子化合物进行定性或定量检测，并可拓展开展相关临床科研项目。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599"/>
            </w:tblGrid>
            <w:tr w14:paraId="467C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1EE5453">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抗感染</w:t>
                  </w:r>
                </w:p>
              </w:tc>
              <w:tc>
                <w:tcPr>
                  <w:tcW w:w="6599" w:type="dxa"/>
                </w:tcPr>
                <w:p w14:paraId="7F25B736">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美罗培南、亚胺培南、替考拉宁、去甲万古霉素、万古霉素、替加环素、阿米卡星、头孢哌酮、头孢他啶、哌拉西林、舒巴坦、阿维巴坦钠、他唑巴坦、阿奇霉素、莫西沙星、氧氟沙星、磺胺甲恶唑、甲氧苄啶、伏立康唑、泊沙康唑、氟康唑、两性霉素B、伊曲康唑、达托霉素、卡泊芬净、米卡芬净、艾沙康唑、多粘菌素B、硫酸粘菌素E、利奈唑胺、拉米夫定、依非韦伦、齐多夫定、奈韦拉平、洛匹那韦、替诺福韦、利托那韦、阿巴卡韦、拉替拉韦、多替拉韦、利巴韦林、瑞德西韦、奈玛特韦、羟氯喹、氯喹、异烟肼、乙胺丁醇、利福喷丁、吡嗪酰胺、环丝氨酸、利福平、贝达喹啉、氯法齐明、乙酰异烟肼</w:t>
                  </w:r>
                </w:p>
              </w:tc>
            </w:tr>
            <w:tr w14:paraId="1234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9373EC">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免疫系统</w:t>
                  </w:r>
                </w:p>
              </w:tc>
              <w:tc>
                <w:tcPr>
                  <w:tcW w:w="6599" w:type="dxa"/>
                </w:tcPr>
                <w:p w14:paraId="53D2ECE4">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他克莫司、环孢霉素、霉酚酸、依维莫司、西罗莫司、硫唑嘌呤、6-巯基嘌呤</w:t>
                  </w:r>
                </w:p>
              </w:tc>
            </w:tr>
            <w:tr w14:paraId="3986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CFE1C9D">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神经系统</w:t>
                  </w:r>
                </w:p>
              </w:tc>
              <w:tc>
                <w:tcPr>
                  <w:tcW w:w="6599" w:type="dxa"/>
                </w:tcPr>
                <w:p w14:paraId="3B9CBEA1">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阿戈美拉汀、阿米替林（去甲阿米替林）、西酞普兰、氯丙嗪、多虑平、米氮平（去甲米氮平）、氟西汀（去甲氟西汀）、氟伏沙明、帕罗西汀、度洛西汀、舍曲林、文拉法辛（去甲文拉法辛）、氯丙咪嗪（去甲氯米帕明）、艾司西酞普兰、曲唑酮、氨磺必利、阿立哌唑（脱氢阿立派唑）、氯丙嗪、氯氮平（去甲氯氮平）、氟哌啶醇、奥氮平、奋乃静、喹硫平（N-脱氢喹硫平）、利培酮（帕里哌酮）、舒必利、齐拉西酮、布南色林、哌罗匹隆、鲁拉西酮、卡马西平、苯妥英、丙戊酸钠、奥卡西平代谢物、左乙拉西坦、氯硝西泮、拉莫三嗪、丙戊酸镁、托吡酯、加巴喷丁、扑米酮、伏硫西汀、阿普唑仑、地西泮、艾司唑仑、劳拉西泮、奥沙西泮、苯巴比妥、硝基安定、咪达唑仑、氯硝安定</w:t>
                  </w:r>
                </w:p>
              </w:tc>
            </w:tr>
            <w:tr w14:paraId="672B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7216C80">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抗肿瘤</w:t>
                  </w:r>
                </w:p>
              </w:tc>
              <w:tc>
                <w:tcPr>
                  <w:tcW w:w="6599" w:type="dxa"/>
                </w:tcPr>
                <w:p w14:paraId="6BC4A9B8">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甲氨蝶呤、5-FU、培美曲塞</w:t>
                  </w:r>
                  <w:r>
                    <w:rPr>
                      <w:rFonts w:hint="eastAsia" w:ascii="宋体" w:hAnsi="宋体" w:eastAsia="宋体" w:cs="宋体"/>
                      <w:kern w:val="0"/>
                      <w:sz w:val="24"/>
                      <w:lang w:bidi="ar"/>
                    </w:rPr>
                    <w:tab/>
                  </w:r>
                  <w:r>
                    <w:rPr>
                      <w:rFonts w:hint="eastAsia" w:ascii="宋体" w:hAnsi="宋体" w:eastAsia="宋体" w:cs="宋体"/>
                      <w:kern w:val="0"/>
                      <w:sz w:val="24"/>
                      <w:lang w:bidi="ar"/>
                    </w:rPr>
                    <w:t>、紫杉醇、多西他赛、环磷酰胺、白消安、</w:t>
                  </w:r>
                </w:p>
                <w:p w14:paraId="084C5ECB">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拉帕替尼、阿帕替尼、埃克替尼、尼诺替尼、吉非替尼、克唑替尼、舒尼替尼/去乙基舒尼替尼、伊马替尼/去甲伊马替尼、阿法替尼、帕唑帕尼、奥希替尼、阿昔替尼、厄洛替尼、氟马替尼、仑伐替尼、伊布替尼、泽布替尼</w:t>
                  </w:r>
                </w:p>
              </w:tc>
            </w:tr>
            <w:tr w14:paraId="7F9C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8FE20E1">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血液系统</w:t>
                  </w:r>
                </w:p>
              </w:tc>
              <w:tc>
                <w:tcPr>
                  <w:tcW w:w="6599" w:type="dxa"/>
                </w:tcPr>
                <w:p w14:paraId="184013FC">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华法林、达比加群酯（达比加群）、利伐沙班</w:t>
                  </w:r>
                </w:p>
              </w:tc>
            </w:tr>
            <w:tr w14:paraId="6986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C661366">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呼吸系统</w:t>
                  </w:r>
                </w:p>
              </w:tc>
              <w:tc>
                <w:tcPr>
                  <w:tcW w:w="6599" w:type="dxa"/>
                </w:tcPr>
                <w:p w14:paraId="630305D9">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茶碱、多索茶碱</w:t>
                  </w:r>
                </w:p>
              </w:tc>
            </w:tr>
            <w:tr w14:paraId="78C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69D6A1F">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其它</w:t>
                  </w:r>
                </w:p>
              </w:tc>
              <w:tc>
                <w:tcPr>
                  <w:tcW w:w="6599" w:type="dxa"/>
                </w:tcPr>
                <w:p w14:paraId="6FFD17BA">
                  <w:pPr>
                    <w:widowControl/>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舒芬太尼、美沙酮、敌草快、罗沙司他、阿仑膦酸钠</w:t>
                  </w:r>
                </w:p>
              </w:tc>
            </w:tr>
          </w:tbl>
          <w:p w14:paraId="7385CA4E">
            <w:pPr>
              <w:widowControl/>
              <w:jc w:val="left"/>
            </w:pPr>
          </w:p>
        </w:tc>
      </w:tr>
      <w:tr w14:paraId="2841E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700" w:type="dxa"/>
            <w:shd w:val="clear" w:color="auto" w:fill="auto"/>
            <w:vAlign w:val="center"/>
          </w:tcPr>
          <w:p w14:paraId="00EEE6CF">
            <w:pPr>
              <w:widowControl/>
              <w:jc w:val="left"/>
            </w:pPr>
            <w:r>
              <w:rPr>
                <w:rFonts w:ascii="宋体" w:hAnsi="宋体" w:eastAsia="宋体" w:cs="宋体"/>
                <w:kern w:val="0"/>
                <w:sz w:val="24"/>
                <w:lang w:bidi="ar"/>
              </w:rPr>
              <w:t>二</w:t>
            </w:r>
          </w:p>
        </w:tc>
        <w:tc>
          <w:tcPr>
            <w:tcW w:w="8380" w:type="dxa"/>
            <w:gridSpan w:val="2"/>
            <w:shd w:val="clear" w:color="auto" w:fill="auto"/>
            <w:vAlign w:val="center"/>
          </w:tcPr>
          <w:p w14:paraId="0D68654F">
            <w:pPr>
              <w:widowControl/>
              <w:spacing w:line="360" w:lineRule="auto"/>
              <w:jc w:val="left"/>
              <w:rPr>
                <w:rFonts w:asciiTheme="minorEastAsia" w:hAnsiTheme="minorEastAsia" w:cstheme="minorEastAsia"/>
                <w:b/>
                <w:bCs/>
                <w:color w:val="000000"/>
                <w:kern w:val="0"/>
                <w:szCs w:val="21"/>
                <w:lang w:bidi="ar"/>
              </w:rPr>
            </w:pPr>
            <w:r>
              <w:rPr>
                <w:rFonts w:ascii="宋体" w:hAnsi="宋体" w:eastAsia="宋体" w:cs="宋体"/>
                <w:kern w:val="0"/>
                <w:sz w:val="24"/>
                <w:lang w:bidi="ar"/>
              </w:rPr>
              <w:t>设备配置与要求：</w:t>
            </w:r>
          </w:p>
          <w:p w14:paraId="2A67A73E">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1.液相色谱串联质谱检测系统 1 套</w:t>
            </w:r>
          </w:p>
          <w:p w14:paraId="1637B01E">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2.软件工作站1 套</w:t>
            </w:r>
          </w:p>
          <w:p w14:paraId="12AC2852">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3.氮气发生器 1 台</w:t>
            </w:r>
          </w:p>
          <w:p w14:paraId="247191B1">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4.UPS备用电源(延迟1小时) 1 套</w:t>
            </w:r>
          </w:p>
          <w:p w14:paraId="31056A64">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5.氩气1瓶</w:t>
            </w:r>
          </w:p>
          <w:p w14:paraId="7163271B">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6.电脑1台</w:t>
            </w:r>
          </w:p>
          <w:p w14:paraId="12326A3E">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7.打印机1台</w:t>
            </w:r>
          </w:p>
          <w:p w14:paraId="6D45FBC5">
            <w:pPr>
              <w:widowControl/>
              <w:spacing w:line="360" w:lineRule="auto"/>
              <w:jc w:val="left"/>
              <w:rPr>
                <w:rFonts w:asciiTheme="minorEastAsia" w:hAnsiTheme="minorEastAsia" w:cstheme="minorEastAsia"/>
                <w:color w:val="000000"/>
                <w:kern w:val="0"/>
                <w:szCs w:val="21"/>
                <w:lang w:bidi="ar"/>
              </w:rPr>
            </w:pPr>
            <w:r>
              <w:rPr>
                <w:rFonts w:ascii="宋体" w:hAnsi="宋体" w:eastAsia="宋体" w:cs="宋体"/>
                <w:kern w:val="0"/>
                <w:sz w:val="24"/>
                <w:lang w:bidi="ar"/>
              </w:rPr>
              <w:t>★</w:t>
            </w:r>
            <w:r>
              <w:rPr>
                <w:rFonts w:hint="eastAsia" w:asciiTheme="minorEastAsia" w:hAnsiTheme="minorEastAsia" w:cstheme="minorEastAsia"/>
                <w:color w:val="000000"/>
                <w:kern w:val="0"/>
                <w:szCs w:val="21"/>
                <w:lang w:bidi="ar"/>
              </w:rPr>
              <w:t>8.医械级（II类注册）色谱柱 2 套</w:t>
            </w:r>
          </w:p>
          <w:p w14:paraId="68B2B541">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9.维修工具包 1 套</w:t>
            </w:r>
          </w:p>
          <w:p w14:paraId="546333F6">
            <w:pPr>
              <w:spacing w:line="360" w:lineRule="auto"/>
            </w:pPr>
            <w:r>
              <w:rPr>
                <w:rFonts w:hint="eastAsia"/>
                <w:szCs w:val="21"/>
              </w:rPr>
              <w:t>10</w:t>
            </w:r>
            <w:r>
              <w:rPr>
                <w:rFonts w:hint="eastAsia" w:asciiTheme="minorEastAsia" w:hAnsiTheme="minorEastAsia" w:cstheme="minorEastAsia"/>
                <w:color w:val="000000"/>
                <w:kern w:val="0"/>
                <w:szCs w:val="21"/>
                <w:lang w:bidi="ar"/>
              </w:rPr>
              <w:t>.不少于</w:t>
            </w:r>
            <w:r>
              <w:rPr>
                <w:rFonts w:hint="eastAsia" w:asciiTheme="minorEastAsia" w:hAnsiTheme="minorEastAsia" w:cstheme="minorEastAsia"/>
                <w:szCs w:val="21"/>
              </w:rPr>
              <w:t>10个临床检测项目的方法学建立及现场性能验证服务</w:t>
            </w:r>
          </w:p>
        </w:tc>
      </w:tr>
      <w:tr w14:paraId="00EA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700" w:type="dxa"/>
            <w:shd w:val="clear" w:color="auto" w:fill="auto"/>
            <w:vAlign w:val="center"/>
          </w:tcPr>
          <w:p w14:paraId="109E36B5">
            <w:pPr>
              <w:widowControl/>
              <w:jc w:val="left"/>
            </w:pPr>
            <w:r>
              <w:rPr>
                <w:rFonts w:ascii="宋体" w:hAnsi="宋体" w:eastAsia="宋体" w:cs="宋体"/>
                <w:kern w:val="0"/>
                <w:sz w:val="24"/>
                <w:lang w:bidi="ar"/>
              </w:rPr>
              <w:t>三</w:t>
            </w:r>
          </w:p>
        </w:tc>
        <w:tc>
          <w:tcPr>
            <w:tcW w:w="8380" w:type="dxa"/>
            <w:gridSpan w:val="2"/>
            <w:shd w:val="clear" w:color="auto" w:fill="auto"/>
            <w:vAlign w:val="center"/>
          </w:tcPr>
          <w:p w14:paraId="5BF229B3">
            <w:pPr>
              <w:widowControl/>
              <w:jc w:val="left"/>
              <w:rPr>
                <w:rFonts w:ascii="宋体" w:hAnsi="宋体" w:eastAsia="宋体" w:cs="宋体"/>
                <w:kern w:val="0"/>
                <w:sz w:val="24"/>
                <w:lang w:bidi="ar"/>
              </w:rPr>
            </w:pPr>
            <w:r>
              <w:rPr>
                <w:rFonts w:ascii="宋体" w:hAnsi="宋体" w:eastAsia="宋体" w:cs="宋体"/>
                <w:kern w:val="0"/>
                <w:sz w:val="24"/>
                <w:lang w:bidi="ar"/>
              </w:rPr>
              <w:t>技术参数与性能要求：包含设备的核心性能参数、关键的硬件配置、软件模块功能、数据与系统兼容性（产生接口费用，由投标公司承担）</w:t>
            </w:r>
          </w:p>
          <w:p w14:paraId="50DEDFC8">
            <w:pPr>
              <w:widowControl/>
              <w:spacing w:line="360" w:lineRule="auto"/>
              <w:jc w:val="left"/>
            </w:pPr>
            <w:r>
              <w:rPr>
                <w:rFonts w:hint="eastAsia" w:ascii="宋体" w:hAnsi="宋体" w:eastAsia="宋体" w:cs="宋体"/>
                <w:b/>
                <w:bCs/>
                <w:color w:val="000000"/>
                <w:kern w:val="0"/>
                <w:sz w:val="20"/>
                <w:szCs w:val="20"/>
                <w:lang w:bidi="ar"/>
              </w:rPr>
              <w:t>硬件参数</w:t>
            </w:r>
          </w:p>
          <w:p w14:paraId="42CDC524">
            <w:pPr>
              <w:widowControl/>
              <w:spacing w:line="360" w:lineRule="auto"/>
              <w:jc w:val="left"/>
              <w:rPr>
                <w:rFonts w:asciiTheme="minorEastAsia" w:hAnsiTheme="minorEastAsia" w:cstheme="minorEastAsia"/>
                <w:b/>
                <w:bCs/>
                <w:szCs w:val="21"/>
              </w:rPr>
            </w:pPr>
            <w:r>
              <w:rPr>
                <w:rFonts w:hint="eastAsia" w:asciiTheme="minorEastAsia" w:hAnsiTheme="minorEastAsia" w:cstheme="minorEastAsia"/>
                <w:b/>
                <w:bCs/>
                <w:kern w:val="0"/>
                <w:szCs w:val="21"/>
                <w:lang w:bidi="ar"/>
              </w:rPr>
              <w:t xml:space="preserve">1.液相泵系统 </w:t>
            </w:r>
          </w:p>
          <w:p w14:paraId="3439E0BE">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szCs w:val="21"/>
              </w:rPr>
              <w:t>1.1</w:t>
            </w:r>
            <w:r>
              <w:rPr>
                <w:rFonts w:hint="eastAsia" w:asciiTheme="minorEastAsia" w:hAnsiTheme="minorEastAsia" w:cstheme="minorEastAsia"/>
                <w:kern w:val="0"/>
                <w:szCs w:val="21"/>
                <w:lang w:bidi="ar"/>
              </w:rPr>
              <w:t>流速范围：至少支持0.0001—10.0000 ml/min，0.0001ml/min 步进；</w:t>
            </w:r>
          </w:p>
          <w:p w14:paraId="1EA5D957">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1.2流速精密度：≤0.06 % RSD ；</w:t>
            </w:r>
          </w:p>
          <w:p w14:paraId="2E7894E3">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1.3安全机制：支持高压、低压报警、漏液报警等；</w:t>
            </w:r>
          </w:p>
          <w:p w14:paraId="00E475F0">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1.4梯度组成范围：0.0-100.0%, 0.1%步进；</w:t>
            </w:r>
          </w:p>
          <w:p w14:paraId="3256FDFB">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1.5梯度混合精度：±0.5%RSD；</w:t>
            </w:r>
          </w:p>
          <w:p w14:paraId="7EBD2626">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1.6要求液相色谱部分为模块化非一体机结构设计，满足频繁科研方法开发、拓展升级的便利性需求。</w:t>
            </w:r>
          </w:p>
          <w:p w14:paraId="57CC46E7">
            <w:pPr>
              <w:widowControl/>
              <w:spacing w:line="360" w:lineRule="auto"/>
              <w:jc w:val="left"/>
              <w:rPr>
                <w:rFonts w:asciiTheme="minorEastAsia" w:hAnsiTheme="minorEastAsia" w:cstheme="minorEastAsia"/>
                <w:kern w:val="0"/>
                <w:szCs w:val="21"/>
                <w:lang w:bidi="ar"/>
              </w:rPr>
            </w:pPr>
          </w:p>
          <w:p w14:paraId="0AFA5496">
            <w:pPr>
              <w:widowControl/>
              <w:spacing w:line="360" w:lineRule="auto"/>
              <w:jc w:val="left"/>
              <w:rPr>
                <w:rFonts w:asciiTheme="minorEastAsia" w:hAnsiTheme="minorEastAsia" w:cstheme="minorEastAsia"/>
                <w:b/>
                <w:bCs/>
                <w:kern w:val="0"/>
                <w:szCs w:val="21"/>
                <w:lang w:bidi="ar"/>
              </w:rPr>
            </w:pPr>
            <w:r>
              <w:rPr>
                <w:rFonts w:hint="eastAsia" w:asciiTheme="minorEastAsia" w:hAnsiTheme="minorEastAsia" w:cstheme="minorEastAsia"/>
                <w:b/>
                <w:bCs/>
                <w:kern w:val="0"/>
                <w:szCs w:val="21"/>
                <w:lang w:bidi="ar"/>
              </w:rPr>
              <w:t>2液相自动进样器</w:t>
            </w:r>
          </w:p>
          <w:p w14:paraId="5E6937B4">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szCs w:val="21"/>
              </w:rPr>
              <w:t>2.1</w:t>
            </w:r>
            <w:r>
              <w:rPr>
                <w:rFonts w:hint="eastAsia" w:asciiTheme="minorEastAsia" w:hAnsiTheme="minorEastAsia" w:cstheme="minorEastAsia"/>
                <w:kern w:val="0"/>
                <w:szCs w:val="21"/>
                <w:lang w:bidi="ar"/>
              </w:rPr>
              <w:t xml:space="preserve"> 进样量：0.1—100uL（最大可拓展至2000uL）,全量进量，进样量可变；</w:t>
            </w:r>
          </w:p>
          <w:p w14:paraId="7BCA572B">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2.2进样量准确度：≤1%；</w:t>
            </w:r>
          </w:p>
          <w:p w14:paraId="7DB06D76">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2.3进样量精密度：RSD≤0.25%；</w:t>
            </w:r>
          </w:p>
          <w:p w14:paraId="73667F57">
            <w:pPr>
              <w:widowControl/>
              <w:spacing w:line="360" w:lineRule="auto"/>
              <w:jc w:val="left"/>
              <w:rPr>
                <w:rFonts w:asciiTheme="minorEastAsia" w:hAnsiTheme="minorEastAsia" w:cstheme="minorEastAsia"/>
                <w:kern w:val="0"/>
                <w:szCs w:val="21"/>
                <w:lang w:bidi="ar"/>
              </w:rPr>
            </w:pPr>
            <w:r>
              <w:rPr>
                <w:rFonts w:hint="eastAsia" w:ascii="宋体" w:hAnsi="宋体" w:eastAsia="宋体" w:cs="宋体"/>
                <w:kern w:val="0"/>
                <w:szCs w:val="21"/>
                <w:lang w:bidi="ar"/>
              </w:rPr>
              <w:t>△</w:t>
            </w:r>
            <w:r>
              <w:rPr>
                <w:rFonts w:hint="eastAsia" w:asciiTheme="minorEastAsia" w:hAnsiTheme="minorEastAsia" w:cstheme="minorEastAsia"/>
                <w:szCs w:val="21"/>
              </w:rPr>
              <w:t>2.4</w:t>
            </w:r>
            <w:r>
              <w:rPr>
                <w:rFonts w:hint="eastAsia" w:asciiTheme="minorEastAsia" w:hAnsiTheme="minorEastAsia" w:cstheme="minorEastAsia"/>
                <w:kern w:val="0"/>
                <w:szCs w:val="21"/>
                <w:lang w:bidi="ar"/>
              </w:rPr>
              <w:t>交叉污染：≤0.0005% (萘、洗必泰，典型值)；</w:t>
            </w:r>
          </w:p>
          <w:p w14:paraId="61523E17">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szCs w:val="21"/>
              </w:rPr>
              <w:t>2.5</w:t>
            </w:r>
            <w:r>
              <w:rPr>
                <w:rFonts w:hint="eastAsia" w:asciiTheme="minorEastAsia" w:hAnsiTheme="minorEastAsia" w:cstheme="minorEastAsia"/>
                <w:kern w:val="0"/>
                <w:szCs w:val="21"/>
                <w:lang w:bidi="ar"/>
              </w:rPr>
              <w:t>进样线性: ≥0.9999；</w:t>
            </w:r>
          </w:p>
          <w:p w14:paraId="28AA9B31">
            <w:pPr>
              <w:widowControl/>
              <w:spacing w:line="360" w:lineRule="auto"/>
              <w:jc w:val="left"/>
              <w:rPr>
                <w:rFonts w:asciiTheme="minorEastAsia" w:hAnsiTheme="minorEastAsia" w:cstheme="minorEastAsia"/>
                <w:b/>
                <w:bCs/>
                <w:kern w:val="0"/>
                <w:szCs w:val="21"/>
                <w:lang w:bidi="ar"/>
              </w:rPr>
            </w:pPr>
            <w:r>
              <w:rPr>
                <w:rFonts w:hint="eastAsia" w:asciiTheme="minorEastAsia" w:hAnsiTheme="minorEastAsia" w:cstheme="minorEastAsia"/>
                <w:b/>
                <w:bCs/>
                <w:kern w:val="0"/>
                <w:szCs w:val="21"/>
                <w:lang w:bidi="ar"/>
              </w:rPr>
              <w:t>3柱温箱</w:t>
            </w:r>
          </w:p>
          <w:p w14:paraId="6D967739">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3.1 不少于双色谱柱同时运行，非单纯卡位，无需手工切换；（提供柱温箱实物图照片及工作原理图）</w:t>
            </w:r>
          </w:p>
          <w:p w14:paraId="47E46AB0">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3.2 具有色谱柱同步在线清洗功能：当一支色谱柱在进行分析工作时，另一支色谱柱同步自动清洗。连续100次测定结果不精密度＜20%（提供厂家出具的相关技术证明材料）</w:t>
            </w:r>
          </w:p>
          <w:p w14:paraId="67F3CC6E">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3.3 柱温箱集成独立控制面板，能够实时显示工作模式及工作状态；（提供柱温箱面板实物图照片）</w:t>
            </w:r>
          </w:p>
          <w:p w14:paraId="1B12D809">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3.4 为保证使用合规性和后期使用的便利性，需提供与所投产品同品牌的二类注册色谱柱</w:t>
            </w:r>
          </w:p>
          <w:p w14:paraId="43478E2C">
            <w:pPr>
              <w:widowControl/>
              <w:spacing w:line="360" w:lineRule="auto"/>
              <w:jc w:val="left"/>
              <w:rPr>
                <w:rFonts w:asciiTheme="minorEastAsia" w:hAnsiTheme="minorEastAsia" w:cstheme="minorEastAsia"/>
                <w:szCs w:val="21"/>
              </w:rPr>
            </w:pPr>
            <w:r>
              <w:rPr>
                <w:rFonts w:hint="eastAsia" w:asciiTheme="minorEastAsia" w:hAnsiTheme="minorEastAsia" w:cstheme="minorEastAsia"/>
                <w:b/>
                <w:bCs/>
                <w:kern w:val="0"/>
                <w:szCs w:val="21"/>
                <w:lang w:bidi="ar"/>
              </w:rPr>
              <w:t xml:space="preserve">4.质谱检测器 </w:t>
            </w:r>
          </w:p>
          <w:p w14:paraId="2C389498">
            <w:pPr>
              <w:widowControl/>
              <w:spacing w:line="360" w:lineRule="auto"/>
              <w:jc w:val="left"/>
              <w:rPr>
                <w:rFonts w:asciiTheme="minorEastAsia" w:hAnsiTheme="minorEastAsia" w:cstheme="minorEastAsia"/>
                <w:szCs w:val="21"/>
              </w:rPr>
            </w:pPr>
            <w:r>
              <w:rPr>
                <w:rFonts w:hint="eastAsia" w:asciiTheme="minorEastAsia" w:hAnsiTheme="minorEastAsia" w:cstheme="minorEastAsia"/>
                <w:kern w:val="0"/>
                <w:szCs w:val="21"/>
                <w:lang w:bidi="ar"/>
              </w:rPr>
              <w:t xml:space="preserve">4.1独立 ESI，无需卸真空即可拆洗离子源，常规维护免工具； </w:t>
            </w:r>
          </w:p>
          <w:p w14:paraId="1A068D9E">
            <w:pPr>
              <w:widowControl/>
              <w:spacing w:line="360" w:lineRule="auto"/>
              <w:jc w:val="left"/>
              <w:rPr>
                <w:rFonts w:asciiTheme="minorEastAsia" w:hAnsiTheme="minorEastAsia" w:cstheme="minorEastAsia"/>
                <w:szCs w:val="21"/>
              </w:rPr>
            </w:pPr>
            <w:r>
              <w:rPr>
                <w:rFonts w:hint="eastAsia" w:asciiTheme="minorEastAsia" w:hAnsiTheme="minorEastAsia" w:cstheme="minorEastAsia"/>
                <w:kern w:val="0"/>
                <w:szCs w:val="21"/>
                <w:lang w:bidi="ar"/>
              </w:rPr>
              <w:t>4.2</w:t>
            </w:r>
            <w:r>
              <w:rPr>
                <w:rFonts w:hint="eastAsia" w:ascii="宋体" w:hAnsi="宋体" w:eastAsia="宋体" w:cs="宋体"/>
                <w:kern w:val="0"/>
                <w:szCs w:val="21"/>
                <w:lang w:bidi="ar"/>
              </w:rPr>
              <w:t>离子源采用两路辅助加热雾化气，辅助加热气温度＞ 600℃，可确保最大的离子化效率</w:t>
            </w:r>
            <w:r>
              <w:rPr>
                <w:rFonts w:hint="eastAsia" w:asciiTheme="minorEastAsia" w:hAnsiTheme="minorEastAsia" w:cstheme="minorEastAsia"/>
                <w:kern w:val="0"/>
                <w:szCs w:val="21"/>
                <w:lang w:bidi="ar"/>
              </w:rPr>
              <w:t xml:space="preserve">； </w:t>
            </w:r>
          </w:p>
          <w:p w14:paraId="7A65EC38">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4.3质量范围： 至少支持m/z  2-1950；</w:t>
            </w:r>
          </w:p>
          <w:p w14:paraId="2DBA18ED">
            <w:pPr>
              <w:widowControl/>
              <w:spacing w:line="360" w:lineRule="auto"/>
              <w:jc w:val="left"/>
              <w:rPr>
                <w:rFonts w:asciiTheme="minorEastAsia" w:hAnsiTheme="minorEastAsia" w:cstheme="minorEastAsia"/>
                <w:kern w:val="0"/>
                <w:szCs w:val="21"/>
                <w:lang w:bidi="ar"/>
              </w:rPr>
            </w:pPr>
            <w:r>
              <w:rPr>
                <w:rFonts w:ascii="宋体" w:hAnsi="宋体" w:eastAsia="宋体" w:cs="宋体"/>
                <w:kern w:val="0"/>
                <w:sz w:val="24"/>
                <w:lang w:bidi="ar"/>
              </w:rPr>
              <w:t>▲</w:t>
            </w:r>
            <w:r>
              <w:rPr>
                <w:rFonts w:hint="eastAsia" w:asciiTheme="minorEastAsia" w:hAnsiTheme="minorEastAsia" w:cstheme="minorEastAsia"/>
                <w:kern w:val="0"/>
                <w:szCs w:val="21"/>
                <w:lang w:bidi="ar"/>
              </w:rPr>
              <w:t>4.4扫描速度： 最高可达30000Da/sec ；</w:t>
            </w:r>
          </w:p>
          <w:p w14:paraId="3CD8F9FF">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4.5质量稳定性：≤ 0.05u/24hr；</w:t>
            </w:r>
          </w:p>
          <w:p w14:paraId="5E3F5ED8">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4.6动态线性范围：最高可达 10</w:t>
            </w:r>
            <w:r>
              <w:rPr>
                <w:rFonts w:hint="eastAsia" w:asciiTheme="minorEastAsia" w:hAnsiTheme="minorEastAsia" w:cstheme="minorEastAsia"/>
                <w:kern w:val="0"/>
                <w:szCs w:val="21"/>
                <w:vertAlign w:val="superscript"/>
                <w:lang w:bidi="ar"/>
              </w:rPr>
              <w:t>7</w:t>
            </w:r>
            <w:r>
              <w:rPr>
                <w:rFonts w:hint="eastAsia" w:asciiTheme="minorEastAsia" w:hAnsiTheme="minorEastAsia" w:cstheme="minorEastAsia"/>
                <w:kern w:val="0"/>
                <w:szCs w:val="21"/>
                <w:lang w:bidi="ar"/>
              </w:rPr>
              <w:t>；（十的七次方）</w:t>
            </w:r>
          </w:p>
          <w:p w14:paraId="45CB698D">
            <w:pPr>
              <w:widowControl/>
              <w:spacing w:line="360" w:lineRule="auto"/>
              <w:jc w:val="left"/>
              <w:rPr>
                <w:rFonts w:asciiTheme="minorEastAsia" w:hAnsiTheme="minorEastAsia" w:cstheme="minorEastAsia"/>
                <w:kern w:val="0"/>
                <w:szCs w:val="21"/>
                <w:lang w:bidi="ar"/>
              </w:rPr>
            </w:pPr>
            <w:r>
              <w:rPr>
                <w:rFonts w:hint="eastAsia" w:asciiTheme="minorEastAsia" w:hAnsiTheme="minorEastAsia" w:cstheme="minorEastAsia"/>
                <w:kern w:val="0"/>
                <w:szCs w:val="21"/>
                <w:lang w:bidi="ar"/>
              </w:rPr>
              <w:t>4.7最小延迟时间：≤ 1msec；</w:t>
            </w:r>
          </w:p>
          <w:p w14:paraId="4C4F5D82">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4.8正负极切换时间：≤ 5msec；</w:t>
            </w:r>
          </w:p>
          <w:p w14:paraId="0D74D1C4">
            <w:pPr>
              <w:widowControl/>
              <w:spacing w:line="360" w:lineRule="auto"/>
              <w:jc w:val="left"/>
              <w:rPr>
                <w:rFonts w:asciiTheme="minorEastAsia" w:hAnsiTheme="minorEastAsia" w:cstheme="minorEastAsia"/>
                <w:color w:val="000000"/>
                <w:kern w:val="0"/>
                <w:szCs w:val="21"/>
                <w:lang w:bidi="ar"/>
              </w:rPr>
            </w:pPr>
            <w:r>
              <w:rPr>
                <w:rFonts w:ascii="宋体" w:hAnsi="宋体" w:eastAsia="宋体" w:cs="宋体"/>
                <w:kern w:val="0"/>
                <w:sz w:val="24"/>
                <w:lang w:bidi="ar"/>
              </w:rPr>
              <w:t>▲</w:t>
            </w:r>
            <w:r>
              <w:rPr>
                <w:rFonts w:hint="eastAsia" w:asciiTheme="minorEastAsia" w:hAnsiTheme="minorEastAsia" w:cstheme="minorEastAsia"/>
                <w:szCs w:val="21"/>
              </w:rPr>
              <w:t>4.9</w:t>
            </w:r>
            <w:r>
              <w:rPr>
                <w:rFonts w:hint="eastAsia" w:asciiTheme="minorEastAsia" w:hAnsiTheme="minorEastAsia" w:cstheme="minorEastAsia"/>
                <w:color w:val="000000"/>
                <w:kern w:val="0"/>
                <w:szCs w:val="21"/>
                <w:lang w:bidi="ar"/>
              </w:rPr>
              <w:t>检测限：</w:t>
            </w:r>
          </w:p>
          <w:p w14:paraId="54E8E14C">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（ESI+）正离子：1pg 利血平，MRM（609-&gt;195）， S/N &gt;600000:1（RMS）；</w:t>
            </w:r>
          </w:p>
          <w:p w14:paraId="3FEC01CC">
            <w:pPr>
              <w:widowControl/>
              <w:spacing w:line="360" w:lineRule="auto"/>
              <w:jc w:val="left"/>
              <w:rPr>
                <w:rFonts w:asciiTheme="minorEastAsia" w:hAnsiTheme="minorEastAsia" w:cstheme="minorEastAsia"/>
                <w:color w:val="000000"/>
                <w:kern w:val="0"/>
                <w:szCs w:val="21"/>
                <w:lang w:bidi="ar"/>
              </w:rPr>
            </w:pPr>
            <w:r>
              <w:rPr>
                <w:rFonts w:hint="eastAsia" w:asciiTheme="minorEastAsia" w:hAnsiTheme="minorEastAsia" w:cstheme="minorEastAsia"/>
                <w:color w:val="000000"/>
                <w:kern w:val="0"/>
                <w:szCs w:val="21"/>
                <w:lang w:bidi="ar"/>
              </w:rPr>
              <w:t>（ESI-）负离子：1pg 氯霉素，MRM（321-&gt;152）， S/N &gt;500000:1（RMS）；（提供国家权威机构检测报告）</w:t>
            </w:r>
          </w:p>
          <w:p w14:paraId="383AF184">
            <w:pPr>
              <w:widowControl/>
              <w:spacing w:line="360" w:lineRule="auto"/>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4.10  Q1带有预四极杆和后四极杆，用作离子聚焦和抗污染功能，预四极杆要求为非S型；</w:t>
            </w:r>
          </w:p>
          <w:p w14:paraId="56015FF4">
            <w:pPr>
              <w:widowControl/>
              <w:spacing w:line="360" w:lineRule="auto"/>
              <w:jc w:val="left"/>
              <w:rPr>
                <w:rFonts w:ascii="宋体" w:hAnsi="宋体" w:eastAsia="宋体" w:cs="宋体"/>
                <w:kern w:val="0"/>
                <w:szCs w:val="21"/>
                <w:lang w:bidi="ar"/>
              </w:rPr>
            </w:pPr>
            <w:r>
              <w:rPr>
                <w:rFonts w:ascii="宋体" w:hAnsi="宋体" w:eastAsia="宋体" w:cs="宋体"/>
                <w:kern w:val="0"/>
                <w:sz w:val="24"/>
                <w:lang w:bidi="ar"/>
              </w:rPr>
              <w:t>▲</w:t>
            </w:r>
            <w:r>
              <w:rPr>
                <w:rFonts w:hint="eastAsia" w:ascii="宋体" w:hAnsi="宋体" w:eastAsia="宋体" w:cs="宋体"/>
                <w:kern w:val="0"/>
                <w:szCs w:val="21"/>
                <w:lang w:bidi="ar"/>
              </w:rPr>
              <w:t>4.11 要求碰撞池为非弯曲型；</w:t>
            </w:r>
          </w:p>
          <w:p w14:paraId="2B9B0AF1">
            <w:pPr>
              <w:widowControl/>
              <w:spacing w:line="360" w:lineRule="auto"/>
              <w:jc w:val="left"/>
              <w:rPr>
                <w:rFonts w:ascii="宋体" w:hAnsi="宋体" w:eastAsia="宋体" w:cs="宋体"/>
                <w:kern w:val="0"/>
                <w:szCs w:val="21"/>
                <w:lang w:bidi="ar"/>
              </w:rPr>
            </w:pPr>
            <w:r>
              <w:rPr>
                <w:rFonts w:ascii="宋体" w:hAnsi="宋体" w:eastAsia="宋体" w:cs="宋体"/>
                <w:kern w:val="0"/>
                <w:sz w:val="24"/>
                <w:lang w:bidi="ar"/>
              </w:rPr>
              <w:t>▲</w:t>
            </w:r>
            <w:r>
              <w:rPr>
                <w:rFonts w:hint="eastAsia" w:ascii="宋体" w:hAnsi="宋体" w:eastAsia="宋体" w:cs="宋体"/>
                <w:kern w:val="0"/>
                <w:szCs w:val="21"/>
                <w:lang w:bidi="ar"/>
              </w:rPr>
              <w:t>4.12 离子传输通道：采用非锥孔类结构设计，不存在锥孔堵塞问题；（提供离子源接口的实物结构图并加盖制造商公章作为佐证）</w:t>
            </w:r>
          </w:p>
          <w:p w14:paraId="4B0A7C94">
            <w:pPr>
              <w:widowControl/>
              <w:spacing w:line="360" w:lineRule="auto"/>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4.13 检测器： 离轴连续打拿电子倍增器，动态范围≥2×10</w:t>
            </w:r>
            <w:r>
              <w:rPr>
                <w:rFonts w:hint="eastAsia" w:ascii="宋体" w:hAnsi="宋体" w:eastAsia="宋体" w:cs="宋体"/>
                <w:color w:val="000000"/>
                <w:kern w:val="0"/>
                <w:szCs w:val="21"/>
                <w:vertAlign w:val="superscript"/>
                <w:lang w:bidi="ar"/>
              </w:rPr>
              <w:t>7</w:t>
            </w:r>
            <w:r>
              <w:rPr>
                <w:rFonts w:hint="eastAsia" w:ascii="宋体" w:hAnsi="宋体" w:eastAsia="宋体" w:cs="宋体"/>
                <w:color w:val="000000"/>
                <w:kern w:val="0"/>
                <w:szCs w:val="21"/>
                <w:lang w:bidi="ar"/>
              </w:rPr>
              <w:t>，检测器前端采用具备离子聚焦及中性噪音过滤功能的电子透镜设计。</w:t>
            </w:r>
          </w:p>
          <w:p w14:paraId="19B389FB">
            <w:pPr>
              <w:widowControl/>
              <w:spacing w:line="360" w:lineRule="auto"/>
              <w:jc w:val="left"/>
              <w:rPr>
                <w:rFonts w:asciiTheme="minorEastAsia" w:hAnsiTheme="minorEastAsia" w:cstheme="minorEastAsia"/>
                <w:b/>
                <w:bCs/>
                <w:kern w:val="0"/>
                <w:szCs w:val="21"/>
                <w:lang w:bidi="ar"/>
              </w:rPr>
            </w:pPr>
            <w:r>
              <w:rPr>
                <w:rFonts w:hint="eastAsia" w:asciiTheme="minorEastAsia" w:hAnsiTheme="minorEastAsia" w:cstheme="minorEastAsia"/>
                <w:b/>
                <w:bCs/>
                <w:kern w:val="0"/>
                <w:szCs w:val="21"/>
                <w:lang w:bidi="ar"/>
              </w:rPr>
              <w:t>5.软件工作站</w:t>
            </w:r>
          </w:p>
          <w:p w14:paraId="300F2A8F">
            <w:pPr>
              <w:widowControl/>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5.1液质联用分析软件：要求为全中文界面，可自由添加、修改、提取化合物的信息以及分析和处理方法；</w:t>
            </w:r>
          </w:p>
          <w:p w14:paraId="5ABA771C">
            <w:pPr>
              <w:widowControl/>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5.2要求可实现与HIS/LIS系统连接；可实现报告通过互联网发送；</w:t>
            </w:r>
          </w:p>
          <w:p w14:paraId="5A5A7E01">
            <w:pPr>
              <w:widowControl/>
              <w:spacing w:line="360" w:lineRule="auto"/>
              <w:jc w:val="left"/>
              <w:rPr>
                <w:rFonts w:ascii="宋体" w:hAnsi="宋体" w:eastAsia="宋体" w:cs="宋体"/>
                <w:color w:val="000000"/>
                <w:kern w:val="0"/>
                <w:szCs w:val="21"/>
                <w:lang w:bidi="ar"/>
              </w:rPr>
            </w:pPr>
            <w:r>
              <w:rPr>
                <w:rFonts w:hint="eastAsia" w:ascii="宋体" w:hAnsi="宋体" w:eastAsia="宋体" w:cs="宋体"/>
                <w:kern w:val="0"/>
                <w:szCs w:val="21"/>
                <w:lang w:bidi="ar"/>
              </w:rPr>
              <w:t>5.3</w:t>
            </w:r>
            <w:r>
              <w:rPr>
                <w:rFonts w:ascii="宋体" w:hAnsi="宋体" w:eastAsia="宋体" w:cs="宋体"/>
                <w:kern w:val="0"/>
                <w:szCs w:val="21"/>
                <w:lang w:bidi="ar"/>
              </w:rPr>
              <w:t>支持自动调谐功能</w:t>
            </w:r>
            <w:r>
              <w:rPr>
                <w:rFonts w:ascii="宋体" w:hAnsi="宋体" w:eastAsia="宋体" w:cs="宋体"/>
                <w:color w:val="000000"/>
                <w:kern w:val="0"/>
                <w:szCs w:val="21"/>
                <w:lang w:bidi="ar"/>
              </w:rPr>
              <w:t>，具备审计追踪、数据库定制及优化，符合 FDA、CFR、 GMP/GLP 规范要求。</w:t>
            </w:r>
          </w:p>
          <w:p w14:paraId="3EB5A6EF">
            <w:pPr>
              <w:widowControl/>
              <w:jc w:val="left"/>
              <w:rPr>
                <w:rFonts w:ascii="宋体" w:hAnsi="宋体" w:eastAsia="宋体" w:cs="宋体"/>
                <w:kern w:val="0"/>
                <w:sz w:val="24"/>
                <w:lang w:bidi="ar"/>
              </w:rPr>
            </w:pPr>
          </w:p>
        </w:tc>
      </w:tr>
      <w:tr w14:paraId="3D8F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700" w:type="dxa"/>
            <w:shd w:val="clear" w:color="auto" w:fill="auto"/>
            <w:vAlign w:val="center"/>
          </w:tcPr>
          <w:p w14:paraId="54A92E24">
            <w:pPr>
              <w:widowControl/>
              <w:jc w:val="left"/>
            </w:pPr>
            <w:r>
              <w:rPr>
                <w:rFonts w:ascii="宋体" w:hAnsi="宋体" w:eastAsia="宋体" w:cs="宋体"/>
                <w:kern w:val="0"/>
                <w:sz w:val="24"/>
                <w:lang w:bidi="ar"/>
              </w:rPr>
              <w:t>四</w:t>
            </w:r>
          </w:p>
        </w:tc>
        <w:tc>
          <w:tcPr>
            <w:tcW w:w="8380" w:type="dxa"/>
            <w:gridSpan w:val="2"/>
            <w:shd w:val="clear" w:color="auto" w:fill="FFFFFF"/>
            <w:vAlign w:val="center"/>
          </w:tcPr>
          <w:p w14:paraId="2375544C">
            <w:pPr>
              <w:widowControl/>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配套试剂</w:t>
            </w:r>
            <w:r>
              <w:rPr>
                <w:rFonts w:ascii="var(--dsw-font-markdown-table-h" w:hAnsi="var(--dsw-font-markdown-table-h" w:eastAsia="var(--dsw-font-markdown-table-h" w:cs="var(--dsw-font-markdown-table-h"/>
                <w:color w:val="000000"/>
                <w:kern w:val="0"/>
                <w:sz w:val="24"/>
                <w:bdr w:val="single" w:color="000000" w:sz="4" w:space="0"/>
                <w:shd w:val="clear" w:color="auto" w:fill="FFFFFF"/>
                <w:lang w:bidi="ar"/>
              </w:rPr>
              <w:t>/</w:t>
            </w:r>
            <w:r>
              <w:rPr>
                <w:rFonts w:hint="eastAsia" w:ascii="宋体" w:hAnsi="宋体" w:eastAsia="宋体" w:cs="宋体"/>
                <w:color w:val="000000"/>
                <w:kern w:val="0"/>
                <w:sz w:val="24"/>
                <w:lang w:bidi="ar"/>
              </w:rPr>
              <w:t>耗材要求：设备是否需要使用试剂/耗材？试剂/耗材为专机专用类还是通用类？不需要可写“无”</w:t>
            </w:r>
          </w:p>
          <w:p w14:paraId="2FD2602D">
            <w:pPr>
              <w:widowControl/>
              <w:jc w:val="left"/>
              <w:rPr>
                <w:rFonts w:ascii="宋体" w:hAnsi="宋体" w:eastAsia="宋体" w:cs="宋体"/>
                <w:color w:val="000000"/>
                <w:kern w:val="0"/>
                <w:sz w:val="24"/>
                <w:lang w:bidi="ar"/>
              </w:rPr>
            </w:pPr>
          </w:p>
          <w:p w14:paraId="12385261">
            <w:pPr>
              <w:widowControl/>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是，试剂耗材是通用类耗材。</w:t>
            </w:r>
          </w:p>
        </w:tc>
      </w:tr>
      <w:tr w14:paraId="3B6BE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700" w:type="dxa"/>
            <w:shd w:val="clear" w:color="auto" w:fill="auto"/>
            <w:vAlign w:val="center"/>
          </w:tcPr>
          <w:p w14:paraId="7D1DF1A4">
            <w:pPr>
              <w:widowControl/>
              <w:jc w:val="left"/>
            </w:pPr>
            <w:r>
              <w:rPr>
                <w:rFonts w:ascii="宋体" w:hAnsi="宋体" w:eastAsia="宋体" w:cs="宋体"/>
                <w:kern w:val="0"/>
                <w:sz w:val="24"/>
                <w:lang w:bidi="ar"/>
              </w:rPr>
              <w:t>五</w:t>
            </w:r>
          </w:p>
        </w:tc>
        <w:tc>
          <w:tcPr>
            <w:tcW w:w="8380" w:type="dxa"/>
            <w:gridSpan w:val="2"/>
            <w:shd w:val="clear" w:color="auto" w:fill="auto"/>
            <w:vAlign w:val="center"/>
          </w:tcPr>
          <w:p w14:paraId="73B7A981">
            <w:pPr>
              <w:widowControl/>
              <w:jc w:val="left"/>
              <w:rPr>
                <w:rFonts w:ascii="宋体" w:hAnsi="宋体" w:eastAsia="宋体" w:cs="宋体"/>
                <w:kern w:val="0"/>
                <w:sz w:val="24"/>
                <w:lang w:bidi="ar"/>
              </w:rPr>
            </w:pPr>
            <w:r>
              <w:rPr>
                <w:rFonts w:ascii="宋体" w:hAnsi="宋体" w:eastAsia="宋体" w:cs="宋体"/>
                <w:kern w:val="0"/>
                <w:sz w:val="24"/>
                <w:lang w:bidi="ar"/>
              </w:rPr>
              <w:t>售后服务要求（免费保修期≥__</w:t>
            </w:r>
            <w:r>
              <w:rPr>
                <w:rFonts w:hint="eastAsia" w:ascii="宋体" w:hAnsi="宋体" w:eastAsia="宋体" w:cs="宋体"/>
                <w:kern w:val="0"/>
                <w:sz w:val="24"/>
                <w:u w:val="single"/>
                <w:lang w:bidi="ar"/>
              </w:rPr>
              <w:t>3</w:t>
            </w:r>
            <w:r>
              <w:rPr>
                <w:rFonts w:ascii="宋体" w:hAnsi="宋体" w:eastAsia="宋体" w:cs="宋体"/>
                <w:kern w:val="0"/>
                <w:sz w:val="24"/>
                <w:lang w:bidi="ar"/>
              </w:rPr>
              <w:t>__年，现场响应时间：≤__</w:t>
            </w:r>
            <w:r>
              <w:rPr>
                <w:rFonts w:hint="eastAsia" w:ascii="宋体" w:hAnsi="宋体" w:eastAsia="宋体" w:cs="宋体"/>
                <w:kern w:val="0"/>
                <w:sz w:val="24"/>
                <w:u w:val="single"/>
                <w:lang w:bidi="ar"/>
              </w:rPr>
              <w:t>48</w:t>
            </w:r>
            <w:r>
              <w:rPr>
                <w:rFonts w:ascii="宋体" w:hAnsi="宋体" w:eastAsia="宋体" w:cs="宋体"/>
                <w:kern w:val="0"/>
                <w:sz w:val="24"/>
                <w:lang w:bidi="ar"/>
              </w:rPr>
              <w:t>__小时，维修期间是否供备用机，设备技术培训，设备使用年限≥__</w:t>
            </w:r>
            <w:r>
              <w:rPr>
                <w:rFonts w:hint="eastAsia" w:ascii="宋体" w:hAnsi="宋体" w:eastAsia="宋体" w:cs="宋体"/>
                <w:kern w:val="0"/>
                <w:sz w:val="24"/>
                <w:u w:val="single"/>
                <w:lang w:bidi="ar"/>
              </w:rPr>
              <w:t>10</w:t>
            </w:r>
            <w:r>
              <w:rPr>
                <w:rFonts w:ascii="宋体" w:hAnsi="宋体" w:eastAsia="宋体" w:cs="宋体"/>
                <w:kern w:val="0"/>
                <w:sz w:val="24"/>
                <w:lang w:bidi="ar"/>
              </w:rPr>
              <w:t>__年等）</w:t>
            </w:r>
          </w:p>
          <w:p w14:paraId="52DAFA10">
            <w:pPr>
              <w:widowControl/>
              <w:jc w:val="left"/>
              <w:rPr>
                <w:rFonts w:hint="eastAsia" w:ascii="宋体" w:hAnsi="宋体" w:eastAsia="宋体" w:cs="宋体"/>
                <w:kern w:val="0"/>
                <w:sz w:val="24"/>
                <w:lang w:bidi="ar"/>
              </w:rPr>
            </w:pPr>
          </w:p>
          <w:p w14:paraId="7EE64F05">
            <w:pPr>
              <w:widowControl/>
              <w:jc w:val="left"/>
              <w:rPr>
                <w:rFonts w:ascii="宋体" w:hAnsi="宋体" w:eastAsia="宋体" w:cs="宋体"/>
                <w:kern w:val="0"/>
                <w:sz w:val="24"/>
                <w:lang w:bidi="ar"/>
              </w:rPr>
            </w:pPr>
            <w:r>
              <w:rPr>
                <w:rFonts w:hint="eastAsia" w:ascii="宋体" w:hAnsi="宋体" w:eastAsia="宋体" w:cs="宋体"/>
                <w:kern w:val="0"/>
                <w:sz w:val="24"/>
                <w:lang w:bidi="ar"/>
              </w:rPr>
              <w:t>维修机器超1周需提供备用机，需提供设备技术培训。</w:t>
            </w:r>
          </w:p>
        </w:tc>
      </w:tr>
      <w:tr w14:paraId="672F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9080" w:type="dxa"/>
            <w:gridSpan w:val="3"/>
            <w:shd w:val="clear" w:color="auto" w:fill="auto"/>
            <w:vAlign w:val="center"/>
          </w:tcPr>
          <w:p w14:paraId="378ABEC0">
            <w:pPr>
              <w:widowControl/>
              <w:jc w:val="left"/>
              <w:rPr>
                <w:color w:val="FF0000"/>
                <w:sz w:val="24"/>
              </w:rPr>
            </w:pPr>
            <w:r>
              <w:rPr>
                <w:rFonts w:ascii="宋体" w:hAnsi="宋体" w:eastAsia="宋体" w:cs="宋体"/>
                <w:color w:val="FF0000"/>
                <w:kern w:val="0"/>
                <w:sz w:val="24"/>
                <w:lang w:bidi="ar"/>
              </w:rPr>
              <w:t>特别提醒：</w:t>
            </w:r>
            <w:r>
              <w:rPr>
                <w:rFonts w:ascii="宋体" w:hAnsi="宋体" w:eastAsia="宋体" w:cs="宋体"/>
                <w:color w:val="FF0000"/>
                <w:kern w:val="0"/>
                <w:sz w:val="24"/>
                <w:lang w:bidi="ar"/>
              </w:rPr>
              <w:br w:type="textWrapping"/>
            </w:r>
            <w:r>
              <w:rPr>
                <w:rFonts w:ascii="宋体" w:hAnsi="宋体" w:eastAsia="宋体" w:cs="宋体"/>
                <w:color w:val="FF0000"/>
                <w:kern w:val="0"/>
                <w:sz w:val="24"/>
                <w:lang w:bidi="ar"/>
              </w:rPr>
              <w:t>①标“▲”号的为实质性参数，任意一项“▲”参数未达到，即做废标处理；</w:t>
            </w:r>
            <w:r>
              <w:rPr>
                <w:rFonts w:ascii="宋体" w:hAnsi="宋体" w:eastAsia="宋体" w:cs="宋体"/>
                <w:color w:val="FF0000"/>
                <w:kern w:val="0"/>
                <w:sz w:val="24"/>
                <w:lang w:bidi="ar"/>
              </w:rPr>
              <w:br w:type="textWrapping"/>
            </w:r>
            <w:r>
              <w:rPr>
                <w:rFonts w:ascii="宋体" w:hAnsi="宋体" w:eastAsia="宋体" w:cs="宋体"/>
                <w:color w:val="FF0000"/>
                <w:kern w:val="0"/>
                <w:sz w:val="24"/>
                <w:lang w:bidi="ar"/>
              </w:rPr>
              <w:t>②标“★”号的为重要参数，是分值权重较高的参数；</w:t>
            </w:r>
          </w:p>
        </w:tc>
      </w:tr>
    </w:tbl>
    <w:p w14:paraId="60C3214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ar(--dsw-font-markdown-table-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49502844-22B6-4656-A963-FBEC010339A1}"/>
    <w:docVar w:name="KY_MEDREF_VERSION" w:val="3"/>
  </w:docVars>
  <w:rsids>
    <w:rsidRoot w:val="009D6CE8"/>
    <w:rsid w:val="001F669D"/>
    <w:rsid w:val="002D7CCE"/>
    <w:rsid w:val="003B50DD"/>
    <w:rsid w:val="009D6CE8"/>
    <w:rsid w:val="00DF6FBE"/>
    <w:rsid w:val="0A9B415C"/>
    <w:rsid w:val="0FE070E2"/>
    <w:rsid w:val="18065216"/>
    <w:rsid w:val="18B756F2"/>
    <w:rsid w:val="197E0A92"/>
    <w:rsid w:val="340A2063"/>
    <w:rsid w:val="3FB5435F"/>
    <w:rsid w:val="55A463B5"/>
    <w:rsid w:val="56601336"/>
    <w:rsid w:val="58B56BC6"/>
    <w:rsid w:val="5E797E43"/>
    <w:rsid w:val="61D5318F"/>
    <w:rsid w:val="62BB5B68"/>
    <w:rsid w:val="66A4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9"/>
    <w:qFormat/>
    <w:uiPriority w:val="0"/>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customStyle="1" w:styleId="9">
    <w:name w:val="font21"/>
    <w:basedOn w:val="7"/>
    <w:qFormat/>
    <w:uiPriority w:val="0"/>
    <w:rPr>
      <w:rFonts w:hint="eastAsia" w:ascii="宋体" w:hAnsi="宋体" w:eastAsia="宋体" w:cs="宋体"/>
      <w:b/>
      <w:bCs/>
      <w:color w:val="000000"/>
      <w:sz w:val="24"/>
      <w:szCs w:val="24"/>
      <w:u w:val="none"/>
    </w:rPr>
  </w:style>
  <w:style w:type="character" w:customStyle="1" w:styleId="10">
    <w:name w:val="font101"/>
    <w:basedOn w:val="7"/>
    <w:qFormat/>
    <w:uiPriority w:val="0"/>
    <w:rPr>
      <w:rFonts w:hint="eastAsia" w:ascii="宋体" w:hAnsi="宋体" w:eastAsia="宋体" w:cs="宋体"/>
      <w:color w:val="000000"/>
      <w:sz w:val="24"/>
      <w:szCs w:val="24"/>
      <w:u w:val="none"/>
    </w:rPr>
  </w:style>
  <w:style w:type="character" w:customStyle="1" w:styleId="11">
    <w:name w:val="font112"/>
    <w:basedOn w:val="7"/>
    <w:qFormat/>
    <w:uiPriority w:val="0"/>
    <w:rPr>
      <w:rFonts w:ascii="var(--dsw-font-markdown-table-h" w:hAnsi="var(--dsw-font-markdown-table-h" w:eastAsia="var(--dsw-font-markdown-table-h" w:cs="var(--dsw-font-markdown-table-h"/>
      <w:color w:val="000000"/>
      <w:sz w:val="24"/>
      <w:szCs w:val="24"/>
      <w:bdr w:val="single" w:color="000000" w:sz="4" w:space="0"/>
      <w:shd w:val="clear" w:color="auto" w:fill="FFFFFF"/>
    </w:rPr>
  </w:style>
  <w:style w:type="character" w:customStyle="1" w:styleId="12">
    <w:name w:val="font61"/>
    <w:basedOn w:val="7"/>
    <w:qFormat/>
    <w:uiPriority w:val="0"/>
    <w:rPr>
      <w:rFonts w:hint="eastAsia" w:ascii="宋体" w:hAnsi="宋体" w:eastAsia="宋体" w:cs="宋体"/>
      <w:color w:val="0F1115"/>
      <w:sz w:val="24"/>
      <w:szCs w:val="24"/>
      <w:u w:val="none"/>
    </w:rPr>
  </w:style>
  <w:style w:type="character" w:customStyle="1" w:styleId="13">
    <w:name w:val="font11"/>
    <w:basedOn w:val="7"/>
    <w:qFormat/>
    <w:uiPriority w:val="0"/>
    <w:rPr>
      <w:rFonts w:hint="eastAsia" w:ascii="宋体" w:hAnsi="宋体" w:eastAsia="宋体" w:cs="宋体"/>
      <w:b/>
      <w:bCs/>
      <w:color w:val="000000"/>
      <w:sz w:val="24"/>
      <w:szCs w:val="24"/>
      <w:u w:val="none"/>
    </w:rPr>
  </w:style>
  <w:style w:type="character" w:customStyle="1" w:styleId="14">
    <w:name w:val="font31"/>
    <w:basedOn w:val="7"/>
    <w:qFormat/>
    <w:uiPriority w:val="0"/>
    <w:rPr>
      <w:rFonts w:hint="eastAsia" w:ascii="宋体" w:hAnsi="宋体" w:eastAsia="宋体" w:cs="宋体"/>
      <w:b/>
      <w:bCs/>
      <w:color w:val="FF0000"/>
      <w:sz w:val="24"/>
      <w:szCs w:val="24"/>
      <w:u w:val="none"/>
    </w:rPr>
  </w:style>
  <w:style w:type="character" w:customStyle="1" w:styleId="15">
    <w:name w:val="font71"/>
    <w:basedOn w:val="7"/>
    <w:qFormat/>
    <w:uiPriority w:val="0"/>
    <w:rPr>
      <w:rFonts w:hint="eastAsia" w:ascii="宋体" w:hAnsi="宋体" w:eastAsia="宋体" w:cs="宋体"/>
      <w:color w:val="000000"/>
      <w:sz w:val="24"/>
      <w:szCs w:val="24"/>
      <w:u w:val="none"/>
    </w:rPr>
  </w:style>
  <w:style w:type="character" w:customStyle="1" w:styleId="16">
    <w:name w:val="font81"/>
    <w:basedOn w:val="7"/>
    <w:qFormat/>
    <w:uiPriority w:val="0"/>
    <w:rPr>
      <w:rFonts w:ascii="var(--dsw-font-markdown-table-h" w:hAnsi="var(--dsw-font-markdown-table-h" w:eastAsia="var(--dsw-font-markdown-table-h" w:cs="var(--dsw-font-markdown-table-h"/>
      <w:color w:val="000000"/>
      <w:sz w:val="24"/>
      <w:szCs w:val="24"/>
      <w:bdr w:val="single" w:color="000000" w:sz="4" w:space="0"/>
      <w:shd w:val="clear" w:color="auto" w:fill="FFFFFF"/>
    </w:rPr>
  </w:style>
  <w:style w:type="character" w:customStyle="1" w:styleId="17">
    <w:name w:val="font41"/>
    <w:basedOn w:val="7"/>
    <w:qFormat/>
    <w:uiPriority w:val="0"/>
    <w:rPr>
      <w:rFonts w:hint="eastAsia" w:ascii="宋体" w:hAnsi="宋体" w:eastAsia="宋体" w:cs="宋体"/>
      <w:color w:val="0F1115"/>
      <w:sz w:val="24"/>
      <w:szCs w:val="24"/>
      <w:u w:val="none"/>
    </w:rPr>
  </w:style>
  <w:style w:type="character" w:customStyle="1" w:styleId="18">
    <w:name w:val="页眉 Char"/>
    <w:basedOn w:val="7"/>
    <w:link w:val="4"/>
    <w:qFormat/>
    <w:uiPriority w:val="0"/>
    <w:rPr>
      <w:rFonts w:asciiTheme="minorHAnsi" w:hAnsiTheme="minorHAnsi" w:eastAsiaTheme="minorEastAsia" w:cstheme="minorBidi"/>
      <w:kern w:val="2"/>
      <w:sz w:val="18"/>
      <w:szCs w:val="18"/>
    </w:rPr>
  </w:style>
  <w:style w:type="character" w:customStyle="1" w:styleId="1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2435</Words>
  <Characters>2738</Characters>
  <Lines>20</Lines>
  <Paragraphs>5</Paragraphs>
  <TotalTime>26</TotalTime>
  <ScaleCrop>false</ScaleCrop>
  <LinksUpToDate>false</LinksUpToDate>
  <CharactersWithSpaces>2793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2026-05-19T06:40:00Z</dcterms:created>
  <dc:creator>56594</dc:creator>
  <cp:lastModifiedBy>阿拉蕾</cp:lastModifiedBy>
  <dcterms:modified xsi:type="dcterms:W3CDTF">2026-06-12T05:42:28Z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eyJoZGlkIjoiNTA1YjE1OTI0ZjFiOGFhMWM4MWNjMzdkNjI3N2RmY2MiLCJ1c2VySWQiOiIyMzYxMTM3NDkifQ==</vt:lpwstr>
  </property>
  <property fmtid="{D5CDD505-2E9C-101B-9397-08002B2CF9AE}" pid="4" name="ICV">
    <vt:lpwstr>738BF70AA85E4C5F88FEFA40149FE7D2_13</vt:lpwstr>
  </property>
</Properties>
</file>