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8270">
      <w:pPr>
        <w:spacing w:line="360" w:lineRule="auto"/>
        <w:jc w:val="center"/>
        <w:rPr>
          <w:rFonts w:hint="eastAsia" w:ascii="宋体" w:hAnsi="宋体" w:cs="宋体"/>
          <w:color w:val="auto"/>
          <w:sz w:val="52"/>
          <w:szCs w:val="52"/>
          <w:highlight w:val="none"/>
        </w:rPr>
      </w:pPr>
    </w:p>
    <w:p w14:paraId="302BF840">
      <w:pPr>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p>
    <w:p w14:paraId="21DF88DE">
      <w:pPr>
        <w:spacing w:line="360" w:lineRule="auto"/>
        <w:jc w:val="center"/>
        <w:rPr>
          <w:rFonts w:ascii="宋体" w:hAnsi="宋体" w:cs="宋体"/>
          <w:b/>
          <w:color w:val="auto"/>
          <w:sz w:val="48"/>
          <w:szCs w:val="48"/>
          <w:highlight w:val="none"/>
        </w:rPr>
      </w:pPr>
    </w:p>
    <w:p w14:paraId="1792696B">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66E2ED42">
      <w:pPr>
        <w:snapToGrid w:val="0"/>
        <w:spacing w:line="360" w:lineRule="auto"/>
        <w:rPr>
          <w:rFonts w:ascii="宋体" w:hAnsi="宋体" w:cs="宋体"/>
          <w:color w:val="auto"/>
          <w:sz w:val="30"/>
          <w:szCs w:val="72"/>
          <w:highlight w:val="none"/>
        </w:rPr>
      </w:pPr>
    </w:p>
    <w:p w14:paraId="2AB4F071">
      <w:pPr>
        <w:pStyle w:val="25"/>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项目名称：乐群院区医辅人员服务</w:t>
      </w:r>
    </w:p>
    <w:p w14:paraId="7A78F55D">
      <w:pPr>
        <w:pStyle w:val="25"/>
        <w:snapToGrid w:val="0"/>
        <w:spacing w:line="360" w:lineRule="auto"/>
        <w:ind w:left="840" w:leftChars="400" w:firstLine="286" w:firstLineChars="100"/>
        <w:rPr>
          <w:rFonts w:hAnsi="宋体" w:cs="宋体"/>
          <w:b/>
          <w:bCs/>
          <w:color w:val="auto"/>
          <w:w w:val="95"/>
          <w:sz w:val="30"/>
          <w:szCs w:val="30"/>
          <w:highlight w:val="none"/>
        </w:rPr>
      </w:pPr>
      <w:r>
        <w:rPr>
          <w:rFonts w:hint="eastAsia" w:hAnsi="宋体" w:cs="宋体"/>
          <w:b/>
          <w:bCs/>
          <w:color w:val="auto"/>
          <w:w w:val="95"/>
          <w:sz w:val="30"/>
          <w:szCs w:val="30"/>
          <w:highlight w:val="none"/>
        </w:rPr>
        <w:t>项目编号：GXZC2026-G3-001489-YZLZ</w:t>
      </w:r>
    </w:p>
    <w:p w14:paraId="0D69FA95">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 购 人：桂林医科大学第一附属医院</w:t>
      </w:r>
    </w:p>
    <w:p w14:paraId="35BEDB1B">
      <w:pPr>
        <w:pStyle w:val="25"/>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75E85E64">
      <w:pPr>
        <w:pStyle w:val="25"/>
        <w:snapToGrid w:val="0"/>
        <w:spacing w:line="360" w:lineRule="auto"/>
        <w:ind w:firstLine="1125" w:firstLineChars="393"/>
        <w:rPr>
          <w:rFonts w:hAnsi="宋体" w:cs="宋体"/>
          <w:b/>
          <w:bCs/>
          <w:color w:val="auto"/>
          <w:w w:val="95"/>
          <w:sz w:val="30"/>
          <w:szCs w:val="30"/>
          <w:highlight w:val="none"/>
        </w:rPr>
      </w:pPr>
    </w:p>
    <w:p w14:paraId="6E7A1C62">
      <w:pPr>
        <w:pStyle w:val="25"/>
        <w:snapToGrid w:val="0"/>
        <w:spacing w:line="360" w:lineRule="auto"/>
        <w:ind w:firstLine="1125" w:firstLineChars="393"/>
        <w:rPr>
          <w:rFonts w:hAnsi="宋体" w:cs="宋体"/>
          <w:b/>
          <w:bCs/>
          <w:color w:val="auto"/>
          <w:w w:val="95"/>
          <w:sz w:val="30"/>
          <w:szCs w:val="30"/>
          <w:highlight w:val="none"/>
        </w:rPr>
      </w:pPr>
    </w:p>
    <w:p w14:paraId="5D9FD7C2">
      <w:pPr>
        <w:pStyle w:val="25"/>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2026年</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15</w:t>
      </w:r>
      <w:r>
        <w:rPr>
          <w:rFonts w:hint="eastAsia" w:hAnsi="宋体" w:cs="宋体"/>
          <w:b/>
          <w:bCs/>
          <w:color w:val="auto"/>
          <w:w w:val="95"/>
          <w:sz w:val="30"/>
          <w:szCs w:val="30"/>
          <w:highlight w:val="none"/>
        </w:rPr>
        <w:t>日</w:t>
      </w:r>
    </w:p>
    <w:p w14:paraId="58250691">
      <w:pPr>
        <w:pStyle w:val="16"/>
        <w:ind w:firstLine="803"/>
        <w:jc w:val="center"/>
        <w:rPr>
          <w:rFonts w:ascii="宋体" w:hAnsi="宋体" w:cs="宋体"/>
          <w:bCs/>
          <w:color w:val="auto"/>
          <w:kern w:val="0"/>
          <w:sz w:val="32"/>
          <w:szCs w:val="32"/>
          <w:highlight w:val="none"/>
        </w:rPr>
      </w:pPr>
    </w:p>
    <w:p w14:paraId="1F79C165">
      <w:pPr>
        <w:pStyle w:val="25"/>
        <w:spacing w:before="120" w:after="120" w:line="360" w:lineRule="auto"/>
        <w:jc w:val="center"/>
        <w:rPr>
          <w:rFonts w:hAnsi="宋体" w:cs="宋体"/>
          <w:b/>
          <w:color w:val="auto"/>
          <w:sz w:val="44"/>
          <w:szCs w:val="44"/>
          <w:highlight w:val="none"/>
        </w:rPr>
      </w:pPr>
    </w:p>
    <w:p w14:paraId="1CFCF591">
      <w:pPr>
        <w:pStyle w:val="25"/>
        <w:spacing w:before="120" w:after="120" w:line="360" w:lineRule="auto"/>
        <w:jc w:val="center"/>
        <w:rPr>
          <w:rFonts w:hAnsi="宋体" w:cs="宋体"/>
          <w:b/>
          <w:color w:val="auto"/>
          <w:sz w:val="44"/>
          <w:szCs w:val="44"/>
          <w:highlight w:val="none"/>
        </w:rPr>
      </w:pPr>
    </w:p>
    <w:p w14:paraId="2F658628">
      <w:pPr>
        <w:pStyle w:val="25"/>
        <w:spacing w:before="120" w:after="120" w:line="360" w:lineRule="auto"/>
        <w:jc w:val="center"/>
        <w:rPr>
          <w:rFonts w:hAnsi="宋体" w:cs="宋体"/>
          <w:b/>
          <w:color w:val="auto"/>
          <w:sz w:val="44"/>
          <w:szCs w:val="44"/>
          <w:highlight w:val="none"/>
        </w:rPr>
      </w:pPr>
    </w:p>
    <w:p w14:paraId="64D87523">
      <w:pPr>
        <w:pStyle w:val="25"/>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5F1299ED">
      <w:pPr>
        <w:pStyle w:val="34"/>
        <w:tabs>
          <w:tab w:val="right" w:leader="dot" w:pos="8504"/>
          <w:tab w:val="clear" w:pos="8398"/>
        </w:tabs>
        <w:rPr>
          <w:color w:val="auto"/>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"_Toc28707"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_Toc28707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67A80D9C">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"_Toc14982"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_Toc14982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51F04D2">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"_Toc17701"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end"/>
      </w:r>
      <w:r>
        <w:rPr>
          <w:rFonts w:hint="eastAsia"/>
          <w:color w:val="auto"/>
          <w:highlight w:val="none"/>
        </w:rPr>
        <w:t>25</w:t>
      </w:r>
    </w:p>
    <w:p w14:paraId="0208BC64">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"_Toc30756"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end"/>
      </w:r>
      <w:r>
        <w:rPr>
          <w:rFonts w:hint="eastAsia"/>
          <w:color w:val="auto"/>
          <w:highlight w:val="none"/>
        </w:rPr>
        <w:t>50</w:t>
      </w:r>
    </w:p>
    <w:p w14:paraId="24300279">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"_Toc30209"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end"/>
      </w:r>
      <w:r>
        <w:rPr>
          <w:rFonts w:hint="eastAsia"/>
          <w:color w:val="auto"/>
          <w:highlight w:val="none"/>
        </w:rPr>
        <w:t>60</w:t>
      </w:r>
    </w:p>
    <w:p w14:paraId="60DBB400">
      <w:pPr>
        <w:pStyle w:val="34"/>
        <w:tabs>
          <w:tab w:val="right" w:leader="dot" w:pos="8504"/>
          <w:tab w:val="clear" w:pos="8398"/>
        </w:tabs>
        <w:ind w:firstLine="241"/>
        <w:rPr>
          <w:color w:val="auto"/>
          <w:highlight w:val="none"/>
        </w:rPr>
      </w:pPr>
      <w:r>
        <w:rPr>
          <w:color w:val="auto"/>
          <w:highlight w:val="none"/>
        </w:rPr>
        <w:fldChar w:fldCharType="begin"/>
      </w:r>
      <w:r>
        <w:rPr>
          <w:color w:val="auto"/>
          <w:highlight w:val="none"/>
        </w:rPr>
        <w:instrText xml:space="preserve"> HYPERLINK \l "_Toc18832"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end"/>
      </w:r>
      <w:r>
        <w:rPr>
          <w:rFonts w:hint="eastAsia"/>
          <w:color w:val="auto"/>
          <w:highlight w:val="none"/>
        </w:rPr>
        <w:t>71</w:t>
      </w:r>
    </w:p>
    <w:p w14:paraId="67953EE3">
      <w:pPr>
        <w:spacing w:before="120" w:beforeLines="50" w:line="480" w:lineRule="exact"/>
        <w:rPr>
          <w:rFonts w:ascii="宋体" w:hAnsi="宋体" w:cs="宋体"/>
          <w:color w:val="auto"/>
          <w:sz w:val="24"/>
          <w:highlight w:val="none"/>
        </w:rPr>
      </w:pPr>
      <w:r>
        <w:rPr>
          <w:rFonts w:hint="eastAsia" w:ascii="宋体" w:hAnsi="宋体" w:cs="宋体"/>
          <w:bCs/>
          <w:caps/>
          <w:color w:val="auto"/>
          <w:highlight w:val="none"/>
        </w:rPr>
        <w:fldChar w:fldCharType="end"/>
      </w:r>
    </w:p>
    <w:p w14:paraId="639A70F7">
      <w:pPr>
        <w:spacing w:before="120" w:beforeLines="50" w:line="480" w:lineRule="exact"/>
        <w:rPr>
          <w:rFonts w:ascii="宋体" w:hAnsi="宋体" w:cs="宋体"/>
          <w:color w:val="auto"/>
          <w:sz w:val="30"/>
          <w:highlight w:val="none"/>
        </w:rPr>
      </w:pPr>
    </w:p>
    <w:p w14:paraId="36ECA027">
      <w:pPr>
        <w:rPr>
          <w:rFonts w:ascii="宋体" w:hAnsi="宋体" w:cs="宋体"/>
          <w:color w:val="auto"/>
          <w:highlight w:val="none"/>
        </w:rPr>
      </w:pPr>
    </w:p>
    <w:p w14:paraId="2EC8CBA4">
      <w:pPr>
        <w:spacing w:before="120" w:beforeLines="50" w:line="480" w:lineRule="exact"/>
        <w:rPr>
          <w:rFonts w:ascii="宋体" w:hAnsi="宋体" w:cs="宋体"/>
          <w:color w:val="auto"/>
          <w:sz w:val="30"/>
          <w:highlight w:val="none"/>
        </w:rPr>
      </w:pPr>
    </w:p>
    <w:p w14:paraId="68391364">
      <w:pPr>
        <w:spacing w:before="120" w:beforeLines="50" w:line="480" w:lineRule="exact"/>
        <w:rPr>
          <w:rFonts w:ascii="宋体" w:hAnsi="宋体" w:cs="宋体"/>
          <w:color w:val="auto"/>
          <w:sz w:val="30"/>
          <w:highlight w:val="none"/>
        </w:rPr>
      </w:pPr>
    </w:p>
    <w:p w14:paraId="70A9C1BC">
      <w:pPr>
        <w:pStyle w:val="16"/>
        <w:rPr>
          <w:rFonts w:ascii="宋体" w:hAnsi="宋体" w:cs="宋体"/>
          <w:b/>
          <w:bCs/>
          <w:color w:val="auto"/>
          <w:highlight w:val="none"/>
        </w:rPr>
      </w:pPr>
      <w:bookmarkStart w:id="0" w:name="_Toc254970630"/>
      <w:bookmarkStart w:id="1" w:name="_Toc254970489"/>
    </w:p>
    <w:p w14:paraId="3B7A4468">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b w:val="0"/>
          <w:bCs w:val="0"/>
          <w:color w:val="auto"/>
          <w:highlight w:val="none"/>
        </w:rPr>
        <w:br w:type="page"/>
      </w:r>
      <w:bookmarkStart w:id="2" w:name="_Toc74320800"/>
      <w:bookmarkStart w:id="3" w:name="_Toc28707"/>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 xml:space="preserve"> 招标公告</w:t>
      </w:r>
      <w:bookmarkEnd w:id="2"/>
      <w:bookmarkEnd w:id="3"/>
      <w:bookmarkEnd w:id="4"/>
      <w:bookmarkEnd w:id="5"/>
    </w:p>
    <w:p w14:paraId="5C9F0E0A">
      <w:pPr>
        <w:spacing w:line="360" w:lineRule="auto"/>
        <w:rPr>
          <w:rFonts w:ascii="宋体" w:hAnsi="宋体" w:cs="宋体"/>
          <w:color w:val="auto"/>
          <w:szCs w:val="21"/>
          <w:highlight w:val="none"/>
        </w:rPr>
      </w:pPr>
    </w:p>
    <w:p w14:paraId="5CEA81A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B7DC73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乐群院区医辅人员服务项目的潜在投标人应在“广西政府采购云平台”（</w:t>
      </w:r>
      <w:r>
        <w:rPr>
          <w:color w:val="auto"/>
          <w:highlight w:val="none"/>
        </w:rPr>
        <w:fldChar w:fldCharType="begin"/>
      </w:r>
      <w:r>
        <w:rPr>
          <w:color w:val="auto"/>
          <w:highlight w:val="none"/>
        </w:rPr>
        <w:instrText xml:space="preserve"> HYPERLINK "https://www.gcy.zfcg.gxzf.gov.cn/）获取（下载）招标文件，并于2024年" </w:instrText>
      </w:r>
      <w:r>
        <w:rPr>
          <w:color w:val="auto"/>
          <w:highlight w:val="none"/>
        </w:rPr>
        <w:fldChar w:fldCharType="separate"/>
      </w:r>
      <w:r>
        <w:rPr>
          <w:rFonts w:hint="eastAsia" w:ascii="宋体" w:hAnsi="宋体" w:cs="宋体"/>
          <w:color w:val="auto"/>
          <w:highlight w:val="none"/>
        </w:rPr>
        <w:t>https://www.gcy.zfcg.gxzf.gov.cn/）获取（下载）招标文件，并于2026年</w:t>
      </w:r>
      <w:r>
        <w:rPr>
          <w:rFonts w:hint="eastAsia" w:ascii="宋体" w:hAnsi="宋体" w:cs="宋体"/>
          <w:color w:val="auto"/>
          <w:highlight w:val="none"/>
        </w:rPr>
        <w:fldChar w:fldCharType="end"/>
      </w:r>
      <w:r>
        <w:rPr>
          <w:rFonts w:hint="eastAsia" w:ascii="宋体" w:hAnsi="宋体" w:cs="宋体"/>
          <w:color w:val="auto"/>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日9时30分（北京时间）前按要求递交（上传）投标文件。</w:t>
      </w:r>
    </w:p>
    <w:p w14:paraId="134FEB50">
      <w:pPr>
        <w:spacing w:line="380" w:lineRule="exact"/>
        <w:rPr>
          <w:rFonts w:ascii="宋体" w:hAnsi="宋体" w:cs="宋体"/>
          <w:b/>
          <w:bCs/>
          <w:color w:val="auto"/>
          <w:sz w:val="24"/>
          <w:highlight w:val="none"/>
        </w:rPr>
      </w:pPr>
      <w:bookmarkStart w:id="6" w:name="_Toc35393621"/>
      <w:bookmarkStart w:id="7" w:name="_Toc28359079"/>
      <w:bookmarkStart w:id="8" w:name="_Toc28359002"/>
      <w:bookmarkStart w:id="9" w:name="_Toc35393790"/>
      <w:bookmarkStart w:id="10" w:name="_Hlk24379207"/>
      <w:r>
        <w:rPr>
          <w:rFonts w:hint="eastAsia" w:ascii="宋体" w:hAnsi="宋体" w:cs="宋体"/>
          <w:b/>
          <w:bCs/>
          <w:color w:val="auto"/>
          <w:sz w:val="24"/>
          <w:highlight w:val="none"/>
        </w:rPr>
        <w:t>一、项目基本情况</w:t>
      </w:r>
      <w:bookmarkEnd w:id="6"/>
      <w:bookmarkEnd w:id="7"/>
      <w:bookmarkEnd w:id="8"/>
      <w:bookmarkEnd w:id="9"/>
    </w:p>
    <w:p w14:paraId="7C03123B">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项目编号：GXZC2026-G3-001489-YZLZ（代理编号：YZLGL2026-G3-032-GXZC）</w:t>
      </w:r>
    </w:p>
    <w:p w14:paraId="1CDF6E2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bookmarkStart w:id="151" w:name="_GoBack"/>
      <w:r>
        <w:rPr>
          <w:rFonts w:hint="eastAsia" w:ascii="宋体" w:hAnsi="宋体" w:cs="宋体"/>
          <w:color w:val="auto"/>
          <w:szCs w:val="21"/>
          <w:highlight w:val="none"/>
        </w:rPr>
        <w:t>乐群院区医辅人员服务</w:t>
      </w:r>
      <w:bookmarkEnd w:id="151"/>
    </w:p>
    <w:bookmarkEnd w:id="10"/>
    <w:p w14:paraId="4291867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预算金额：9000000.00元</w:t>
      </w:r>
    </w:p>
    <w:p w14:paraId="63DF605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最高限价：8652000.00元</w:t>
      </w:r>
    </w:p>
    <w:p w14:paraId="0B7FA16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3A60B8CD">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标的的名称、数量及单位：乐群院区医辅人员服务1项；（2）简要技术需求或者服务要求：供应商为采购人提供外勤服务、内勤服务、护工服务及完成医院及科室交办的其他事情。如需进一步了解详细内容，详见</w:t>
      </w:r>
      <w:r>
        <w:rPr>
          <w:rFonts w:hint="eastAsia" w:ascii="宋体" w:hAnsi="宋体"/>
          <w:color w:val="auto"/>
          <w:szCs w:val="21"/>
          <w:highlight w:val="none"/>
        </w:rPr>
        <w:t>招标文件第三章“采购需求”</w:t>
      </w:r>
      <w:r>
        <w:rPr>
          <w:rFonts w:hint="eastAsia" w:ascii="宋体" w:hAnsi="宋体" w:cs="宋体"/>
          <w:color w:val="auto"/>
          <w:szCs w:val="21"/>
          <w:highlight w:val="none"/>
        </w:rPr>
        <w:t>。</w:t>
      </w:r>
    </w:p>
    <w:p w14:paraId="2B9E610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合同履行期限（服务期限）：2年（自签订合同且正式开展服务之日起2年）。</w:t>
      </w:r>
    </w:p>
    <w:p w14:paraId="75FCE0C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w:t>
      </w:r>
      <w:r>
        <w:rPr>
          <w:rFonts w:hint="eastAsia" w:ascii="宋体" w:hAnsi="宋体" w:cs="宋体"/>
          <w:bCs/>
          <w:color w:val="auto"/>
          <w:szCs w:val="21"/>
          <w:highlight w:val="none"/>
        </w:rPr>
        <w:t>体投标。</w:t>
      </w:r>
    </w:p>
    <w:p w14:paraId="0147CB40">
      <w:pPr>
        <w:spacing w:line="380" w:lineRule="exact"/>
        <w:rPr>
          <w:rFonts w:ascii="宋体" w:hAnsi="宋体" w:cs="宋体"/>
          <w:b/>
          <w:bCs/>
          <w:color w:val="auto"/>
          <w:sz w:val="24"/>
          <w:highlight w:val="none"/>
        </w:rPr>
      </w:pPr>
      <w:bookmarkStart w:id="11" w:name="_Toc35393622"/>
      <w:bookmarkStart w:id="12" w:name="_Toc28359080"/>
      <w:bookmarkStart w:id="13" w:name="_Toc28359003"/>
      <w:bookmarkStart w:id="14" w:name="_Toc35393791"/>
      <w:r>
        <w:rPr>
          <w:rFonts w:hint="eastAsia" w:ascii="宋体" w:hAnsi="宋体" w:cs="宋体"/>
          <w:b/>
          <w:bCs/>
          <w:color w:val="auto"/>
          <w:sz w:val="24"/>
          <w:highlight w:val="none"/>
        </w:rPr>
        <w:t>二、申请人的资格要求：</w:t>
      </w:r>
      <w:bookmarkEnd w:id="11"/>
      <w:bookmarkEnd w:id="12"/>
      <w:bookmarkEnd w:id="13"/>
      <w:bookmarkEnd w:id="14"/>
    </w:p>
    <w:p w14:paraId="3A4CF618">
      <w:pPr>
        <w:spacing w:line="380" w:lineRule="exact"/>
        <w:ind w:firstLine="420" w:firstLineChars="200"/>
        <w:rPr>
          <w:rFonts w:ascii="宋体" w:hAnsi="宋体" w:cs="宋体"/>
          <w:color w:val="auto"/>
          <w:szCs w:val="21"/>
          <w:highlight w:val="none"/>
        </w:rPr>
      </w:pPr>
      <w:bookmarkStart w:id="15" w:name="_Hlk51746371"/>
      <w:r>
        <w:rPr>
          <w:rFonts w:hint="eastAsia" w:ascii="宋体" w:hAnsi="宋体" w:cs="宋体"/>
          <w:color w:val="auto"/>
          <w:szCs w:val="21"/>
          <w:highlight w:val="none"/>
        </w:rPr>
        <w:t>1.满足《中华人民共和国政府采购法》第二十二条规定。</w:t>
      </w:r>
    </w:p>
    <w:p w14:paraId="3589D821">
      <w:pPr>
        <w:spacing w:line="380" w:lineRule="exact"/>
        <w:ind w:firstLine="420" w:firstLineChars="200"/>
        <w:rPr>
          <w:rFonts w:ascii="宋体" w:hAnsi="宋体" w:cs="宋体"/>
          <w:color w:val="auto"/>
          <w:szCs w:val="21"/>
          <w:highlight w:val="none"/>
        </w:rPr>
      </w:pPr>
      <w:bookmarkStart w:id="16" w:name="_Toc28359081"/>
      <w:bookmarkStart w:id="17" w:name="_Toc28359004"/>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rPr>
        <w:t>本项目专门面向中小企业采购，投标人须满足《政府采购促进中小企业发展管理办法》（财库〔2020〕46号）第二条规定。根据《财政部、司法部关于政府采购支持监狱企业发展有关问题的通知》（财库〔2014〕68号）及《关于促进残疾人就业政府采购政策的通知》（财库〔2017〕141号）规定，监狱企业、残疾人福利性单位视同小型、微型企业。</w:t>
      </w:r>
    </w:p>
    <w:p w14:paraId="04352E0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End w:id="15"/>
      <w:bookmarkStart w:id="18" w:name="_Toc35393623"/>
      <w:bookmarkStart w:id="19" w:name="_Toc35393792"/>
      <w:r>
        <w:rPr>
          <w:rFonts w:hint="eastAsia" w:ascii="宋体" w:hAnsi="宋体" w:cs="宋体"/>
          <w:color w:val="auto"/>
          <w:szCs w:val="21"/>
          <w:highlight w:val="none"/>
        </w:rPr>
        <w:t>无</w:t>
      </w:r>
      <w:r>
        <w:rPr>
          <w:rFonts w:hint="eastAsia" w:ascii="宋体" w:hAnsi="宋体" w:cs="宋体"/>
          <w:color w:val="auto"/>
          <w:highlight w:val="none"/>
        </w:rPr>
        <w:t>。</w:t>
      </w:r>
    </w:p>
    <w:p w14:paraId="07337353">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6"/>
      <w:bookmarkEnd w:id="17"/>
      <w:bookmarkEnd w:id="18"/>
      <w:bookmarkEnd w:id="19"/>
    </w:p>
    <w:p w14:paraId="5BDBF425">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23</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rPr>
        <w:t>，每天上午00:00至11:59，下午12:00至23:59（北京时间，法定节假日除外）</w:t>
      </w:r>
    </w:p>
    <w:p w14:paraId="203203BD">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39C62A66">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02556280">
      <w:pPr>
        <w:spacing w:line="380" w:lineRule="exact"/>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20B07B01">
      <w:pPr>
        <w:spacing w:line="380" w:lineRule="exact"/>
        <w:rPr>
          <w:rFonts w:ascii="宋体" w:hAnsi="宋体" w:cs="宋体"/>
          <w:b/>
          <w:bCs/>
          <w:color w:val="auto"/>
          <w:sz w:val="24"/>
          <w:highlight w:val="none"/>
        </w:rPr>
      </w:pPr>
      <w:bookmarkStart w:id="20" w:name="_Toc28359005"/>
      <w:bookmarkStart w:id="21" w:name="_Toc28359082"/>
      <w:bookmarkStart w:id="22" w:name="_Toc35393793"/>
      <w:bookmarkStart w:id="23" w:name="_Toc35393624"/>
      <w:r>
        <w:rPr>
          <w:rFonts w:hint="eastAsia" w:ascii="宋体" w:hAnsi="宋体" w:cs="宋体"/>
          <w:b/>
          <w:bCs/>
          <w:color w:val="auto"/>
          <w:sz w:val="24"/>
          <w:highlight w:val="none"/>
        </w:rPr>
        <w:t>四、提交投标文件</w:t>
      </w:r>
      <w:bookmarkEnd w:id="20"/>
      <w:bookmarkEnd w:id="21"/>
      <w:r>
        <w:rPr>
          <w:rFonts w:hint="eastAsia" w:ascii="宋体" w:hAnsi="宋体" w:cs="宋体"/>
          <w:b/>
          <w:bCs/>
          <w:color w:val="auto"/>
          <w:sz w:val="24"/>
          <w:highlight w:val="none"/>
        </w:rPr>
        <w:t>截止时间、开标时间和地点</w:t>
      </w:r>
      <w:bookmarkEnd w:id="22"/>
      <w:bookmarkEnd w:id="23"/>
    </w:p>
    <w:p w14:paraId="2D6B992D">
      <w:pPr>
        <w:spacing w:line="380" w:lineRule="exact"/>
        <w:ind w:firstLine="420" w:firstLineChars="200"/>
        <w:rPr>
          <w:rFonts w:ascii="宋体" w:hAnsi="宋体" w:cs="宋体"/>
          <w:color w:val="auto"/>
          <w:szCs w:val="21"/>
          <w:highlight w:val="none"/>
          <w:u w:val="single"/>
        </w:rPr>
      </w:pPr>
      <w:bookmarkStart w:id="24" w:name="_Toc28359084"/>
      <w:bookmarkStart w:id="25" w:name="_Toc35393794"/>
      <w:bookmarkStart w:id="26" w:name="_Toc28359007"/>
      <w:bookmarkStart w:id="27" w:name="_Toc35393625"/>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13E02C9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1A1B5D26">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26D1287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41091BEA">
      <w:pPr>
        <w:spacing w:line="38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4"/>
      <w:bookmarkEnd w:id="25"/>
      <w:bookmarkEnd w:id="26"/>
      <w:bookmarkEnd w:id="27"/>
    </w:p>
    <w:p w14:paraId="1580C7F0">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882F332">
      <w:pPr>
        <w:spacing w:line="380" w:lineRule="exact"/>
        <w:rPr>
          <w:rFonts w:ascii="宋体" w:hAnsi="宋体" w:cs="宋体"/>
          <w:b/>
          <w:bCs/>
          <w:color w:val="auto"/>
          <w:sz w:val="24"/>
          <w:highlight w:val="none"/>
        </w:rPr>
      </w:pPr>
      <w:bookmarkStart w:id="28" w:name="_Toc35393626"/>
      <w:bookmarkStart w:id="29" w:name="_Toc35393795"/>
      <w:r>
        <w:rPr>
          <w:rFonts w:hint="eastAsia" w:ascii="宋体" w:hAnsi="宋体" w:cs="宋体"/>
          <w:b/>
          <w:bCs/>
          <w:color w:val="auto"/>
          <w:sz w:val="24"/>
          <w:highlight w:val="none"/>
        </w:rPr>
        <w:t>六、其他补充事宜</w:t>
      </w:r>
      <w:bookmarkEnd w:id="28"/>
      <w:bookmarkEnd w:id="29"/>
    </w:p>
    <w:p w14:paraId="22B870B3">
      <w:pPr>
        <w:spacing w:line="380" w:lineRule="exact"/>
        <w:ind w:firstLine="420" w:firstLineChars="200"/>
        <w:rPr>
          <w:rFonts w:ascii="宋体" w:hAnsi="宋体" w:cs="宋体"/>
          <w:color w:val="auto"/>
          <w:kern w:val="0"/>
          <w:szCs w:val="21"/>
          <w:highlight w:val="none"/>
        </w:rPr>
      </w:pPr>
      <w:bookmarkStart w:id="30" w:name="_Hlk37429585"/>
      <w:bookmarkStart w:id="31" w:name="_Hlk37429595"/>
      <w:r>
        <w:rPr>
          <w:rFonts w:hint="eastAsia" w:ascii="宋体" w:hAnsi="宋体" w:cs="宋体"/>
          <w:color w:val="auto"/>
          <w:kern w:val="0"/>
          <w:szCs w:val="21"/>
          <w:highlight w:val="none"/>
        </w:rPr>
        <w:t>1.网上查询地址</w:t>
      </w:r>
    </w:p>
    <w:p w14:paraId="18C84AF6">
      <w:pPr>
        <w:spacing w:line="380" w:lineRule="exact"/>
        <w:ind w:left="210" w:leftChars="100"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30"/>
      <w:r>
        <w:rPr>
          <w:rFonts w:hint="eastAsia" w:ascii="宋体" w:hAnsi="宋体" w:cs="宋体"/>
          <w:color w:val="auto"/>
          <w:kern w:val="0"/>
          <w:szCs w:val="21"/>
          <w:highlight w:val="none"/>
        </w:rPr>
        <w:t>。</w:t>
      </w:r>
    </w:p>
    <w:bookmarkEnd w:id="31"/>
    <w:p w14:paraId="56F0813A">
      <w:pPr>
        <w:spacing w:line="380" w:lineRule="exact"/>
        <w:ind w:firstLine="424" w:firstLineChars="202"/>
        <w:rPr>
          <w:rFonts w:ascii="宋体" w:hAnsi="宋体" w:cs="宋体"/>
          <w:color w:val="auto"/>
          <w:kern w:val="0"/>
          <w:szCs w:val="21"/>
          <w:highlight w:val="none"/>
        </w:rPr>
      </w:pPr>
      <w:bookmarkStart w:id="32"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39A814F">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395F9B7A">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23DC60C1">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w:t>
      </w:r>
      <w:r>
        <w:rPr>
          <w:rFonts w:hint="eastAsia" w:ascii="宋体" w:hAnsi="宋体" w:cs="宋体"/>
          <w:bCs/>
          <w:color w:val="auto"/>
          <w:szCs w:val="21"/>
          <w:highlight w:val="none"/>
        </w:rPr>
        <w:t>本项目为服务项目，不涉及强制采购节能产品</w:t>
      </w:r>
      <w:r>
        <w:rPr>
          <w:rFonts w:hint="eastAsia" w:ascii="宋体" w:hAnsi="宋体" w:cs="宋体"/>
          <w:iCs/>
          <w:color w:val="auto"/>
          <w:kern w:val="0"/>
          <w:szCs w:val="21"/>
          <w:highlight w:val="none"/>
        </w:rPr>
        <w:t>。</w:t>
      </w:r>
    </w:p>
    <w:p w14:paraId="58787FE3">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1CF1503">
      <w:pPr>
        <w:spacing w:line="38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2065DCFF">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w:t>
      </w:r>
      <w:bookmarkEnd w:id="32"/>
      <w:bookmarkStart w:id="33" w:name="_Toc35393627"/>
      <w:bookmarkStart w:id="34" w:name="_Toc28359008"/>
      <w:bookmarkStart w:id="35" w:name="_Toc35393796"/>
      <w:bookmarkStart w:id="36" w:name="_Toc28359085"/>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7EDBF25B">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56ED9773">
      <w:pPr>
        <w:widowControl/>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客服热线：95763或者0771-3381253</w:t>
      </w:r>
      <w:r>
        <w:rPr>
          <w:rFonts w:hint="eastAsia" w:ascii="宋体" w:hAnsi="宋体" w:cs="宋体"/>
          <w:color w:val="auto"/>
          <w:szCs w:val="21"/>
          <w:highlight w:val="none"/>
        </w:rPr>
        <w:t>）。</w:t>
      </w:r>
    </w:p>
    <w:p w14:paraId="73D8037F">
      <w:pPr>
        <w:snapToGri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410B0E7B">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60375B86">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46BF1186">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本项目</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代理服务费按招标文件第三章“投标人须知”第39.1条“</w:t>
      </w:r>
      <w:r>
        <w:rPr>
          <w:rFonts w:hint="eastAsia" w:hAnsi="宋体" w:cs="宋体"/>
          <w:color w:val="auto"/>
          <w:highlight w:val="none"/>
        </w:rPr>
        <w:t>采购代理费收取标准</w:t>
      </w:r>
      <w:r>
        <w:rPr>
          <w:rFonts w:hint="eastAsia" w:ascii="宋体" w:hAnsi="宋体" w:cs="宋体"/>
          <w:color w:val="auto"/>
          <w:szCs w:val="21"/>
          <w:highlight w:val="none"/>
        </w:rPr>
        <w:t>”规定收取，由中标供应商在获取中标通知书前，向采购代理机构一次性支付。</w:t>
      </w:r>
    </w:p>
    <w:p w14:paraId="2B102676">
      <w:pPr>
        <w:spacing w:line="3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3"/>
      <w:bookmarkEnd w:id="34"/>
      <w:bookmarkEnd w:id="35"/>
      <w:bookmarkEnd w:id="36"/>
    </w:p>
    <w:p w14:paraId="25A03C1C">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1.采购人信息</w:t>
      </w:r>
    </w:p>
    <w:p w14:paraId="0F2EBD57">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名称：桂林医科大学第一附属医院</w:t>
      </w:r>
    </w:p>
    <w:p w14:paraId="0F226ACE">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地址：广西桂林市秀峰区乐群路15号　</w:t>
      </w:r>
    </w:p>
    <w:p w14:paraId="36681D27">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联系方式：唐</w:t>
      </w:r>
      <w:r>
        <w:rPr>
          <w:rFonts w:hint="eastAsia" w:ascii="宋体" w:hAnsi="宋体" w:cs="宋体"/>
          <w:bCs/>
          <w:color w:val="auto"/>
          <w:szCs w:val="21"/>
          <w:highlight w:val="none"/>
          <w:lang w:val="en-US" w:eastAsia="zh-CN"/>
        </w:rPr>
        <w:t>老师</w:t>
      </w:r>
      <w:r>
        <w:rPr>
          <w:rFonts w:hint="eastAsia" w:ascii="宋体" w:hAnsi="宋体" w:cs="宋体"/>
          <w:bCs/>
          <w:color w:val="auto"/>
          <w:szCs w:val="21"/>
          <w:highlight w:val="none"/>
        </w:rPr>
        <w:t xml:space="preserve"> 0773-2802050</w:t>
      </w:r>
    </w:p>
    <w:p w14:paraId="53334379">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2.采购代理机构信息</w:t>
      </w:r>
    </w:p>
    <w:p w14:paraId="70B05EC8">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名称：云之龙咨询集团有限公司</w:t>
      </w:r>
    </w:p>
    <w:p w14:paraId="39311917">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地址：广西桂林市临桂区西城北路2号耀辉•美好家园2幢12层1号房</w:t>
      </w:r>
    </w:p>
    <w:p w14:paraId="2B9C59B4">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联系方式：0773-2887388</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2887399  传真：0773-2889218</w:t>
      </w:r>
    </w:p>
    <w:p w14:paraId="282A19C5">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3.项目联系方式</w:t>
      </w:r>
    </w:p>
    <w:p w14:paraId="722B6A10">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w:t>
      </w:r>
      <w:r>
        <w:rPr>
          <w:rFonts w:hint="eastAsia" w:ascii="宋体" w:hAnsi="宋体" w:cs="宋体"/>
          <w:color w:val="auto"/>
          <w:szCs w:val="21"/>
          <w:highlight w:val="none"/>
        </w:rPr>
        <w:t>吕雯、万紫琳</w:t>
      </w:r>
    </w:p>
    <w:p w14:paraId="0690DD4E">
      <w:pPr>
        <w:widowControl/>
        <w:spacing w:line="38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电话：0773-2887388</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2887399</w:t>
      </w:r>
    </w:p>
    <w:p w14:paraId="7E86A59D">
      <w:pPr>
        <w:spacing w:line="380" w:lineRule="exact"/>
        <w:ind w:firstLine="567" w:firstLineChars="270"/>
        <w:jc w:val="left"/>
        <w:rPr>
          <w:rFonts w:ascii="宋体" w:hAnsi="宋体" w:cs="宋体"/>
          <w:color w:val="auto"/>
          <w:szCs w:val="21"/>
          <w:highlight w:val="none"/>
        </w:rPr>
      </w:pPr>
    </w:p>
    <w:p w14:paraId="0E8C85A7">
      <w:pPr>
        <w:pStyle w:val="2"/>
        <w:spacing w:after="0"/>
        <w:jc w:val="center"/>
        <w:rPr>
          <w:rFonts w:ascii="宋体" w:hAnsi="宋体" w:cs="宋体"/>
          <w:color w:val="auto"/>
          <w:highlight w:val="none"/>
        </w:rPr>
      </w:pPr>
      <w:bookmarkStart w:id="37" w:name="_Toc74320801"/>
      <w:bookmarkStart w:id="38" w:name="_Toc14982"/>
    </w:p>
    <w:p w14:paraId="3FF016D5">
      <w:pPr>
        <w:rPr>
          <w:color w:val="auto"/>
          <w:highlight w:val="none"/>
        </w:rPr>
      </w:pPr>
    </w:p>
    <w:p w14:paraId="78A8C7EF">
      <w:pPr>
        <w:pStyle w:val="2"/>
        <w:spacing w:after="0"/>
        <w:jc w:val="center"/>
        <w:rPr>
          <w:rFonts w:ascii="宋体" w:hAnsi="宋体" w:cs="宋体"/>
          <w:color w:val="auto"/>
          <w:highlight w:val="none"/>
        </w:rPr>
      </w:pPr>
      <w:r>
        <w:rPr>
          <w:rFonts w:hint="eastAsia" w:ascii="宋体" w:hAnsi="宋体" w:cs="宋体"/>
          <w:color w:val="auto"/>
          <w:highlight w:val="none"/>
        </w:rPr>
        <w:t>第二章 采购需求</w:t>
      </w:r>
      <w:bookmarkEnd w:id="37"/>
      <w:bookmarkEnd w:id="38"/>
    </w:p>
    <w:p w14:paraId="7E0B24DD">
      <w:pPr>
        <w:spacing w:line="380" w:lineRule="exact"/>
        <w:ind w:firstLine="422" w:firstLineChars="200"/>
        <w:jc w:val="left"/>
        <w:rPr>
          <w:rFonts w:ascii="宋体" w:hAnsi="宋体" w:cs="宋体"/>
          <w:b/>
          <w:color w:val="auto"/>
          <w:highlight w:val="none"/>
        </w:rPr>
      </w:pPr>
      <w:bookmarkStart w:id="39" w:name="_Toc254970631"/>
      <w:bookmarkStart w:id="40" w:name="_Toc254970490"/>
      <w:r>
        <w:rPr>
          <w:rFonts w:hint="eastAsia" w:ascii="宋体" w:hAnsi="宋体" w:cs="宋体"/>
          <w:b/>
          <w:color w:val="auto"/>
          <w:highlight w:val="none"/>
        </w:rPr>
        <w:t>Ⅰ.说明：</w:t>
      </w:r>
    </w:p>
    <w:p w14:paraId="0C923B08">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1.本项目专门面向中小企业采购，投标人须满足《政府采购促进中小企业发展管理办法》（财库〔2020〕46号）第二条规定【《中小企业划型标准规定》（工信部联企业[2011]300号）详见附件】。</w:t>
      </w:r>
    </w:p>
    <w:p w14:paraId="60EF6869">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w:t>
      </w:r>
    </w:p>
    <w:p w14:paraId="5B85816C">
      <w:pPr>
        <w:spacing w:line="3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3.按照《关于促进残疾人就业政府采购政策的通知》（财库〔2017〕141号）的规定，残疾人福利性单位视同小型、微型企业，享受预留份额等促进中小企业发展政府采购政策。</w:t>
      </w:r>
    </w:p>
    <w:p w14:paraId="2BC3010D">
      <w:pPr>
        <w:spacing w:line="370" w:lineRule="exact"/>
        <w:ind w:firstLine="420" w:firstLineChars="200"/>
        <w:jc w:val="left"/>
        <w:rPr>
          <w:rFonts w:ascii="宋体" w:hAnsi="宋体" w:cs="宋体"/>
          <w:color w:val="auto"/>
          <w:szCs w:val="21"/>
          <w:highlight w:val="none"/>
        </w:rPr>
      </w:pPr>
      <w:bookmarkStart w:id="41" w:name="_Hlk65055179"/>
      <w:r>
        <w:rPr>
          <w:rFonts w:hint="eastAsia" w:ascii="宋体" w:hAnsi="宋体" w:cs="宋体"/>
          <w:color w:val="auto"/>
          <w:szCs w:val="21"/>
          <w:highlight w:val="none"/>
        </w:rPr>
        <w:t>4.本项目为服务项目，不涉及强制采购节能产品。</w:t>
      </w:r>
    </w:p>
    <w:p w14:paraId="730C0A04">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5.政府采购支持采用本国产品的政策。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采购标的不适用本国产品标准）</w:t>
      </w:r>
    </w:p>
    <w:p w14:paraId="2FE9216F">
      <w:pPr>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6.投标人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1DB45B0B">
      <w:pPr>
        <w:spacing w:line="370" w:lineRule="exact"/>
        <w:ind w:firstLine="422" w:firstLineChars="200"/>
        <w:jc w:val="left"/>
        <w:rPr>
          <w:rFonts w:ascii="宋体" w:hAnsi="宋体" w:cs="宋体"/>
          <w:b/>
          <w:color w:val="auto"/>
          <w:highlight w:val="none"/>
        </w:rPr>
      </w:pPr>
      <w:r>
        <w:rPr>
          <w:rFonts w:hint="eastAsia" w:ascii="宋体" w:hAnsi="宋体" w:cs="宋体"/>
          <w:b/>
          <w:color w:val="auto"/>
          <w:highlight w:val="none"/>
        </w:rPr>
        <w:t>7.“实质性要求”是指招标文件中已经指明不满足则投标无效的条款，或者不能负偏离的条款，或者采购需求中带“▲”的条款。投标人不满足实质性要求的，按投标无效处理。</w:t>
      </w:r>
    </w:p>
    <w:bookmarkEnd w:id="41"/>
    <w:p w14:paraId="2B1585EC">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8.投标人应根据自身实际情况如实响应招标文件，对招标文件提出的要求和条件作出明确响应。对于招标文件中要求服务内容及要求应当在投标文件中提供技术支持资料的，技术支持资料以招标文件中规定的形式为准，否则将视为无效技术支持资料。</w:t>
      </w:r>
    </w:p>
    <w:p w14:paraId="73BF68CD">
      <w:pPr>
        <w:spacing w:line="370" w:lineRule="exact"/>
        <w:ind w:firstLine="420" w:firstLineChars="200"/>
        <w:jc w:val="left"/>
        <w:rPr>
          <w:rFonts w:ascii="宋体" w:hAnsi="宋体" w:cs="宋体"/>
          <w:color w:val="auto"/>
          <w:highlight w:val="none"/>
        </w:rPr>
      </w:pPr>
      <w:r>
        <w:rPr>
          <w:rFonts w:hint="eastAsia" w:ascii="宋体" w:hAnsi="宋体" w:cs="宋体"/>
          <w:color w:val="auto"/>
          <w:highlight w:val="none"/>
        </w:rPr>
        <w:t>9.投标人必须自行为其投标产品侵犯他人的知识产权或者专利成果的行为承担相应法律责任。</w:t>
      </w:r>
    </w:p>
    <w:p w14:paraId="112477E9">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39"/>
    <w:bookmarkEnd w:id="40"/>
    <w:tbl>
      <w:tblPr>
        <w:tblStyle w:val="48"/>
        <w:tblW w:w="52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8"/>
        <w:gridCol w:w="641"/>
        <w:gridCol w:w="641"/>
        <w:gridCol w:w="1143"/>
        <w:gridCol w:w="5212"/>
      </w:tblGrid>
      <w:tr w14:paraId="3A67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5"/>
            <w:vAlign w:val="center"/>
          </w:tcPr>
          <w:p w14:paraId="3F18EDCD">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▲一、采购标的及服务内容及要求</w:t>
            </w:r>
          </w:p>
        </w:tc>
      </w:tr>
      <w:tr w14:paraId="13A76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52" w:type="pct"/>
            <w:tcBorders>
              <w:right w:val="single" w:color="auto" w:sz="4" w:space="0"/>
            </w:tcBorders>
            <w:vAlign w:val="center"/>
          </w:tcPr>
          <w:p w14:paraId="35AE130A">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48" w:type="pct"/>
            <w:tcBorders>
              <w:left w:val="single" w:color="auto" w:sz="4" w:space="0"/>
            </w:tcBorders>
            <w:vAlign w:val="center"/>
          </w:tcPr>
          <w:p w14:paraId="721D292B">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348" w:type="pct"/>
            <w:vAlign w:val="center"/>
          </w:tcPr>
          <w:p w14:paraId="63C13BD9">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21" w:type="pct"/>
            <w:vAlign w:val="center"/>
          </w:tcPr>
          <w:p w14:paraId="0721DCF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829" w:type="pct"/>
            <w:vAlign w:val="center"/>
          </w:tcPr>
          <w:p w14:paraId="392676C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rPr>
              <w:t>服务内容及要求</w:t>
            </w:r>
          </w:p>
        </w:tc>
      </w:tr>
      <w:tr w14:paraId="0A60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2" w:type="pct"/>
            <w:tcBorders>
              <w:bottom w:val="single" w:color="auto" w:sz="4" w:space="0"/>
              <w:right w:val="single" w:color="auto" w:sz="4" w:space="0"/>
            </w:tcBorders>
            <w:vAlign w:val="center"/>
          </w:tcPr>
          <w:p w14:paraId="18188954">
            <w:pPr>
              <w:spacing w:line="360" w:lineRule="exact"/>
              <w:jc w:val="center"/>
              <w:rPr>
                <w:rFonts w:ascii="宋体" w:hAnsi="宋体" w:cs="宋体"/>
                <w:color w:val="auto"/>
                <w:szCs w:val="21"/>
                <w:highlight w:val="none"/>
              </w:rPr>
            </w:pPr>
            <w:r>
              <w:rPr>
                <w:rFonts w:hint="eastAsia" w:ascii="宋体" w:hAnsi="宋体" w:cs="宋体"/>
                <w:color w:val="auto"/>
                <w:highlight w:val="none"/>
              </w:rPr>
              <w:t>乐群院区医辅人员服务</w:t>
            </w:r>
          </w:p>
        </w:tc>
        <w:tc>
          <w:tcPr>
            <w:tcW w:w="348" w:type="pct"/>
            <w:tcBorders>
              <w:left w:val="single" w:color="auto" w:sz="4" w:space="0"/>
            </w:tcBorders>
            <w:vAlign w:val="center"/>
          </w:tcPr>
          <w:p w14:paraId="00590B6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1 </w:t>
            </w:r>
          </w:p>
        </w:tc>
        <w:tc>
          <w:tcPr>
            <w:tcW w:w="348" w:type="pct"/>
            <w:vAlign w:val="center"/>
          </w:tcPr>
          <w:p w14:paraId="7316FE2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621" w:type="pct"/>
            <w:tcBorders>
              <w:bottom w:val="single" w:color="auto" w:sz="4" w:space="0"/>
            </w:tcBorders>
            <w:vAlign w:val="center"/>
          </w:tcPr>
          <w:p w14:paraId="5420FD8D">
            <w:pPr>
              <w:pStyle w:val="18"/>
              <w:jc w:val="center"/>
              <w:rPr>
                <w:color w:val="auto"/>
                <w:highlight w:val="none"/>
              </w:rPr>
            </w:pPr>
            <w:r>
              <w:rPr>
                <w:rFonts w:hint="eastAsia" w:ascii="宋体" w:hAnsi="宋体" w:cs="宋体"/>
                <w:color w:val="auto"/>
                <w:kern w:val="2"/>
                <w:sz w:val="21"/>
                <w:highlight w:val="none"/>
              </w:rPr>
              <w:t>其他未列明行业</w:t>
            </w:r>
          </w:p>
        </w:tc>
        <w:tc>
          <w:tcPr>
            <w:tcW w:w="2829" w:type="pct"/>
            <w:vAlign w:val="center"/>
          </w:tcPr>
          <w:p w14:paraId="10ABFB4B">
            <w:pPr>
              <w:spacing w:line="360" w:lineRule="exact"/>
              <w:jc w:val="left"/>
              <w:rPr>
                <w:rFonts w:ascii="宋体" w:hAnsi="宋体" w:cs="宋体"/>
                <w:b/>
                <w:bCs/>
                <w:color w:val="auto"/>
                <w:highlight w:val="none"/>
              </w:rPr>
            </w:pPr>
            <w:r>
              <w:rPr>
                <w:rFonts w:hint="eastAsia" w:ascii="宋体" w:hAnsi="宋体" w:cs="宋体"/>
                <w:b/>
                <w:bCs/>
                <w:color w:val="auto"/>
                <w:highlight w:val="none"/>
              </w:rPr>
              <w:t>（一）采购服务范围及内容：</w:t>
            </w:r>
          </w:p>
          <w:p w14:paraId="30D42365">
            <w:pPr>
              <w:spacing w:line="360" w:lineRule="exact"/>
              <w:jc w:val="left"/>
              <w:rPr>
                <w:rFonts w:ascii="宋体" w:hAnsi="宋体" w:cs="宋体"/>
                <w:color w:val="auto"/>
                <w:highlight w:val="none"/>
              </w:rPr>
            </w:pPr>
            <w:r>
              <w:rPr>
                <w:rFonts w:hint="eastAsia" w:ascii="宋体" w:hAnsi="宋体" w:cs="宋体"/>
                <w:color w:val="auto"/>
                <w:highlight w:val="none"/>
              </w:rPr>
              <w:t>1.外勤：提供乐群院区、乐群校区、东城院区等医院管辖范围内所有区域护送病人、送资料、送单据、送标本、送药、送物资、送维修及气体运送等各种外勤服务及项目管理。</w:t>
            </w:r>
          </w:p>
          <w:p w14:paraId="555EA78A">
            <w:pPr>
              <w:spacing w:line="360" w:lineRule="exact"/>
              <w:jc w:val="left"/>
              <w:rPr>
                <w:rFonts w:ascii="宋体" w:hAnsi="宋体" w:cs="宋体"/>
                <w:color w:val="auto"/>
                <w:highlight w:val="none"/>
              </w:rPr>
            </w:pPr>
            <w:r>
              <w:rPr>
                <w:rFonts w:hint="eastAsia" w:ascii="宋体" w:hAnsi="宋体" w:cs="宋体"/>
                <w:color w:val="auto"/>
                <w:highlight w:val="none"/>
              </w:rPr>
              <w:t>2.内勤：乐群院区、乐群校区、东城院区等医院管辖范围及漓东院区部分科室内勤服务（具体工作内容视各科室而定）及项目管理。</w:t>
            </w:r>
          </w:p>
          <w:p w14:paraId="2B4E4EC6">
            <w:pPr>
              <w:spacing w:line="360" w:lineRule="exact"/>
              <w:jc w:val="left"/>
              <w:rPr>
                <w:rFonts w:ascii="宋体" w:hAnsi="宋体" w:cs="宋体"/>
                <w:color w:val="auto"/>
                <w:highlight w:val="none"/>
              </w:rPr>
            </w:pPr>
            <w:r>
              <w:rPr>
                <w:rFonts w:hint="eastAsia" w:ascii="宋体" w:hAnsi="宋体" w:cs="宋体"/>
                <w:color w:val="auto"/>
                <w:highlight w:val="none"/>
              </w:rPr>
              <w:t>3.护工：乐群院区及漓东院区部分科室住院病人护工服务及项目管理。</w:t>
            </w:r>
          </w:p>
          <w:p w14:paraId="7630BC25">
            <w:pPr>
              <w:spacing w:line="360" w:lineRule="exact"/>
              <w:jc w:val="left"/>
              <w:rPr>
                <w:rFonts w:ascii="宋体" w:hAnsi="宋体" w:cs="宋体"/>
                <w:color w:val="auto"/>
                <w:highlight w:val="none"/>
              </w:rPr>
            </w:pPr>
            <w:r>
              <w:rPr>
                <w:rFonts w:hint="eastAsia" w:ascii="宋体" w:hAnsi="宋体" w:cs="宋体"/>
                <w:color w:val="auto"/>
                <w:highlight w:val="none"/>
              </w:rPr>
              <w:t>4.完成医院及科室交办的其他事情。</w:t>
            </w:r>
          </w:p>
          <w:p w14:paraId="46AEDCD0">
            <w:pPr>
              <w:spacing w:line="360" w:lineRule="exact"/>
              <w:jc w:val="left"/>
              <w:rPr>
                <w:rFonts w:ascii="宋体" w:hAnsi="宋体" w:cs="宋体"/>
                <w:b/>
                <w:bCs/>
                <w:color w:val="auto"/>
                <w:highlight w:val="none"/>
              </w:rPr>
            </w:pPr>
            <w:r>
              <w:rPr>
                <w:rFonts w:hint="eastAsia" w:ascii="宋体" w:hAnsi="宋体" w:cs="宋体"/>
                <w:b/>
                <w:bCs/>
                <w:color w:val="auto"/>
                <w:highlight w:val="none"/>
              </w:rPr>
              <w:t>（二）服务人员及系统配置要求</w:t>
            </w:r>
          </w:p>
          <w:p w14:paraId="3D59FDB1">
            <w:pPr>
              <w:spacing w:line="360" w:lineRule="exact"/>
              <w:jc w:val="left"/>
              <w:rPr>
                <w:rFonts w:ascii="宋体" w:hAnsi="宋体" w:cs="宋体"/>
                <w:color w:val="auto"/>
                <w:highlight w:val="none"/>
              </w:rPr>
            </w:pPr>
            <w:r>
              <w:rPr>
                <w:rFonts w:hint="eastAsia" w:ascii="宋体" w:hAnsi="宋体" w:cs="宋体"/>
                <w:color w:val="auto"/>
                <w:highlight w:val="none"/>
              </w:rPr>
              <w:t>1.服务人员配置及要求：根据采购人目前科室设置及实际需求，投标人需提供服务人员103人（其中，外勤42人、内勤41人、护工20人）</w:t>
            </w:r>
            <w:r>
              <w:rPr>
                <w:rFonts w:hint="eastAsia" w:ascii="宋体" w:hAnsi="宋体" w:cs="宋体"/>
                <w:color w:val="auto"/>
                <w:highlight w:val="none"/>
              </w:rPr>
              <w:t>，此人数为估算人数，中标后，根据采购人实际需要</w:t>
            </w:r>
            <w:r>
              <w:rPr>
                <w:rFonts w:hint="eastAsia"/>
                <w:color w:val="auto"/>
                <w:highlight w:val="none"/>
              </w:rPr>
              <w:t>提供</w:t>
            </w:r>
            <w:r>
              <w:rPr>
                <w:rFonts w:hint="eastAsia" w:ascii="宋体" w:hAnsi="宋体" w:cs="宋体"/>
                <w:color w:val="auto"/>
                <w:highlight w:val="none"/>
              </w:rPr>
              <w:t>服务人员。</w:t>
            </w:r>
            <w:r>
              <w:rPr>
                <w:rFonts w:hint="eastAsia" w:ascii="宋体" w:hAnsi="宋体" w:cs="宋体"/>
                <w:color w:val="auto"/>
                <w:highlight w:val="none"/>
              </w:rPr>
              <w:t>所</w:t>
            </w:r>
            <w:r>
              <w:rPr>
                <w:rFonts w:hint="eastAsia"/>
                <w:color w:val="auto"/>
                <w:highlight w:val="none"/>
              </w:rPr>
              <w:t>提供</w:t>
            </w:r>
            <w:r>
              <w:rPr>
                <w:rFonts w:hint="eastAsia" w:ascii="宋体" w:hAnsi="宋体" w:cs="宋体"/>
                <w:color w:val="auto"/>
                <w:highlight w:val="none"/>
              </w:rPr>
              <w:t>员工须具有初中及以上学历（护理专业毕业优先），要求年龄不超过50岁（以身份证登记为准），如工作能力突出，</w:t>
            </w:r>
            <w:r>
              <w:rPr>
                <w:rFonts w:hint="eastAsia" w:ascii="宋体" w:hAnsi="宋体" w:cs="宋体"/>
                <w:color w:val="auto"/>
                <w:highlight w:val="none"/>
              </w:rPr>
              <w:t>经采购人同意</w:t>
            </w:r>
            <w:r>
              <w:rPr>
                <w:rFonts w:hint="eastAsia" w:ascii="宋体" w:hAnsi="宋体" w:cs="宋体"/>
                <w:color w:val="auto"/>
                <w:highlight w:val="none"/>
              </w:rPr>
              <w:t>，可适当放宽年龄，但合同期内≥55岁员工人数不超过总人数的20%。护工上岗前应具备相应职业技能证书(即:医疗护理员职业技能等级证书或病患陪护专项职业能力证书)，经过考核合格后方可从事相关工作。所有员工要求身心健康（员工入职前必须进行体检，不能聘用患有传染性疾病的人员，体检报告交采购人后勤管理科存档）。如有变动，双方另行协商人员配置。</w:t>
            </w:r>
          </w:p>
          <w:p w14:paraId="406638E1">
            <w:pPr>
              <w:spacing w:line="360" w:lineRule="exact"/>
              <w:jc w:val="left"/>
              <w:rPr>
                <w:rFonts w:ascii="宋体" w:hAnsi="宋体" w:cs="宋体"/>
                <w:color w:val="auto"/>
                <w:highlight w:val="none"/>
              </w:rPr>
            </w:pPr>
            <w:r>
              <w:rPr>
                <w:rFonts w:hint="eastAsia" w:ascii="宋体" w:hAnsi="宋体" w:cs="宋体"/>
                <w:color w:val="auto"/>
                <w:highlight w:val="none"/>
              </w:rPr>
              <w:t>2.</w:t>
            </w:r>
            <w:r>
              <w:rPr>
                <w:rFonts w:hint="eastAsia"/>
                <w:color w:val="auto"/>
                <w:highlight w:val="none"/>
              </w:rPr>
              <w:t>服务期内，投标人配备</w:t>
            </w:r>
            <w:r>
              <w:rPr>
                <w:rFonts w:hint="eastAsia" w:ascii="宋体" w:hAnsi="宋体" w:cs="宋体"/>
                <w:color w:val="auto"/>
                <w:highlight w:val="none"/>
              </w:rPr>
              <w:t>外勤运送订单管理系统软件及相关配套设备实施管理。</w:t>
            </w:r>
            <w:r>
              <w:rPr>
                <w:rFonts w:hint="eastAsia" w:ascii="宋体" w:hAnsi="宋体" w:cs="宋体"/>
                <w:color w:val="auto"/>
                <w:highlight w:val="none"/>
              </w:rPr>
              <w:t>配套设备必须保证每个科室均能正常下单使用（配套设备包括但不限于平板、流量卡等）。</w:t>
            </w:r>
            <w:r>
              <w:rPr>
                <w:rFonts w:hint="eastAsia"/>
                <w:color w:val="auto"/>
                <w:highlight w:val="none"/>
              </w:rPr>
              <w:t>采购人各部门相关医辅人员分配情况详见“附表一：</w:t>
            </w:r>
            <w:r>
              <w:rPr>
                <w:rFonts w:hint="eastAsia" w:ascii="宋体" w:hAnsi="宋体" w:cs="宋体"/>
                <w:color w:val="auto"/>
                <w:highlight w:val="none"/>
              </w:rPr>
              <w:t>乐群院区医辅人员需求分配表”。</w:t>
            </w:r>
          </w:p>
          <w:p w14:paraId="2CA0F7D1">
            <w:pPr>
              <w:spacing w:line="360" w:lineRule="exact"/>
              <w:ind w:firstLine="630" w:firstLineChars="300"/>
              <w:jc w:val="left"/>
              <w:rPr>
                <w:rFonts w:ascii="宋体" w:hAnsi="宋体" w:cs="宋体"/>
                <w:color w:val="auto"/>
                <w:highlight w:val="none"/>
              </w:rPr>
            </w:pPr>
            <w:r>
              <w:rPr>
                <w:rFonts w:hint="eastAsia"/>
                <w:color w:val="auto"/>
                <w:highlight w:val="none"/>
              </w:rPr>
              <w:t xml:space="preserve">附表一  </w:t>
            </w:r>
            <w:r>
              <w:rPr>
                <w:rFonts w:hint="eastAsia" w:ascii="宋体" w:hAnsi="宋体" w:cs="宋体"/>
                <w:color w:val="auto"/>
                <w:highlight w:val="none"/>
              </w:rPr>
              <w:t>乐群院区医辅人员需求分配表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14"/>
              <w:gridCol w:w="2365"/>
              <w:gridCol w:w="555"/>
            </w:tblGrid>
            <w:tr w14:paraId="6C5A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25" w:type="dxa"/>
                  <w:vAlign w:val="center"/>
                </w:tcPr>
                <w:p w14:paraId="364FCBDE">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岗位</w:t>
                  </w:r>
                </w:p>
              </w:tc>
              <w:tc>
                <w:tcPr>
                  <w:tcW w:w="1014" w:type="dxa"/>
                  <w:vAlign w:val="center"/>
                </w:tcPr>
                <w:p w14:paraId="2E4CCD4E">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人数</w:t>
                  </w:r>
                </w:p>
              </w:tc>
              <w:tc>
                <w:tcPr>
                  <w:tcW w:w="2365" w:type="dxa"/>
                  <w:vAlign w:val="center"/>
                </w:tcPr>
                <w:p w14:paraId="536CF204">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服务部门</w:t>
                  </w:r>
                </w:p>
              </w:tc>
              <w:tc>
                <w:tcPr>
                  <w:tcW w:w="555" w:type="dxa"/>
                  <w:vAlign w:val="center"/>
                </w:tcPr>
                <w:p w14:paraId="158D64A3">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备注</w:t>
                  </w:r>
                </w:p>
              </w:tc>
            </w:tr>
            <w:tr w14:paraId="7FA2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25" w:type="dxa"/>
                  <w:vAlign w:val="center"/>
                </w:tcPr>
                <w:p w14:paraId="689CB50B">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外勤</w:t>
                  </w:r>
                </w:p>
              </w:tc>
              <w:tc>
                <w:tcPr>
                  <w:tcW w:w="1014" w:type="dxa"/>
                  <w:vAlign w:val="center"/>
                </w:tcPr>
                <w:p w14:paraId="5EDA5A02">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42（含公司管理人员1人）</w:t>
                  </w:r>
                </w:p>
              </w:tc>
              <w:tc>
                <w:tcPr>
                  <w:tcW w:w="2365" w:type="dxa"/>
                  <w:vAlign w:val="center"/>
                </w:tcPr>
                <w:p w14:paraId="79BBF7F5">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全院</w:t>
                  </w:r>
                </w:p>
              </w:tc>
              <w:tc>
                <w:tcPr>
                  <w:tcW w:w="555" w:type="dxa"/>
                  <w:vAlign w:val="center"/>
                </w:tcPr>
                <w:p w14:paraId="3B246E29">
                  <w:pPr>
                    <w:numPr>
                      <w:ilvl w:val="255"/>
                      <w:numId w:val="0"/>
                    </w:numPr>
                    <w:adjustRightInd w:val="0"/>
                    <w:snapToGrid w:val="0"/>
                    <w:spacing w:line="360" w:lineRule="exact"/>
                    <w:jc w:val="center"/>
                    <w:rPr>
                      <w:rFonts w:ascii="宋体" w:hAnsi="宋体" w:cs="宋体"/>
                      <w:color w:val="auto"/>
                      <w:highlight w:val="none"/>
                    </w:rPr>
                  </w:pPr>
                </w:p>
              </w:tc>
            </w:tr>
            <w:tr w14:paraId="72BB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25" w:type="dxa"/>
                  <w:vAlign w:val="center"/>
                </w:tcPr>
                <w:p w14:paraId="2976E344">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内勤</w:t>
                  </w:r>
                </w:p>
              </w:tc>
              <w:tc>
                <w:tcPr>
                  <w:tcW w:w="1014" w:type="dxa"/>
                  <w:vAlign w:val="center"/>
                </w:tcPr>
                <w:p w14:paraId="50F95D93">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41</w:t>
                  </w:r>
                </w:p>
              </w:tc>
              <w:tc>
                <w:tcPr>
                  <w:tcW w:w="2365" w:type="dxa"/>
                  <w:vAlign w:val="center"/>
                </w:tcPr>
                <w:p w14:paraId="0987C13F">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遗传与精准医学实验室2人；输血科1人；消化内科1人；检验科1人；血液净化中心1人；其他科室35人</w:t>
                  </w:r>
                </w:p>
              </w:tc>
              <w:tc>
                <w:tcPr>
                  <w:tcW w:w="555" w:type="dxa"/>
                  <w:vAlign w:val="center"/>
                </w:tcPr>
                <w:p w14:paraId="380D567E">
                  <w:pPr>
                    <w:numPr>
                      <w:ilvl w:val="255"/>
                      <w:numId w:val="0"/>
                    </w:numPr>
                    <w:adjustRightInd w:val="0"/>
                    <w:snapToGrid w:val="0"/>
                    <w:spacing w:line="360" w:lineRule="exact"/>
                    <w:jc w:val="center"/>
                    <w:rPr>
                      <w:rFonts w:ascii="宋体" w:hAnsi="宋体" w:cs="宋体"/>
                      <w:color w:val="auto"/>
                      <w:highlight w:val="none"/>
                    </w:rPr>
                  </w:pPr>
                </w:p>
              </w:tc>
            </w:tr>
            <w:tr w14:paraId="13B2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25" w:type="dxa"/>
                  <w:vAlign w:val="center"/>
                </w:tcPr>
                <w:p w14:paraId="30722D10">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护工</w:t>
                  </w:r>
                </w:p>
              </w:tc>
              <w:tc>
                <w:tcPr>
                  <w:tcW w:w="1014" w:type="dxa"/>
                  <w:vAlign w:val="center"/>
                </w:tcPr>
                <w:p w14:paraId="273783AC">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20</w:t>
                  </w:r>
                </w:p>
              </w:tc>
              <w:tc>
                <w:tcPr>
                  <w:tcW w:w="2365" w:type="dxa"/>
                  <w:vAlign w:val="center"/>
                </w:tcPr>
                <w:p w14:paraId="17C3348E">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呼吸与危重症医学科4人；心血管内科一病区1人；急诊科1人；其他科室14人</w:t>
                  </w:r>
                </w:p>
              </w:tc>
              <w:tc>
                <w:tcPr>
                  <w:tcW w:w="555" w:type="dxa"/>
                  <w:vAlign w:val="center"/>
                </w:tcPr>
                <w:p w14:paraId="36C3E19C">
                  <w:pPr>
                    <w:numPr>
                      <w:ilvl w:val="255"/>
                      <w:numId w:val="0"/>
                    </w:numPr>
                    <w:adjustRightInd w:val="0"/>
                    <w:snapToGrid w:val="0"/>
                    <w:spacing w:line="360" w:lineRule="exact"/>
                    <w:jc w:val="center"/>
                    <w:rPr>
                      <w:rFonts w:ascii="宋体" w:hAnsi="宋体" w:cs="宋体"/>
                      <w:color w:val="auto"/>
                      <w:highlight w:val="none"/>
                    </w:rPr>
                  </w:pPr>
                </w:p>
              </w:tc>
            </w:tr>
            <w:tr w14:paraId="2645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25" w:type="dxa"/>
                  <w:vAlign w:val="center"/>
                </w:tcPr>
                <w:p w14:paraId="539790B8">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合计</w:t>
                  </w:r>
                </w:p>
              </w:tc>
              <w:tc>
                <w:tcPr>
                  <w:tcW w:w="1014" w:type="dxa"/>
                  <w:vAlign w:val="center"/>
                </w:tcPr>
                <w:p w14:paraId="7897BDCE">
                  <w:pPr>
                    <w:numPr>
                      <w:ilvl w:val="255"/>
                      <w:numId w:val="0"/>
                    </w:numPr>
                    <w:adjustRightInd w:val="0"/>
                    <w:snapToGrid w:val="0"/>
                    <w:spacing w:line="360" w:lineRule="exact"/>
                    <w:jc w:val="center"/>
                    <w:rPr>
                      <w:rFonts w:ascii="宋体" w:hAnsi="宋体" w:cs="宋体"/>
                      <w:color w:val="auto"/>
                      <w:highlight w:val="none"/>
                    </w:rPr>
                  </w:pPr>
                  <w:r>
                    <w:rPr>
                      <w:rFonts w:hint="eastAsia" w:ascii="宋体" w:hAnsi="宋体" w:cs="宋体"/>
                      <w:color w:val="auto"/>
                      <w:highlight w:val="none"/>
                    </w:rPr>
                    <w:t>103</w:t>
                  </w:r>
                </w:p>
              </w:tc>
              <w:tc>
                <w:tcPr>
                  <w:tcW w:w="2365" w:type="dxa"/>
                  <w:vAlign w:val="center"/>
                </w:tcPr>
                <w:p w14:paraId="7059754E">
                  <w:pPr>
                    <w:numPr>
                      <w:ilvl w:val="255"/>
                      <w:numId w:val="0"/>
                    </w:numPr>
                    <w:adjustRightInd w:val="0"/>
                    <w:snapToGrid w:val="0"/>
                    <w:spacing w:line="360" w:lineRule="exact"/>
                    <w:jc w:val="center"/>
                    <w:rPr>
                      <w:rFonts w:ascii="宋体" w:hAnsi="宋体" w:cs="宋体"/>
                      <w:color w:val="auto"/>
                      <w:highlight w:val="none"/>
                    </w:rPr>
                  </w:pPr>
                </w:p>
              </w:tc>
              <w:tc>
                <w:tcPr>
                  <w:tcW w:w="555" w:type="dxa"/>
                  <w:vAlign w:val="center"/>
                </w:tcPr>
                <w:p w14:paraId="32F619B6">
                  <w:pPr>
                    <w:numPr>
                      <w:ilvl w:val="255"/>
                      <w:numId w:val="0"/>
                    </w:numPr>
                    <w:adjustRightInd w:val="0"/>
                    <w:snapToGrid w:val="0"/>
                    <w:spacing w:line="360" w:lineRule="exact"/>
                    <w:jc w:val="center"/>
                    <w:rPr>
                      <w:rFonts w:ascii="宋体" w:hAnsi="宋体" w:cs="宋体"/>
                      <w:color w:val="auto"/>
                      <w:highlight w:val="none"/>
                    </w:rPr>
                  </w:pPr>
                </w:p>
              </w:tc>
            </w:tr>
          </w:tbl>
          <w:p w14:paraId="4835AADD">
            <w:pPr>
              <w:numPr>
                <w:ilvl w:val="255"/>
                <w:numId w:val="0"/>
              </w:numPr>
              <w:adjustRightInd w:val="0"/>
              <w:snapToGrid w:val="0"/>
              <w:spacing w:line="360" w:lineRule="exact"/>
              <w:jc w:val="left"/>
              <w:rPr>
                <w:rFonts w:ascii="宋体" w:hAnsi="宋体" w:cs="宋体"/>
                <w:color w:val="auto"/>
                <w:highlight w:val="none"/>
              </w:rPr>
            </w:pPr>
            <w:r>
              <w:rPr>
                <w:rFonts w:hint="eastAsia" w:ascii="宋体" w:hAnsi="宋体" w:cs="宋体"/>
                <w:color w:val="auto"/>
                <w:highlight w:val="none"/>
              </w:rPr>
              <w:t>备注：以上配置人员数量103人为估算人数，中标后根据采购人实际需求提供服务人员，每月按实际配置人数×中标单价进行服务费结算。如业务需要调整，双方另行协商调整人员配置。</w:t>
            </w:r>
          </w:p>
          <w:p w14:paraId="4DE8CCB5">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（三）项目服务要求</w:t>
            </w:r>
          </w:p>
          <w:p w14:paraId="77020F3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1.外勤工作</w:t>
            </w:r>
          </w:p>
          <w:p w14:paraId="250EE4E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1.1投标人需配备医院外勤运送订单管理系统软件及相关配套设备</w:t>
            </w:r>
            <w:r>
              <w:rPr>
                <w:rFonts w:hint="eastAsia" w:ascii="宋体" w:hAnsi="宋体" w:cs="宋体"/>
                <w:bCs/>
                <w:color w:val="auto"/>
                <w:szCs w:val="21"/>
                <w:highlight w:val="none"/>
              </w:rPr>
              <w:t>进行管理</w:t>
            </w:r>
            <w:r>
              <w:rPr>
                <w:rFonts w:hint="eastAsia" w:ascii="宋体" w:hAnsi="宋体" w:cs="宋体"/>
                <w:bCs/>
                <w:color w:val="auto"/>
                <w:szCs w:val="21"/>
                <w:highlight w:val="none"/>
              </w:rPr>
              <w:t>，配套设备必须保证每个科室均能正常下单使用（配套设备包括但不限于平板、流量卡等）。利用计算机信息技术和网络技术，对现有医院中央运送的工作进行集中统一管理，将中央运送工作中的各项任务（运送病人、运送标本、药品、气体、医疗文件、小型医疗仪器及其他物品等）进行智能分配管理和统一调度，要求能随时监控任务进度和完成情况，监测分析服务数据和各项任务指标（如年、月、周、日任务完成时间占比，历史任务完成情况，订单数等）。提供项目服务所需工具、耗材，如标本箱、提篮、外出检查防雨设备等。</w:t>
            </w:r>
          </w:p>
          <w:p w14:paraId="476F909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1.2提供每周7天，每天24小时服务，包括法定的节假日。每天上下午工作时间段，至少每小时一次到服务科室巡查，主动、及时发现科室需求并按要求完成。</w:t>
            </w:r>
          </w:p>
          <w:p w14:paraId="1E0AA63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1.3患者运送：</w:t>
            </w:r>
          </w:p>
          <w:p w14:paraId="1996FF52">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（1）与科室当面核实、交接无误，按采购人要求进行登记、签名，要求运送及时、准确无误。</w:t>
            </w:r>
          </w:p>
          <w:p w14:paraId="50CDABE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（2）妥善安置患者，必要时协助病人过床等。运送过程中应加强与患者及家属沟通，不得无故离开患者，如遇患者不适及时与科室联系，正确处理。注意关注患者保暖，避免受凉，遇雨天做好防雨淋措施。</w:t>
            </w:r>
          </w:p>
          <w:p w14:paraId="7D47AE5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（3）正确、规范使用运送工具，每天检查服务科室轮椅和平车并进行清扫（必要时进行使用后消毒）。</w:t>
            </w:r>
          </w:p>
          <w:p w14:paraId="41F7B35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1.4标本运送：</w:t>
            </w:r>
          </w:p>
          <w:p w14:paraId="56A70C5B">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（1）与科室当面核实、交接无误，按采购人要求进行登记、签名或扫码。标本放置规范，标本箱全程密封，运送及时、准确，无错、漏、丢失、损坏等。</w:t>
            </w:r>
          </w:p>
          <w:p w14:paraId="6191E86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（2）标本箱符合要求并保持清洁，每日消毒，按规范放置有序，运送操作符合规范及感控要求。</w:t>
            </w:r>
          </w:p>
          <w:p w14:paraId="358DC67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1.5药品运送：与科室当面核实、交接无误，按采购人要求进行登记、签名或扫码。药品放置规范，运送及时、准确，无错、漏、丢失、损坏等。</w:t>
            </w:r>
          </w:p>
          <w:p w14:paraId="1B0346D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1.6各种单据及其他运送：与科室当面核实、交接无误，按采购人要求进行登记、签名或扫码，运送及时、准确，无错、漏、丢失、损坏等情况，满足科室实际要求。落实各项安全措施，避免意外事件发生。</w:t>
            </w:r>
          </w:p>
          <w:p w14:paraId="67C1021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1.7接到各种急诊标本、会诊单、结果单、患者运送等急诊任务后，要求5分钟内在系统上抢单，抢单后迅速到达科室，从科室下单至送达目的地科室要求在25分钟内完成。普通病人运送，从科室下单至送达目的地科室要求在1小时内完成。其他运送任务当天完成，具体送达时间根据任务具体情况而定，以不影响科室工作为原则，特殊情况除外。</w:t>
            </w:r>
          </w:p>
          <w:p w14:paraId="727911D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1.8合同结束后，已投入使用的标本箱、提篮、平板等工具归采购人所有。</w:t>
            </w:r>
          </w:p>
          <w:p w14:paraId="29AEC392">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2.内勤工作</w:t>
            </w:r>
          </w:p>
          <w:p w14:paraId="309176C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2.1涉及“1.外勤工作”内容时，参照其要求执行。</w:t>
            </w:r>
          </w:p>
          <w:p w14:paraId="5785A53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2.2协助科室做好管理，完成内务工作，协助完成保洁、消毒等工作，保持科室整洁、干净。</w:t>
            </w:r>
          </w:p>
          <w:p w14:paraId="3D20771D">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2.3协助科室完成各种运送工作、标本处理，发放满意度调查表等。</w:t>
            </w:r>
          </w:p>
          <w:p w14:paraId="2186739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2.4协助患者办理出、入院手续，护送患者出院。</w:t>
            </w:r>
          </w:p>
          <w:p w14:paraId="3E0D62D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2.5在科室管理下，协助护士完成基础护理工作及非技术性护理工作。</w:t>
            </w:r>
          </w:p>
          <w:p w14:paraId="2294A22D">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2.6科室遇到检查或突发情况，需配合科室完成必要工作。</w:t>
            </w:r>
          </w:p>
          <w:p w14:paraId="3B1E5F4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2.7完成科室交办的其他工作，根据实际需求进行安排。</w:t>
            </w:r>
          </w:p>
          <w:p w14:paraId="173B0DB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3.护工工作</w:t>
            </w:r>
          </w:p>
          <w:p w14:paraId="4F89681D">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3.1涉及“1.外勤工作、2.内勤工作”内容时，参照其要求执行。</w:t>
            </w:r>
          </w:p>
          <w:p w14:paraId="656C037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3.2在科室护士长管理下及护士指导下，完成基础性护理工作及非技术性护理工作。</w:t>
            </w:r>
          </w:p>
          <w:p w14:paraId="7BCCD6E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3.3完成患者生活护理，工作内容包括：</w:t>
            </w:r>
          </w:p>
          <w:p w14:paraId="7C5D0F0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（1）完成晨、晚间护理：要求保持床单整洁，更换床上用品、平车套等。</w:t>
            </w:r>
          </w:p>
          <w:p w14:paraId="1916082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（2）保持病人清洁卫生，协助责任护士完成患者的擦浴、洗头、面部清洁、梳头、更衣等。</w:t>
            </w:r>
          </w:p>
          <w:p w14:paraId="7D43E28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（3）协助病人完成生活所需，如送便器、倾倒大小便、协助病人进餐、清洗餐具。</w:t>
            </w:r>
          </w:p>
          <w:p w14:paraId="3056933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（4）协助责任护士对患者进行皮肤护理，清理大小便，保持局部清洁干燥，定时翻身拍背等。</w:t>
            </w:r>
          </w:p>
          <w:p w14:paraId="045A58C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3.4参与维持病房环境和秩序的管理，整理办公用品，保持病房干净、整洁。</w:t>
            </w:r>
          </w:p>
          <w:p w14:paraId="190BD1A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3.5协助医护人员护送病人检查、治疗、转科等。</w:t>
            </w:r>
          </w:p>
          <w:p w14:paraId="7577094C">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3.6协助患者办理出、入院手续，护送患者出院。</w:t>
            </w:r>
          </w:p>
          <w:p w14:paraId="72AC9EB2">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3.7其他工作：如清洗物品，紧急情况下外出请领、取送各种物品及科室交办的其他事情。</w:t>
            </w:r>
          </w:p>
          <w:p w14:paraId="6350F6B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4.其他要求</w:t>
            </w:r>
          </w:p>
          <w:p w14:paraId="3414D10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4.1投标人在确保采购人服务要求的前提下制定独立的管理与运作体系</w:t>
            </w:r>
            <w:r>
              <w:rPr>
                <w:rFonts w:hint="eastAsia"/>
                <w:color w:val="auto"/>
                <w:highlight w:val="none"/>
              </w:rPr>
              <w:t>。</w:t>
            </w:r>
            <w:r>
              <w:rPr>
                <w:rFonts w:hint="eastAsia" w:ascii="宋体" w:hAnsi="宋体" w:cs="宋体"/>
                <w:bCs/>
                <w:color w:val="auto"/>
                <w:szCs w:val="21"/>
                <w:highlight w:val="none"/>
              </w:rPr>
              <w:t>在中标后提供服务所提供的设备、物品清单等。投标人投标报价应当考虑服务期限内投入服务相关系统、设备及物料物价上涨、桂林市最低工资标准发生浮动等风险。服务期限内中标人聘用相应岗位人员的最低工资标准不得低于桂林市最低工资标准，并随着桂林市最低工资标准的调整同步浮动。上述相关费用包括在采购人支付给中标人的服务费中，中标</w:t>
            </w:r>
            <w:r>
              <w:rPr>
                <w:rFonts w:hint="eastAsia" w:ascii="宋体" w:hAnsi="宋体" w:cs="宋体"/>
                <w:bCs/>
                <w:color w:val="auto"/>
                <w:szCs w:val="21"/>
                <w:highlight w:val="none"/>
              </w:rPr>
              <w:t>单</w:t>
            </w:r>
            <w:r>
              <w:rPr>
                <w:rFonts w:hint="eastAsia" w:ascii="宋体" w:hAnsi="宋体" w:cs="宋体"/>
                <w:bCs/>
                <w:color w:val="auto"/>
                <w:szCs w:val="21"/>
                <w:highlight w:val="none"/>
              </w:rPr>
              <w:t>价不因物料物价上涨、工资浮动而改变。在服务期内，中标人在现有的采购需求内不得以任何理由追加费用。</w:t>
            </w:r>
          </w:p>
          <w:p w14:paraId="1DA39C2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4.2</w:t>
            </w:r>
            <w:r>
              <w:rPr>
                <w:rFonts w:hint="eastAsia" w:ascii="宋体" w:hAnsi="宋体" w:cs="宋体"/>
                <w:bCs/>
                <w:color w:val="auto"/>
                <w:szCs w:val="21"/>
                <w:highlight w:val="none"/>
              </w:rPr>
              <w:t>投标人具有完善的管理制度，所有管理规范须符合采购人管理要求，并在采购人后勤管理科的管理下开展工作。须严格遵守国家有关法律法规、行业规章制度、采购人的各项规章制度、规范及流程等，认真履行合同及职责。采购人认为不合理的管理制度投标人必须按要求及时修订。及时根据行业服务标准与采购人医院规定要求，并结合实际变化提出合理建议，并在实践中不断完善和提升。</w:t>
            </w:r>
          </w:p>
          <w:p w14:paraId="28AAA797">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4.3如因工作开展需要，经双方协商可调整考核的内容。采购人因发展需要增加新的工作内容（在本合同人员配置可承受的情况下），由投标人安排员工负责完成。如医院业务扩展需要，所增加的工作内容超出本合同人员配置所承受的工作量，双方另行协商调整人员配置。</w:t>
            </w:r>
          </w:p>
          <w:p w14:paraId="35EC0567">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4.4因业务需要，采购人变更了教学、办公场所，新增医疗场所及新增员工，本合同同样适用于新更改（或新增）区域及新增员工。</w:t>
            </w:r>
          </w:p>
          <w:p w14:paraId="3A98071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4.5投标人做好人员管理，员工的一切关系隶属投标人，并由投标人统一管理。按照《中华人民共和国民法典》的规定与员工签订劳动合同，并依据桂林市最新的有关最低工资标准的规定和要求、缴纳各种社会保险的规定以及相关法律法规要求，向员工支付工资、加班费、各项福利待遇，为员工缴纳社保（根据情况至少为其购买“四险”即养老保险、医疗保险、工伤保险、失业保险）及其他保险（如不购买，需提供证明），支付相关法律法规规定的费用等。</w:t>
            </w:r>
          </w:p>
          <w:p w14:paraId="755448C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4.6加强员工安全教育，投标人员工在工作中发生的所有意外、事故由投标人负责，并赔偿采购人由此造成的所有损失。投标人的员工如发生劳动纠纷、伤亡、治安、刑事案件、工伤事故以及法律法规规定的其他情形，均由投标人负责，及时处理并另行提供其他员工替岗，不得影响采购人正常工作，采购人对投标人与下属员工之间的纠纷不负任何责任；给医院和他人财产及人身造成损失和伤害的，均由投标人负责赔偿。</w:t>
            </w:r>
          </w:p>
          <w:p w14:paraId="3D7800AF">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4.7投标人要维护采购人一切公共设施，如有挪用、失窃、人为损坏则照价赔偿，行为严重者移交司法机关处理；注意节约水、电、气，投标人员工不许在办公室、更衣室、休息室等非允许范围内使用电炉、热得快等电器进行煮饭等操作。员工不许在采购人场地内聚集闹事。</w:t>
            </w:r>
          </w:p>
          <w:p w14:paraId="3FBF1B0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4.8投标人委派一名55岁以下（不含55岁）、大专及以上学历，具有3年及以上医院医辅人员工作管理经验的驻院管理人员、负责管理、协调、质控及培训等工作。全面巡查、督导员工服务工作；及时处理采购人投诉，并做好与采购人的联系工作；负责新聘员工的法律法规、制度、服务规范、安全教育、安全操作等岗前培训，考核合格后方能上岗，并定期组织员工进行相关内容的培训，强化服务态度和责任心，提高业务水平及服务意识。</w:t>
            </w:r>
          </w:p>
          <w:p w14:paraId="217DCDF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4.9投标人按采购人要求（年龄、身高、学历等）配备员工，以身份证、证书登记为准，投标人进场前须向采购人提供员工的名单、身份证、学历证复印件等相关材料。应保持相对稳定的员工队伍，如有人员变动应提前与采购人协商沟通。投标人按采购人实际需求人数配备及调整服务人数。</w:t>
            </w:r>
          </w:p>
          <w:p w14:paraId="72543DF2">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4.10投标人遵守医院感染防控要求，并积极配合。投标人进场后一个月内须完成所有员工手卫生的培训，进场后两个月内完成所有员工 “七步洗手法”的考核，并确保考核合格。投标人新入职员工岗前培训须有手卫生内容，每季度对所有员工洗手法的抽考率≥30%。采购人职能科室对员工现场检查手卫生依从性≥85%，监测手卫生质量及格率100%。</w:t>
            </w:r>
          </w:p>
          <w:p w14:paraId="24D9615B">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4.11采购人遇突发事件或重大抢救或各种检查，投标人必须积极配合，值班电话保持畅通。</w:t>
            </w:r>
          </w:p>
          <w:p w14:paraId="42789E0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4.12投标人提供统一着装、发网、服务牌等，员工仪容仪表符合岗位规范，服务态度及沟通能力好，主动与医护人员、患者及家属进行有效沟通，态度和蔼。</w:t>
            </w:r>
          </w:p>
          <w:p w14:paraId="28532E5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4.13在服务开展过程中，全程严格遵循国家及行业相关标准，以及医院内部管理制度，确保服务合规、专业。执行统一的标准化服务流程，提供专业的服务。</w:t>
            </w:r>
          </w:p>
          <w:p w14:paraId="1A25712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 xml:space="preserve">4.14服务质量保证期：自提供服务始至合同期满之日止。 </w:t>
            </w:r>
          </w:p>
          <w:p w14:paraId="297201A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 xml:space="preserve">4.15处理问题响应时间：接到采购人处理问题通知后30分钟内到达采购人指定场地（若是突发应急事件，需15分钟内到达现场）。 </w:t>
            </w:r>
          </w:p>
          <w:p w14:paraId="15B6A83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4.16员工服务礼仪、行为规范要求：</w:t>
            </w:r>
          </w:p>
          <w:p w14:paraId="1B5FBDB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（1）衣帽整洁，不穿工作服到院外，挂牌上岗，礼貌待人，服务主动热情，使用文明用语，言行举止符合岗位要求。</w:t>
            </w:r>
          </w:p>
          <w:p w14:paraId="42FED64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（2）仪容：不浓妆艳抹，不用味浓化妆品；不留长指甲，不涂有色指甲油，保持手部清洁。</w:t>
            </w:r>
          </w:p>
          <w:p w14:paraId="456E1FE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（3）发型：短发前不过眉，后不过衣领，发不蓬乱；长发必须扎起，使用公司统一发网。不擦重味发油，不留怪异发型、发色。</w:t>
            </w:r>
          </w:p>
          <w:p w14:paraId="2CC9D14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工作时面带微笑（特殊情况除外），亲切和蔼，端庄稳重，不卑不亢；当发现医护人员及病友注意自己时应向其微笑，点头示意或向其致以问候。遇到医护人员及病友当面问询时，应热情回答，并说“您好，……”“我能帮您做什么吗？”“您需要我怎样帮忙？”；如自己确实无法解决，可说：“对不起，您看我帮您找……来……行吗？”“抱歉，可不可以等我马上转告主管或经理，再答复？”</w:t>
            </w:r>
          </w:p>
          <w:p w14:paraId="556E892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（5）遇到投诉时，要诚恳耐心地听，不能随意打断其谈话；要真诚地解释原因，绝不能与其发生争吵或争斗。要使用文明用语：“对不起，是不是存在……误会” “请您原谅” “我会改进。”“谢谢您的批评。”“感谢您对我提出批评。”“希望您能继续支持我的工作。”“您看这样行不行”。</w:t>
            </w:r>
          </w:p>
          <w:p w14:paraId="0C8F85E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（6）说话声音清楚，不得大声喧哗。</w:t>
            </w:r>
          </w:p>
          <w:p w14:paraId="7910399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（7）注意保护患者隐私，工作中不谈论病人的隐私，不扎堆聊天，不谈论与工作无关的话题；有事必须外出时，向公司管理人员请假或报备。</w:t>
            </w:r>
          </w:p>
          <w:p w14:paraId="7E7D634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（8）在任何情况下，不与医务人员、病人、家属等发生争执、吵架。</w:t>
            </w:r>
          </w:p>
          <w:p w14:paraId="2B56F237">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（四）服务考核方法</w:t>
            </w:r>
          </w:p>
          <w:p w14:paraId="4196E3D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1.考核方式及结果使用</w:t>
            </w:r>
          </w:p>
          <w:p w14:paraId="54AFDAB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每月通过现场检查、巡查、满意度及服务对象反馈等，由采购人后勤管理部、服务科室对服务质量进行考核，所扣服务费相加等于当月应扣除的服务质量费，在当月服务费中扣除。</w:t>
            </w:r>
            <w:bookmarkStart w:id="42" w:name="OLE_LINK5"/>
            <w:r>
              <w:rPr>
                <w:rFonts w:hint="eastAsia" w:ascii="宋体" w:hAnsi="宋体" w:cs="宋体"/>
                <w:bCs/>
                <w:color w:val="auto"/>
                <w:szCs w:val="21"/>
                <w:highlight w:val="none"/>
              </w:rPr>
              <w:t>后勤管理部每月以考核项目逐项打分形式对医辅人员的工作质量情况进行管理（具体内容详见“附表二 主管部门对医辅人员服务质量考核表”），每扣1分，扣罚服务费50元，如连续3个月考核低于70分，采购人有权依法解除合同，所有损失由投标人承担</w:t>
            </w:r>
            <w:bookmarkEnd w:id="42"/>
            <w:r>
              <w:rPr>
                <w:rFonts w:hint="eastAsia" w:ascii="宋体" w:hAnsi="宋体" w:cs="宋体"/>
                <w:bCs/>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bCs/>
                <w:color w:val="auto"/>
                <w:szCs w:val="21"/>
                <w:highlight w:val="none"/>
              </w:rPr>
              <w:t>，考核总分100分，考核结果95分及以上为合格，低于95分，每少1分扣5元。如违反合同条款项目，按相应条款处理。</w:t>
            </w:r>
          </w:p>
          <w:p w14:paraId="7965907D">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2.其他考核内容</w:t>
            </w:r>
          </w:p>
          <w:p w14:paraId="4865039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投标人驻院管理人员正常上班期间如需离院需向医院主管部门报备，投标人不得频繁更换驻院管理人员，合同期间总更换频次≤2次，如超过扣罚500元/人次。如管理人员有变动，及时将变动后的管理人员联系方式告知各科室，确保科室与管理人员能及时联络。</w:t>
            </w:r>
          </w:p>
          <w:p w14:paraId="6647C58B">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2.2投标人按采购人实际需求人数配备及调整服务人数，如不按实际需求配备人数，按缺岗人数扣发投标人管理服务费。从合同生效开始，投标人根据采购人实际工作需求提供服务人员，初次提供时，第1个月为投标人招聘人员时间，如人员配备不足不收取违约金，但采购人只按实际出勤人数支付服务人员费用；第2个月按每缺一人收取违约金200元/天/人计算，在当月服务费中扣除；第3个月仍未配足需求人数的，采购人有权依法解除合同。其他合同履行时间，投标人须根据采购人要求及时增派的服务人员（总提供服务人数不超过合同约定总人数），从通知投标人开始，10个工作日为投标人招聘人员时间，如人员不足不收取违约金，按实际出勤人数支付服务费，10个工作日后每缺一人收取违约金200元/天/人计算，在当月服务费中扣除。</w:t>
            </w:r>
          </w:p>
          <w:p w14:paraId="6A7251D7">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2.3投标人按采购人要求（年龄、学历、资质证书等）配备员工，以身份证、证书登记为准，如配备员工资质等不符合要求，采购人有权将该岗位视为缺岗，扣发该岗位员工当月服务费。</w:t>
            </w:r>
          </w:p>
          <w:p w14:paraId="3EBA97F9">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2.4投标人所有员工应身心健康（入职前必须进行体检，不能聘用患有传染性疾病的人员，体检报告交采购人后勤管理科存档）；员工上岗前须经过岗前培训，经采购人认定能胜任岗位工作，方能独立上岗；所有员工只能服务采购人，不允许兼职。如未达到前述要求或违反，扣罚服务费100元/人/天。</w:t>
            </w:r>
          </w:p>
          <w:p w14:paraId="1764F065">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2.5投标人每月向采购人支付管理费200元，在当月服务费中扣除。同时，按自来水公司水费价格和供电局电费价格标准，每月按时结清应承担的水费、电费（投标人用房水电费自付，根据实际使用量结算）。</w:t>
            </w:r>
          </w:p>
          <w:p w14:paraId="16670A5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2.6投标人及其员工须履行保密义务，如违反保密义务，采购人有权书面通知中标供应商解除服务合同，且无需支付合同解除后的</w:t>
            </w:r>
            <w:r>
              <w:rPr>
                <w:rFonts w:hint="eastAsia" w:ascii="宋体" w:hAnsi="宋体" w:cs="宋体"/>
                <w:bCs/>
                <w:color w:val="auto"/>
                <w:szCs w:val="21"/>
                <w:highlight w:val="none"/>
              </w:rPr>
              <w:t>任何</w:t>
            </w:r>
            <w:r>
              <w:rPr>
                <w:rFonts w:hint="eastAsia" w:ascii="宋体" w:hAnsi="宋体" w:cs="宋体"/>
                <w:bCs/>
                <w:color w:val="auto"/>
                <w:szCs w:val="21"/>
                <w:highlight w:val="none"/>
              </w:rPr>
              <w:t>后续费用。同时，中标供应商必须退还采购人已付出的所有服务费用，并赔偿由此给采购人造成的全部损失。</w:t>
            </w:r>
          </w:p>
          <w:p w14:paraId="0A056A0E">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2.7投标人员工不得在采购人场地内聚集闹事。第一次，视情节轻重罚款500～1000元；第二次罚款5000元；第三次罚款10000元，采购人有权依法解除合同。</w:t>
            </w:r>
          </w:p>
          <w:p w14:paraId="0CC24D8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2.8投标人员工要维护采购人一切公共设施，如有挪用、失窃、人为损坏，则照价赔偿；行为严重者，移交司法机关处理。注意节约水、电、气，投标人员工不得在更衣室、休息室等非允许的范围内使用电炉、热得快等电器及煮饭。发现一次，视情节轻重，罚款200～500元。如发生安全事故，负责赔偿由此造成的所有损失，并根据情节轻重及事情影响程度扣罚500～5000元/次。</w:t>
            </w:r>
          </w:p>
          <w:p w14:paraId="15247DCC">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2.9投标人员工不得向患者及家属提供虚假用药信息或推销任何产品；不得私自变卖、分解医疗废物；严格执行保护患者隐私的相关法律内容及医院保护患者隐私的相关制度和规定，不得谈论、泄露患者、亡者隐私及其他医院明确规定不得违反的事项。如发现此类情况，第一次罚款1000元；第二次罚款5000元；第三次罚款10000元，采购人有权依法解除合同。所产生的不良影响由投标人负责最大程度挽回，并承担由此造成的赔偿及法律责任。遗失病历每份罚款5000元。</w:t>
            </w:r>
          </w:p>
          <w:p w14:paraId="33FAC178">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2.10采购人遇突发事件、重大抢救或各种检查，投标人必须积极配合，保持值班电话24小时畅通。如严重影响采购人诊疗工作，第一次罚款1000元；第二次</w:t>
            </w:r>
            <w:bookmarkStart w:id="43" w:name="OLE_LINK8"/>
            <w:r>
              <w:rPr>
                <w:rFonts w:hint="eastAsia" w:ascii="宋体" w:hAnsi="宋体" w:cs="宋体"/>
                <w:bCs/>
                <w:color w:val="auto"/>
                <w:szCs w:val="21"/>
                <w:highlight w:val="none"/>
              </w:rPr>
              <w:t>罚款5000元</w:t>
            </w:r>
            <w:bookmarkEnd w:id="43"/>
            <w:r>
              <w:rPr>
                <w:rFonts w:hint="eastAsia" w:ascii="宋体" w:hAnsi="宋体" w:cs="宋体"/>
                <w:bCs/>
                <w:color w:val="auto"/>
                <w:szCs w:val="21"/>
                <w:highlight w:val="none"/>
              </w:rPr>
              <w:t xml:space="preserve">；第三次罚款10000元，采购人有权依法解除合同。 </w:t>
            </w:r>
          </w:p>
          <w:p w14:paraId="35DCE193">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2.11因投标人管理不到位、员工违规、言辞不当或工作不当等原因，导致不良影响、安全事故、媒体曝光或院外机构点名批评的，均由投标人自行承担责任，负责赔偿由此造成的所有损失。采购人根据情节轻重予以500-10000元的处罚或按事件实际情况扣罚，并由中标供应商负责最大程度消除所导致的负面影响。</w:t>
            </w:r>
          </w:p>
          <w:p w14:paraId="75C69B17">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2.12因投标人管理不当，造成院内交叉感染及其他院感事件的，将依纪依法依规追究投标人及相关人员责任。如给采购人造成不良影响的，视情节轻重予以500-10000元的处罚。</w:t>
            </w:r>
          </w:p>
          <w:p w14:paraId="5F38C7A0">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2.13按国家、广西等管理机构相关规定对工人进行体检。如违反相关规定，视情节轻重予以500-10000元的处罚，造成不良影响及伤害的，由投标人承担。</w:t>
            </w:r>
          </w:p>
          <w:p w14:paraId="204F322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2.14本合同期限未满，双方不得提前终止合同。一方如无故提前终止合同，应提前3个月通知对方并协商；如不提前3个月通知对方，则需支付对方相当于本合同所签订的服务费2个月总和的违约金。</w:t>
            </w:r>
          </w:p>
          <w:p w14:paraId="19439A4C">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2.15签订合同后30个工作日内，中标供应商向采购人提供所有拟投入员工真实合法的身份证件、从业经验（劳动合同、业绩证明等）、学历、职业资格或职称、健康证、无违法记录等材料，并将上述材料报采购人的管理部门备案。投标人投标时仅需要承诺人员满足采购需求，不需要提供相关证明材料（除评审因素中作为加分项的内容外）。中标后，员工上岗前提供的证明材料不符合服务内容及要求的，属于违约，采购人有权追究相关法律责任，一切后果由中标供应商承担。</w:t>
            </w:r>
          </w:p>
          <w:p w14:paraId="51831BD1">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（五）采购人的权利、责任</w:t>
            </w:r>
          </w:p>
          <w:p w14:paraId="2DCF0256">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1.为保障投标人工作正常有序开展，采购人为投标人提供必要的办公、值班、水电等工作条件和便利，投标人使用区域所产生的水、电、管理费用由投标人承担。</w:t>
            </w:r>
          </w:p>
          <w:p w14:paraId="799955CF">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2.采购人有权审核投标人员工资质等。</w:t>
            </w:r>
          </w:p>
          <w:p w14:paraId="0A7DEBB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3.采购人有权要求修改不合理的工作职责和流程。</w:t>
            </w:r>
          </w:p>
          <w:p w14:paraId="1BC8E60F">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4.采购人有权监督检查投标人的日常服务质量。</w:t>
            </w:r>
            <w:r>
              <w:rPr>
                <w:rFonts w:hint="eastAsia" w:ascii="宋体" w:hAnsi="宋体" w:cs="宋体"/>
                <w:bCs/>
                <w:color w:val="auto"/>
                <w:szCs w:val="21"/>
                <w:highlight w:val="none"/>
              </w:rPr>
              <w:t>后勤管理部每月以考核项目逐项打分形式对医辅人员的工作质量情况进行管理（具体内容详见“附表二 主管部门对医辅人员服务质量考核表”），</w:t>
            </w:r>
            <w:r>
              <w:rPr>
                <w:rFonts w:hint="eastAsia" w:ascii="宋体" w:hAnsi="宋体" w:cs="宋体"/>
                <w:bCs/>
                <w:color w:val="auto"/>
                <w:szCs w:val="21"/>
                <w:highlight w:val="none"/>
              </w:rPr>
              <w:t>考核应扣的服务质量费在当月服务费用中扣除。如连续3个月考核低于70分，采购人有权依法解除合同，所有损失由投标人承担。</w:t>
            </w:r>
            <w:r>
              <w:rPr>
                <w:rFonts w:hint="eastAsia" w:ascii="宋体" w:hAnsi="宋体" w:cs="宋体"/>
                <w:bCs/>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bCs/>
                <w:color w:val="auto"/>
                <w:szCs w:val="21"/>
                <w:highlight w:val="none"/>
              </w:rPr>
              <w:t>，考核应扣的服务质量费在当月服务费用中扣除。</w:t>
            </w:r>
          </w:p>
          <w:p w14:paraId="052E9CB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5.投标人员工有以下情形之一的，采购人有权要求投标人辞退该员工：投标人应按采购人要求在一周内招聘新员工上岗；如投标人不能按时更换不合格人员，采购人有权扣除相应服务费。采购人要求投标人撤换不合适的员工时，投标人应无条件接受。</w:t>
            </w:r>
          </w:p>
          <w:p w14:paraId="683F45CA">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（1）员工违反法律法规、规章或采购人有关规章制度，情节严重者。</w:t>
            </w:r>
          </w:p>
          <w:p w14:paraId="5E65356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（2）员工服务态度差，服务质量差，屡教不改或引起医护人员、患者不满的。</w:t>
            </w:r>
          </w:p>
          <w:p w14:paraId="6BBE2374">
            <w:pPr>
              <w:adjustRightInd w:val="0"/>
              <w:snapToGrid w:val="0"/>
              <w:spacing w:line="360" w:lineRule="exact"/>
              <w:rPr>
                <w:rFonts w:ascii="宋体" w:hAnsi="宋体" w:cs="宋体"/>
                <w:bCs/>
                <w:color w:val="auto"/>
                <w:szCs w:val="21"/>
                <w:highlight w:val="none"/>
              </w:rPr>
            </w:pPr>
            <w:r>
              <w:rPr>
                <w:rFonts w:hint="eastAsia" w:ascii="宋体" w:hAnsi="宋体" w:cs="宋体"/>
                <w:bCs/>
                <w:color w:val="auto"/>
                <w:szCs w:val="21"/>
                <w:highlight w:val="none"/>
              </w:rPr>
              <w:t>（3）员工失职、失误或不按岗位要求及作业流程进行操作，造成差错、事故及意外伤害，对患者、家属及采购人造成一定影响的。</w:t>
            </w:r>
          </w:p>
          <w:p w14:paraId="78630915">
            <w:pPr>
              <w:adjustRightInd w:val="0"/>
              <w:snapToGrid w:val="0"/>
              <w:spacing w:line="360" w:lineRule="exact"/>
              <w:rPr>
                <w:rFonts w:ascii="宋体" w:hAnsi="宋体" w:cs="宋体"/>
                <w:color w:val="auto"/>
                <w:highlight w:val="none"/>
              </w:rPr>
            </w:pPr>
            <w:r>
              <w:rPr>
                <w:rFonts w:hint="eastAsia" w:ascii="宋体" w:hAnsi="宋体" w:cs="宋体"/>
                <w:bCs/>
                <w:color w:val="auto"/>
                <w:szCs w:val="21"/>
                <w:highlight w:val="none"/>
              </w:rPr>
              <w:t>（4）员工被依法追究刑事责任的。</w:t>
            </w:r>
          </w:p>
        </w:tc>
      </w:tr>
      <w:tr w14:paraId="30513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2C576883">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▲二、商务要求</w:t>
            </w:r>
          </w:p>
        </w:tc>
      </w:tr>
      <w:tr w14:paraId="31299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35F6E2C4">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（一）服务期限和地点</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5B6653B7">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1.服务期限：2年（自签订合同且正式开展服务之日起2年）</w:t>
            </w:r>
          </w:p>
          <w:p w14:paraId="7FA67D80">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2.服务地点：广西桂林市采购人医院内指定地点。</w:t>
            </w:r>
          </w:p>
        </w:tc>
      </w:tr>
      <w:tr w14:paraId="44B21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23CD44CB">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14D4D9BE">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5EBF0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F54761D">
            <w:pPr>
              <w:spacing w:line="400" w:lineRule="exact"/>
              <w:rPr>
                <w:rFonts w:ascii="宋体" w:hAnsi="宋体" w:cs="宋体"/>
                <w:b/>
                <w:color w:val="auto"/>
                <w:szCs w:val="21"/>
                <w:highlight w:val="none"/>
              </w:rPr>
            </w:pPr>
            <w:r>
              <w:rPr>
                <w:rFonts w:hint="eastAsia" w:ascii="宋体" w:hAnsi="宋体" w:cs="宋体"/>
                <w:b/>
                <w:color w:val="auto"/>
                <w:szCs w:val="21"/>
                <w:highlight w:val="none"/>
              </w:rPr>
              <w:t>（三）服务标准及验收标准</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6644255A">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1.服务项目应执行相关国家标准、行业标准、地方标准或者其他标准、规范。</w:t>
            </w:r>
          </w:p>
          <w:p w14:paraId="5F59E069">
            <w:pPr>
              <w:adjustRightInd w:val="0"/>
              <w:snapToGrid w:val="0"/>
              <w:spacing w:line="36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2.本项目所有服务均应严格按招标文件中“采购需求”的要求执行，采购人对中标供应商响应和承诺的服务内容等有关标准进行考核。中标供应商每月应积极针对考核存在的问题进行整改，并向采购人汇报整改情况。</w:t>
            </w:r>
          </w:p>
          <w:p w14:paraId="1602F982">
            <w:pPr>
              <w:adjustRightInd w:val="0"/>
              <w:snapToGrid w:val="0"/>
              <w:spacing w:line="36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3.</w:t>
            </w:r>
            <w:r>
              <w:rPr>
                <w:rFonts w:hint="eastAsia" w:ascii="宋体" w:hAnsi="宋体" w:cs="宋体"/>
                <w:b/>
                <w:color w:val="auto"/>
                <w:szCs w:val="21"/>
                <w:highlight w:val="none"/>
              </w:rPr>
              <w:t>后勤管理部每月以考核项目逐项打分形式对医辅人员的工作质量情况进行管理（具体内容详见“附表二 主管部门对医辅人员服务质量考核表”），</w:t>
            </w:r>
            <w:r>
              <w:rPr>
                <w:rFonts w:hint="eastAsia" w:ascii="宋体" w:hAnsi="宋体" w:cs="宋体"/>
                <w:b/>
                <w:color w:val="auto"/>
                <w:szCs w:val="21"/>
                <w:highlight w:val="none"/>
                <w:lang w:bidi="ar"/>
              </w:rPr>
              <w:t>考核应扣服务质量费在当月服务费用中扣除，如连续3个月考核低于70分，采购人有权终止合同，所有损失由中标供应商承担。</w:t>
            </w:r>
            <w:r>
              <w:rPr>
                <w:rFonts w:hint="eastAsia" w:ascii="宋体" w:hAnsi="宋体" w:cs="宋体"/>
                <w:b/>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b/>
                <w:color w:val="auto"/>
                <w:szCs w:val="21"/>
                <w:highlight w:val="none"/>
                <w:lang w:bidi="ar"/>
              </w:rPr>
              <w:t>，考核应扣服务质量费在当月服务费用中扣除。</w:t>
            </w:r>
          </w:p>
          <w:p w14:paraId="0B2AB025">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3.合同履行过程中，采购人将同时按照招标文件及中标供应商投标文件承诺的条款进行验收，如所提供相关服务不符合要求，由中标供应商在规定时间内进行整改（中标供应商每月应积极针对考核存在的问题进行整改，并向采购人汇报整改情况）。给采购人造成的损失等费用均由中标供应商承担。拒不按要求整改（或经多次整改未能改善），或发现中标供应商在投标文件中有弄虚作假的行为，或在投标文件中有针对技术商务条款有虚假响应情况的，采购人追究中标供应商的责任，由此带来的一切损失由中标供应商自行承担。</w:t>
            </w:r>
          </w:p>
          <w:p w14:paraId="7FB42C97">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4.其他未尽事宜应严格按照《关于印发广西壮族自治区政府采购项目履约验收管理办法的通知》[桂财采〔2015〕22 号]以及《财政部关于进一步加强政府采购需求和履约验收管理的指导意见》[财库〔2016〕205 号]规定执行。</w:t>
            </w:r>
          </w:p>
          <w:p w14:paraId="3E1FA30D">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5.验收过程中，若出现需要第三方机构介入验收的，所产生的费用均由中标供应商承担。报价时应考虑相关费用。</w:t>
            </w:r>
          </w:p>
        </w:tc>
      </w:tr>
      <w:tr w14:paraId="3832D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62CFE7C6">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5CFB7F01">
            <w:pPr>
              <w:adjustRightInd w:val="0"/>
              <w:snapToGrid w:val="0"/>
              <w:spacing w:line="340" w:lineRule="exact"/>
              <w:rPr>
                <w:rFonts w:ascii="宋体" w:hAnsi="宋体" w:cs="宋体"/>
                <w:b/>
                <w:color w:val="auto"/>
                <w:kern w:val="0"/>
                <w:szCs w:val="21"/>
                <w:highlight w:val="none"/>
              </w:rPr>
            </w:pPr>
            <w:r>
              <w:rPr>
                <w:rFonts w:hint="eastAsia" w:ascii="宋体" w:hAnsi="宋体" w:cs="宋体"/>
                <w:b/>
                <w:color w:val="auto"/>
                <w:kern w:val="0"/>
                <w:szCs w:val="21"/>
                <w:highlight w:val="none"/>
              </w:rPr>
              <w:t>1.服务总费用实行按月支付，即：每月30日以前（遇休息日或法定节假日则顺延），投标人将经采购人考核后产生的实际足额服务费发票交给采购人，否则，采购人有权拒绝付费且不承担任何责任。采购人以转账方式将服务费转至投标人指定账户。</w:t>
            </w:r>
          </w:p>
          <w:p w14:paraId="37442EAB">
            <w:pPr>
              <w:adjustRightInd w:val="0"/>
              <w:snapToGrid w:val="0"/>
              <w:spacing w:line="340" w:lineRule="exact"/>
              <w:rPr>
                <w:rFonts w:ascii="宋体" w:hAnsi="宋体" w:cs="宋体"/>
                <w:b/>
                <w:color w:val="auto"/>
                <w:kern w:val="0"/>
                <w:szCs w:val="21"/>
                <w:highlight w:val="none"/>
              </w:rPr>
            </w:pPr>
            <w:r>
              <w:rPr>
                <w:rFonts w:hint="eastAsia" w:ascii="宋体" w:hAnsi="宋体" w:cs="宋体"/>
                <w:b/>
                <w:color w:val="auto"/>
                <w:kern w:val="0"/>
                <w:szCs w:val="21"/>
                <w:highlight w:val="none"/>
              </w:rPr>
              <w:t>2.票据要求：投标人必须按照采购人要求提供真实、有效、合法的正式税务发票。一旦发现投标人提供虚假税务发票，除须向采购人补开合法的税务发票外，须赔偿采购人发票票面金额一倍的违约金，且采购人有权依法解除合同，投标人不得提出异议，因终止合同而产生的一切损失均由投标人承担。</w:t>
            </w:r>
          </w:p>
          <w:p w14:paraId="4DBF1FC6">
            <w:pPr>
              <w:adjustRightInd w:val="0"/>
              <w:snapToGrid w:val="0"/>
              <w:spacing w:line="340" w:lineRule="exact"/>
              <w:rPr>
                <w:rFonts w:ascii="宋体" w:hAnsi="宋体" w:cs="宋体"/>
                <w:b/>
                <w:color w:val="auto"/>
                <w:szCs w:val="21"/>
                <w:highlight w:val="none"/>
              </w:rPr>
            </w:pPr>
            <w:r>
              <w:rPr>
                <w:rFonts w:hint="eastAsia" w:ascii="宋体" w:hAnsi="宋体" w:cs="宋体"/>
                <w:b/>
                <w:color w:val="auto"/>
                <w:kern w:val="0"/>
                <w:szCs w:val="21"/>
                <w:highlight w:val="none"/>
              </w:rPr>
              <w:t>3.本项目采购需求中所列项目服务人员数量为估算数量，结算时以实际提供的服务人员数量及单价为准，即：每月服务费=实际提供服务人员数量×每名服务人员每月服务费（未满勤服务人员服务费=每名服务人员每月服务费/当月应出勤天数×实际出勤天数）</w:t>
            </w:r>
            <w:r>
              <w:rPr>
                <w:rFonts w:hint="eastAsia" w:ascii="宋体" w:hAnsi="宋体" w:cs="宋体"/>
                <w:b/>
                <w:color w:val="auto"/>
                <w:kern w:val="0"/>
                <w:szCs w:val="21"/>
                <w:highlight w:val="none"/>
              </w:rPr>
              <w:t>-考核扣除费用</w:t>
            </w:r>
            <w:r>
              <w:rPr>
                <w:rFonts w:hint="eastAsia" w:ascii="宋体" w:hAnsi="宋体" w:cs="宋体"/>
                <w:b/>
                <w:color w:val="auto"/>
                <w:kern w:val="0"/>
                <w:szCs w:val="21"/>
                <w:highlight w:val="none"/>
              </w:rPr>
              <w:t>，实际结算金额不超过本项目最高投标限价。在服务期限内，中标单价不因最低工资标准或社会保险等费用而调整。</w:t>
            </w:r>
          </w:p>
        </w:tc>
      </w:tr>
      <w:tr w14:paraId="3F7D7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127A7AA4">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（五）报价要求</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7FBFAF9B">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1.本项目采购预算金额：人民币玖佰万元整（¥9000000.00），投标最高限价：人民币捌佰陆拾伍万贰仟元整（¥8652000.00）（即人均单价3500元/人/月×103人×24月=8652000.00），</w:t>
            </w:r>
            <w:r>
              <w:rPr>
                <w:rFonts w:hint="eastAsia" w:ascii="宋体" w:hAnsi="宋体" w:cs="宋体"/>
                <w:b/>
                <w:color w:val="auto"/>
                <w:szCs w:val="21"/>
                <w:highlight w:val="none"/>
              </w:rPr>
              <w:t>投标人投标报价超最高限价的，投标文件按无效处理。</w:t>
            </w:r>
          </w:p>
          <w:p w14:paraId="77C0B8D4">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2.本项目投标报价为一次性报价，利润及风险由投标人自行考虑（包括物料物价上涨，桂林市人民政府调整最低工资标准后，按实际情况增加人工费及相应保险费用）。</w:t>
            </w:r>
          </w:p>
          <w:p w14:paraId="377F9008">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3.投标人必须按照《中华人民共和国民法典》的规定与员工签订劳动合同，并按照国家及省市的相关规定为投入本项目人员统一办理社会保险、人员意外伤害等各种保险，承担相关费用。</w:t>
            </w:r>
          </w:p>
          <w:p w14:paraId="33C555DA">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4.本次报价须为人民币报价，报价应包含人员费用（</w:t>
            </w:r>
            <w:bookmarkStart w:id="44" w:name="_Hlk215844325"/>
            <w:r>
              <w:rPr>
                <w:rFonts w:hint="eastAsia" w:ascii="宋体" w:hAnsi="宋体" w:cs="宋体"/>
                <w:b/>
                <w:bCs/>
                <w:color w:val="auto"/>
                <w:kern w:val="0"/>
                <w:szCs w:val="21"/>
                <w:highlight w:val="none"/>
              </w:rPr>
              <w:t>含员工基本工资、绩效考核、社会保险费、福利费、夜班费、周末及法定假日加班费、服装费等）、体检费、外勤运送订单管理系统软件及相关配套设备、标本箱、提篮、防雨设备及其他设备设施费、通讯费、差旅费、物料、低值易耗品费（含医院用含氯消毒剂等）、固定资产折旧费（项目用电脑、对讲机、工具设备等）、人员培训费、管理费、水电费、合理利润、风险费、法定税费等与本项目相关的所有费用。</w:t>
            </w:r>
            <w:bookmarkEnd w:id="44"/>
            <w:r>
              <w:rPr>
                <w:rFonts w:hint="eastAsia" w:ascii="宋体" w:hAnsi="宋体" w:cs="宋体"/>
                <w:b/>
                <w:bCs/>
                <w:color w:val="auto"/>
                <w:kern w:val="0"/>
                <w:szCs w:val="21"/>
                <w:highlight w:val="none"/>
              </w:rPr>
              <w:t>对于本文件中未列明，而投标人认为必需的费用，也需列入总报价。在合同实施时，采购人将不予支付因合同履行需要发生一方没有列入的项目费用，该部分费用由中标供应商自担，并认为此项目的费用已包括在总报价中。</w:t>
            </w:r>
          </w:p>
          <w:p w14:paraId="347B68F5">
            <w:pPr>
              <w:adjustRightInd w:val="0"/>
              <w:snapToGrid w:val="0"/>
              <w:spacing w:line="36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5.投标人须自行承担管理服务所需的专用工具物品、办公用品及日常易耗品费（已明确由采购人承担的除外）等相关费用。</w:t>
            </w:r>
          </w:p>
          <w:p w14:paraId="7D7653E5">
            <w:pPr>
              <w:adjustRightInd w:val="0"/>
              <w:snapToGrid w:val="0"/>
              <w:spacing w:line="360" w:lineRule="exact"/>
              <w:rPr>
                <w:rFonts w:ascii="宋体" w:hAnsi="宋体" w:cs="宋体"/>
                <w:b/>
                <w:color w:val="auto"/>
                <w:kern w:val="0"/>
                <w:szCs w:val="21"/>
                <w:highlight w:val="none"/>
              </w:rPr>
            </w:pPr>
            <w:r>
              <w:rPr>
                <w:rFonts w:hint="eastAsia" w:ascii="宋体" w:hAnsi="宋体" w:cs="宋体"/>
                <w:b/>
                <w:bCs/>
                <w:color w:val="auto"/>
                <w:kern w:val="0"/>
                <w:szCs w:val="21"/>
                <w:highlight w:val="none"/>
              </w:rPr>
              <w:t>6.其他相关费用由投标人自行承担。</w:t>
            </w:r>
          </w:p>
        </w:tc>
      </w:tr>
      <w:tr w14:paraId="3D3A3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4A5879AF">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3F410A70">
            <w:pPr>
              <w:adjustRightInd w:val="0"/>
              <w:snapToGrid w:val="0"/>
              <w:spacing w:line="360" w:lineRule="exact"/>
              <w:rPr>
                <w:rFonts w:ascii="宋体" w:hAnsi="宋体" w:cs="宋体"/>
                <w:b/>
                <w:color w:val="auto"/>
                <w:szCs w:val="21"/>
                <w:highlight w:val="none"/>
              </w:rPr>
            </w:pPr>
            <w:r>
              <w:rPr>
                <w:rFonts w:hint="eastAsia" w:ascii="宋体" w:hAnsi="宋体" w:cs="宋体"/>
                <w:b/>
                <w:bCs/>
                <w:color w:val="auto"/>
                <w:kern w:val="0"/>
                <w:szCs w:val="21"/>
                <w:highlight w:val="none"/>
              </w:rPr>
              <w:t>若投标人为本项目标的及标的涉及的相关材料、设备、人员、运输等购买保险的，相关费用由投标人自行承担。</w:t>
            </w:r>
          </w:p>
        </w:tc>
      </w:tr>
      <w:tr w14:paraId="73968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D9D9525">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（七）知识产权</w:t>
            </w:r>
          </w:p>
        </w:tc>
        <w:tc>
          <w:tcPr>
            <w:tcW w:w="3451" w:type="pct"/>
            <w:gridSpan w:val="2"/>
            <w:tcBorders>
              <w:top w:val="single" w:color="auto" w:sz="4" w:space="0"/>
              <w:left w:val="single" w:color="auto" w:sz="4" w:space="0"/>
              <w:bottom w:val="single" w:color="auto" w:sz="4" w:space="0"/>
              <w:right w:val="single" w:color="auto" w:sz="4" w:space="0"/>
            </w:tcBorders>
          </w:tcPr>
          <w:p w14:paraId="216FAB26">
            <w:pPr>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54058A46">
            <w:pPr>
              <w:spacing w:line="360" w:lineRule="exact"/>
              <w:jc w:val="left"/>
              <w:rPr>
                <w:rFonts w:ascii="宋体" w:hAnsi="宋体" w:cs="宋体"/>
                <w:color w:val="auto"/>
                <w:szCs w:val="21"/>
                <w:highlight w:val="none"/>
              </w:rPr>
            </w:pPr>
            <w:r>
              <w:rPr>
                <w:rFonts w:hint="eastAsia" w:ascii="宋体" w:hAnsi="宋体" w:cs="宋体"/>
                <w:b/>
                <w:color w:val="auto"/>
                <w:szCs w:val="21"/>
                <w:highlight w:val="none"/>
              </w:rPr>
              <w:t>2.中标供应商应保证所提供服务在使用时不会侵犯任何第三方的知识产权或者其他权利。如合同服务涉及知识产权，则中标供应商保证采购人在使用合同服务过程中免于受到第三方提出的有关知识产权侵权的主张、索赔或诉讼的伤害。</w:t>
            </w:r>
          </w:p>
        </w:tc>
      </w:tr>
      <w:tr w14:paraId="38D22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708BA8A8">
            <w:pPr>
              <w:adjustRightInd w:val="0"/>
              <w:snapToGrid w:val="0"/>
              <w:spacing w:line="360" w:lineRule="exact"/>
              <w:rPr>
                <w:rFonts w:ascii="宋体" w:hAnsi="宋体" w:cs="宋体"/>
                <w:b/>
                <w:color w:val="auto"/>
                <w:szCs w:val="21"/>
                <w:highlight w:val="none"/>
              </w:rPr>
            </w:pPr>
            <w:r>
              <w:rPr>
                <w:rFonts w:hint="eastAsia" w:ascii="宋体" w:hAnsi="宋体" w:cs="宋体"/>
                <w:b/>
                <w:bCs/>
                <w:color w:val="auto"/>
                <w:szCs w:val="21"/>
                <w:highlight w:val="none"/>
              </w:rPr>
              <w:t>三、与实现项目目标相关的其他要求</w:t>
            </w:r>
          </w:p>
        </w:tc>
      </w:tr>
      <w:tr w14:paraId="1D097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05472F1">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（一）服务实施方案</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72CA7DEF">
            <w:pPr>
              <w:spacing w:line="36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
                <w:bCs/>
                <w:color w:val="auto"/>
                <w:szCs w:val="21"/>
                <w:highlight w:val="none"/>
              </w:rPr>
              <w:t>服务实施保障措施</w:t>
            </w:r>
            <w:r>
              <w:rPr>
                <w:rFonts w:hint="eastAsia" w:ascii="宋体" w:hAnsi="宋体" w:cs="宋体"/>
                <w:color w:val="auto"/>
                <w:szCs w:val="21"/>
                <w:highlight w:val="none"/>
              </w:rPr>
              <w:t>，包含但不限于：质量考核办法、工作细则、操作流程、服务固定人员数量及人员简历情况、奖罚措施、生产用具等方面内容的质量保证措施等。</w:t>
            </w:r>
          </w:p>
          <w:p w14:paraId="5D4E39BA">
            <w:pPr>
              <w:spacing w:line="360" w:lineRule="exact"/>
              <w:rPr>
                <w:rFonts w:ascii="宋体" w:hAnsi="宋体" w:cs="宋体"/>
                <w:b/>
                <w:i/>
                <w:color w:val="auto"/>
                <w:szCs w:val="21"/>
                <w:highlight w:val="none"/>
              </w:rPr>
            </w:pPr>
            <w:r>
              <w:rPr>
                <w:rFonts w:hint="eastAsia" w:ascii="宋体" w:hAnsi="宋体" w:cs="宋体"/>
                <w:b/>
                <w:bCs/>
                <w:color w:val="auto"/>
                <w:szCs w:val="21"/>
                <w:highlight w:val="none"/>
              </w:rPr>
              <w:t>注：具体详见“第四章  评标方法及评标标准”。</w:t>
            </w:r>
          </w:p>
        </w:tc>
      </w:tr>
      <w:tr w14:paraId="4E2E9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0E397FAE">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（二）管理制度方案</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4EE3FED1">
            <w:pPr>
              <w:spacing w:line="36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
                <w:bCs/>
                <w:color w:val="auto"/>
                <w:szCs w:val="21"/>
                <w:highlight w:val="none"/>
              </w:rPr>
              <w:t>管理制度和运作流程</w:t>
            </w:r>
            <w:r>
              <w:rPr>
                <w:rFonts w:hint="eastAsia" w:ascii="宋体" w:hAnsi="宋体" w:cs="宋体"/>
                <w:color w:val="auto"/>
                <w:szCs w:val="21"/>
                <w:highlight w:val="none"/>
              </w:rPr>
              <w:t>，包含但不限于：</w:t>
            </w:r>
            <w:r>
              <w:rPr>
                <w:rFonts w:hint="eastAsia" w:ascii="宋体" w:hAnsi="宋体"/>
                <w:color w:val="auto"/>
                <w:highlight w:val="none"/>
              </w:rPr>
              <w:t>管理制度</w:t>
            </w:r>
            <w:r>
              <w:rPr>
                <w:rFonts w:hint="eastAsia" w:hAnsi="宋体"/>
                <w:color w:val="auto"/>
                <w:highlight w:val="none"/>
              </w:rPr>
              <w:t>【包括但不限于</w:t>
            </w:r>
            <w:r>
              <w:rPr>
                <w:rFonts w:hint="eastAsia" w:ascii="宋体" w:hAnsi="宋体" w:cs="宋体"/>
                <w:bCs/>
                <w:color w:val="auto"/>
                <w:szCs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highlight w:val="none"/>
              </w:rPr>
              <w:t>】</w:t>
            </w:r>
            <w:r>
              <w:rPr>
                <w:rFonts w:hint="eastAsia" w:ascii="宋体" w:hAnsi="宋体"/>
                <w:color w:val="auto"/>
                <w:highlight w:val="none"/>
              </w:rPr>
              <w:t>和运作流程</w:t>
            </w:r>
            <w:r>
              <w:rPr>
                <w:rFonts w:hint="eastAsia" w:ascii="宋体" w:hAnsi="宋体" w:cs="宋体"/>
                <w:color w:val="auto"/>
                <w:szCs w:val="21"/>
                <w:highlight w:val="none"/>
              </w:rPr>
              <w:t>。</w:t>
            </w:r>
          </w:p>
          <w:p w14:paraId="1BB37224">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注：具体详见“第四章  评标方法及评标标准”。</w:t>
            </w:r>
          </w:p>
        </w:tc>
      </w:tr>
      <w:tr w14:paraId="4B426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6D52A537">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（三）纠纷处理方案</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16992572">
            <w:pPr>
              <w:spacing w:line="36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投标人根据项目要求和自身情况，可于投标文件中提供纠纷处理方案。</w:t>
            </w:r>
          </w:p>
          <w:p w14:paraId="0C3E40A3">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注：具体详见“第四章  评标方法及评标标准”。</w:t>
            </w:r>
          </w:p>
        </w:tc>
      </w:tr>
      <w:tr w14:paraId="16668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4D4A8F0C">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（四）人员配置及投入项目方案</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405EAF4D">
            <w:pPr>
              <w:spacing w:line="360" w:lineRule="exact"/>
              <w:rPr>
                <w:rFonts w:ascii="宋体" w:hAnsi="宋体" w:cs="宋体"/>
                <w:color w:val="auto"/>
                <w:szCs w:val="21"/>
                <w:highlight w:val="none"/>
              </w:rPr>
            </w:pPr>
            <w:r>
              <w:rPr>
                <w:rFonts w:hint="eastAsia" w:ascii="宋体" w:hAnsi="宋体" w:cs="宋体"/>
                <w:color w:val="auto"/>
                <w:szCs w:val="21"/>
                <w:highlight w:val="none"/>
              </w:rPr>
              <w:t>投标人根据项目要求和自身情况，可于投标文件中提供人员配置及投入项目方案。</w:t>
            </w:r>
          </w:p>
          <w:p w14:paraId="0B78050D">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注：具体详见“第四章  评标方法及评标标准”。</w:t>
            </w:r>
          </w:p>
        </w:tc>
      </w:tr>
      <w:tr w14:paraId="61F79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8" w:type="pct"/>
            <w:gridSpan w:val="3"/>
            <w:tcBorders>
              <w:top w:val="single" w:color="auto" w:sz="4" w:space="0"/>
              <w:left w:val="single" w:color="auto" w:sz="4" w:space="0"/>
              <w:bottom w:val="single" w:color="auto" w:sz="4" w:space="0"/>
              <w:right w:val="single" w:color="auto" w:sz="4" w:space="0"/>
            </w:tcBorders>
            <w:vAlign w:val="center"/>
          </w:tcPr>
          <w:p w14:paraId="75AF7D69">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（五）履约能力要求</w:t>
            </w:r>
          </w:p>
        </w:tc>
        <w:tc>
          <w:tcPr>
            <w:tcW w:w="3451" w:type="pct"/>
            <w:gridSpan w:val="2"/>
            <w:tcBorders>
              <w:top w:val="single" w:color="auto" w:sz="4" w:space="0"/>
              <w:left w:val="single" w:color="auto" w:sz="4" w:space="0"/>
              <w:bottom w:val="single" w:color="auto" w:sz="4" w:space="0"/>
              <w:right w:val="single" w:color="auto" w:sz="4" w:space="0"/>
            </w:tcBorders>
            <w:vAlign w:val="center"/>
          </w:tcPr>
          <w:p w14:paraId="686B1430">
            <w:pPr>
              <w:spacing w:line="360" w:lineRule="exact"/>
              <w:rPr>
                <w:rFonts w:ascii="宋体" w:hAnsi="宋体" w:cs="宋体"/>
                <w:color w:val="auto"/>
                <w:szCs w:val="21"/>
                <w:highlight w:val="none"/>
              </w:rPr>
            </w:pPr>
            <w:r>
              <w:rPr>
                <w:rFonts w:hint="eastAsia" w:ascii="宋体" w:hAnsi="宋体" w:cs="宋体"/>
                <w:color w:val="auto"/>
                <w:szCs w:val="21"/>
                <w:highlight w:val="none"/>
              </w:rPr>
              <w:t>投标人2023年以来具有同类项目的业绩。</w:t>
            </w:r>
          </w:p>
          <w:p w14:paraId="6EF256C4">
            <w:pPr>
              <w:adjustRightInd w:val="0"/>
              <w:snapToGrid w:val="0"/>
              <w:spacing w:line="260" w:lineRule="exact"/>
              <w:rPr>
                <w:rFonts w:ascii="宋体" w:hAnsi="宋体" w:cs="宋体"/>
                <w:b/>
                <w:bCs/>
                <w:color w:val="auto"/>
                <w:szCs w:val="21"/>
                <w:highlight w:val="none"/>
              </w:rPr>
            </w:pPr>
            <w:r>
              <w:rPr>
                <w:rFonts w:hint="eastAsia" w:ascii="宋体" w:hAnsi="宋体" w:cs="宋体"/>
                <w:b/>
                <w:color w:val="auto"/>
                <w:highlight w:val="none"/>
              </w:rPr>
              <w:t>注：</w:t>
            </w:r>
            <w:r>
              <w:rPr>
                <w:rFonts w:hint="eastAsia" w:ascii="宋体" w:hAnsi="宋体" w:cs="宋体"/>
                <w:b/>
                <w:bCs/>
                <w:color w:val="auto"/>
                <w:szCs w:val="21"/>
                <w:highlight w:val="none"/>
              </w:rPr>
              <w:t>具体详</w:t>
            </w:r>
            <w:r>
              <w:rPr>
                <w:rFonts w:hint="eastAsia" w:ascii="宋体" w:hAnsi="宋体" w:cs="宋体"/>
                <w:b/>
                <w:color w:val="auto"/>
                <w:highlight w:val="none"/>
              </w:rPr>
              <w:t>见“</w:t>
            </w:r>
            <w:r>
              <w:rPr>
                <w:rFonts w:hint="eastAsia" w:ascii="宋体" w:hAnsi="宋体" w:cs="宋体"/>
                <w:b/>
                <w:bCs/>
                <w:color w:val="auto"/>
                <w:szCs w:val="21"/>
                <w:highlight w:val="none"/>
              </w:rPr>
              <w:t>第四章  评标方法及评标标准</w:t>
            </w:r>
            <w:r>
              <w:rPr>
                <w:rFonts w:hint="eastAsia" w:ascii="宋体" w:hAnsi="宋体" w:cs="宋体"/>
                <w:b/>
                <w:color w:val="auto"/>
                <w:highlight w:val="none"/>
              </w:rPr>
              <w:t>”。</w:t>
            </w:r>
          </w:p>
        </w:tc>
      </w:tr>
    </w:tbl>
    <w:p w14:paraId="731693D5">
      <w:pPr>
        <w:spacing w:line="560" w:lineRule="exact"/>
        <w:rPr>
          <w:rFonts w:ascii="宋体" w:hAnsi="宋体"/>
          <w:b/>
          <w:color w:val="auto"/>
          <w:sz w:val="28"/>
          <w:szCs w:val="28"/>
          <w:highlight w:val="none"/>
        </w:rPr>
      </w:pPr>
      <w:bookmarkStart w:id="45" w:name="_Toc74320802"/>
      <w:r>
        <w:rPr>
          <w:rFonts w:hint="eastAsia" w:ascii="宋体" w:hAnsi="宋体"/>
          <w:b/>
          <w:color w:val="auto"/>
          <w:sz w:val="28"/>
          <w:szCs w:val="28"/>
          <w:highlight w:val="none"/>
        </w:rPr>
        <w:t>附表二</w:t>
      </w:r>
      <w:r>
        <w:rPr>
          <w:rFonts w:ascii="宋体" w:hAnsi="宋体"/>
          <w:b/>
          <w:color w:val="auto"/>
          <w:sz w:val="28"/>
          <w:szCs w:val="28"/>
          <w:highlight w:val="none"/>
        </w:rPr>
        <w:t xml:space="preserve"> </w:t>
      </w:r>
    </w:p>
    <w:p w14:paraId="44325401">
      <w:pPr>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主管部门对医辅人员服务质量考核表</w:t>
      </w:r>
    </w:p>
    <w:p w14:paraId="59CD8D7E">
      <w:pPr>
        <w:spacing w:line="560" w:lineRule="exact"/>
        <w:ind w:firstLine="211" w:firstLineChars="100"/>
        <w:rPr>
          <w:rFonts w:ascii="宋体" w:hAnsi="宋体"/>
          <w:b/>
          <w:color w:val="auto"/>
          <w:szCs w:val="21"/>
          <w:highlight w:val="none"/>
        </w:rPr>
      </w:pPr>
      <w:r>
        <w:rPr>
          <w:rFonts w:hint="eastAsia" w:ascii="宋体" w:hAnsi="宋体"/>
          <w:b/>
          <w:color w:val="auto"/>
          <w:highlight w:val="none"/>
        </w:rPr>
        <w:t>考核日期：                                                              考核者：</w:t>
      </w:r>
    </w:p>
    <w:tbl>
      <w:tblPr>
        <w:tblStyle w:val="48"/>
        <w:tblW w:w="9368"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8"/>
        <w:gridCol w:w="3273"/>
        <w:gridCol w:w="1404"/>
        <w:gridCol w:w="873"/>
      </w:tblGrid>
      <w:tr w14:paraId="0E95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818" w:type="dxa"/>
            <w:tcBorders>
              <w:top w:val="single" w:color="auto" w:sz="4" w:space="0"/>
              <w:left w:val="single" w:color="auto" w:sz="4" w:space="0"/>
              <w:bottom w:val="single" w:color="auto" w:sz="4" w:space="0"/>
              <w:right w:val="single" w:color="auto" w:sz="4" w:space="0"/>
            </w:tcBorders>
            <w:vAlign w:val="center"/>
          </w:tcPr>
          <w:p w14:paraId="3DBA0087">
            <w:pPr>
              <w:spacing w:line="560" w:lineRule="exact"/>
              <w:jc w:val="center"/>
              <w:rPr>
                <w:rFonts w:ascii="宋体" w:hAnsi="宋体"/>
                <w:b/>
                <w:color w:val="auto"/>
                <w:highlight w:val="none"/>
              </w:rPr>
            </w:pPr>
            <w:r>
              <w:rPr>
                <w:rFonts w:hint="eastAsia" w:ascii="宋体" w:hAnsi="宋体"/>
                <w:b/>
                <w:color w:val="auto"/>
                <w:highlight w:val="none"/>
              </w:rPr>
              <w:t>考核项目</w:t>
            </w:r>
          </w:p>
        </w:tc>
        <w:tc>
          <w:tcPr>
            <w:tcW w:w="3273" w:type="dxa"/>
            <w:tcBorders>
              <w:top w:val="single" w:color="auto" w:sz="4" w:space="0"/>
              <w:left w:val="nil"/>
              <w:bottom w:val="single" w:color="auto" w:sz="4" w:space="0"/>
              <w:right w:val="single" w:color="auto" w:sz="4" w:space="0"/>
            </w:tcBorders>
            <w:vAlign w:val="center"/>
          </w:tcPr>
          <w:p w14:paraId="23B30825">
            <w:pPr>
              <w:spacing w:line="560" w:lineRule="exact"/>
              <w:jc w:val="center"/>
              <w:rPr>
                <w:rFonts w:ascii="宋体" w:hAnsi="宋体"/>
                <w:b/>
                <w:color w:val="auto"/>
                <w:highlight w:val="none"/>
              </w:rPr>
            </w:pPr>
            <w:r>
              <w:rPr>
                <w:rFonts w:hint="eastAsia" w:ascii="宋体" w:hAnsi="宋体"/>
                <w:b/>
                <w:color w:val="auto"/>
                <w:highlight w:val="none"/>
              </w:rPr>
              <w:t>检查考核标准</w:t>
            </w:r>
          </w:p>
        </w:tc>
        <w:tc>
          <w:tcPr>
            <w:tcW w:w="1404" w:type="dxa"/>
            <w:tcBorders>
              <w:top w:val="single" w:color="auto" w:sz="4" w:space="0"/>
              <w:left w:val="nil"/>
              <w:bottom w:val="single" w:color="auto" w:sz="4" w:space="0"/>
              <w:right w:val="single" w:color="auto" w:sz="4" w:space="0"/>
            </w:tcBorders>
          </w:tcPr>
          <w:p w14:paraId="264C49C3">
            <w:pPr>
              <w:spacing w:line="560" w:lineRule="exact"/>
              <w:jc w:val="center"/>
              <w:rPr>
                <w:rFonts w:ascii="宋体" w:hAnsi="宋体"/>
                <w:b/>
                <w:color w:val="auto"/>
                <w:highlight w:val="none"/>
              </w:rPr>
            </w:pPr>
            <w:r>
              <w:rPr>
                <w:rFonts w:hint="eastAsia" w:ascii="宋体" w:hAnsi="宋体"/>
                <w:b/>
                <w:color w:val="auto"/>
                <w:highlight w:val="none"/>
              </w:rPr>
              <w:t>扣分说明</w:t>
            </w:r>
          </w:p>
        </w:tc>
        <w:tc>
          <w:tcPr>
            <w:tcW w:w="873" w:type="dxa"/>
            <w:tcBorders>
              <w:top w:val="single" w:color="auto" w:sz="4" w:space="0"/>
              <w:left w:val="nil"/>
              <w:bottom w:val="single" w:color="auto" w:sz="4" w:space="0"/>
              <w:right w:val="single" w:color="auto" w:sz="4" w:space="0"/>
            </w:tcBorders>
          </w:tcPr>
          <w:p w14:paraId="57B67AE8">
            <w:pPr>
              <w:spacing w:line="560" w:lineRule="exact"/>
              <w:jc w:val="center"/>
              <w:rPr>
                <w:rFonts w:ascii="宋体" w:hAnsi="宋体"/>
                <w:b/>
                <w:color w:val="auto"/>
                <w:highlight w:val="none"/>
              </w:rPr>
            </w:pPr>
            <w:r>
              <w:rPr>
                <w:rFonts w:hint="eastAsia" w:ascii="宋体" w:hAnsi="宋体"/>
                <w:b/>
                <w:color w:val="auto"/>
                <w:highlight w:val="none"/>
              </w:rPr>
              <w:t>扣分</w:t>
            </w:r>
          </w:p>
        </w:tc>
      </w:tr>
      <w:tr w14:paraId="6E2D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3818" w:type="dxa"/>
            <w:tcBorders>
              <w:top w:val="single" w:color="auto" w:sz="4" w:space="0"/>
              <w:left w:val="single" w:color="auto" w:sz="4" w:space="0"/>
              <w:bottom w:val="single" w:color="auto" w:sz="4" w:space="0"/>
              <w:right w:val="single" w:color="auto" w:sz="4" w:space="0"/>
            </w:tcBorders>
            <w:vAlign w:val="center"/>
          </w:tcPr>
          <w:p w14:paraId="2960447A">
            <w:pPr>
              <w:spacing w:line="276" w:lineRule="auto"/>
              <w:rPr>
                <w:rFonts w:ascii="宋体" w:hAnsi="宋体"/>
                <w:b/>
                <w:color w:val="auto"/>
                <w:highlight w:val="none"/>
              </w:rPr>
            </w:pPr>
            <w:r>
              <w:rPr>
                <w:rFonts w:hint="eastAsia" w:ascii="宋体" w:hAnsi="宋体" w:cs="宋体"/>
                <w:color w:val="auto"/>
                <w:kern w:val="0"/>
                <w:highlight w:val="none"/>
              </w:rPr>
              <w:t>按约定配备人员；合理排班，遵守劳动纪律，不迟到、早退，不串岗、脱岗；不玩手机、听音乐；不干私活（包括捡纸皮、收破烂、租陪人床等），不闲聊等</w:t>
            </w:r>
          </w:p>
        </w:tc>
        <w:tc>
          <w:tcPr>
            <w:tcW w:w="3273" w:type="dxa"/>
            <w:tcBorders>
              <w:top w:val="single" w:color="auto" w:sz="4" w:space="0"/>
              <w:left w:val="nil"/>
              <w:bottom w:val="single" w:color="auto" w:sz="4" w:space="0"/>
              <w:right w:val="single" w:color="auto" w:sz="4" w:space="0"/>
            </w:tcBorders>
            <w:vAlign w:val="center"/>
          </w:tcPr>
          <w:p w14:paraId="6D2FD422">
            <w:pPr>
              <w:spacing w:line="276" w:lineRule="auto"/>
              <w:rPr>
                <w:rFonts w:ascii="宋体" w:hAnsi="宋体"/>
                <w:b/>
                <w:color w:val="auto"/>
                <w:highlight w:val="none"/>
              </w:rPr>
            </w:pPr>
            <w:r>
              <w:rPr>
                <w:rFonts w:hint="eastAsia" w:ascii="宋体" w:hAnsi="宋体" w:cs="宋体"/>
                <w:color w:val="auto"/>
                <w:spacing w:val="-11"/>
                <w:kern w:val="0"/>
                <w:highlight w:val="none"/>
              </w:rPr>
              <w:t>排班不合理，</w:t>
            </w:r>
            <w:r>
              <w:rPr>
                <w:rFonts w:hint="eastAsia" w:ascii="宋体" w:hAnsi="宋体"/>
                <w:color w:val="auto"/>
                <w:highlight w:val="none"/>
              </w:rPr>
              <w:t>发现1次视情节轻重扣2—4分；其他</w:t>
            </w:r>
            <w:r>
              <w:rPr>
                <w:rFonts w:hint="eastAsia" w:ascii="宋体" w:hAnsi="宋体" w:cs="宋体"/>
                <w:color w:val="auto"/>
                <w:spacing w:val="-11"/>
                <w:kern w:val="0"/>
                <w:highlight w:val="none"/>
              </w:rPr>
              <w:t>每违反一次视情节轻重扣0.5～4分</w:t>
            </w:r>
            <w:r>
              <w:rPr>
                <w:rFonts w:hint="eastAsia" w:ascii="宋体" w:hAnsi="宋体" w:cs="宋体"/>
                <w:color w:val="auto"/>
                <w:spacing w:val="-6"/>
                <w:kern w:val="0"/>
                <w:highlight w:val="none"/>
              </w:rPr>
              <w:t>；</w:t>
            </w:r>
            <w:r>
              <w:rPr>
                <w:rFonts w:hint="eastAsia" w:ascii="宋体" w:hAnsi="宋体" w:cs="宋体"/>
                <w:color w:val="auto"/>
                <w:spacing w:val="-11"/>
                <w:kern w:val="0"/>
                <w:highlight w:val="none"/>
              </w:rPr>
              <w:t>不按约定配备人员，按合同条款处理</w:t>
            </w:r>
          </w:p>
        </w:tc>
        <w:tc>
          <w:tcPr>
            <w:tcW w:w="1404" w:type="dxa"/>
            <w:tcBorders>
              <w:top w:val="single" w:color="auto" w:sz="4" w:space="0"/>
              <w:left w:val="nil"/>
              <w:bottom w:val="single" w:color="auto" w:sz="4" w:space="0"/>
              <w:right w:val="single" w:color="auto" w:sz="4" w:space="0"/>
            </w:tcBorders>
          </w:tcPr>
          <w:p w14:paraId="5EEA180E">
            <w:pPr>
              <w:spacing w:line="560" w:lineRule="exact"/>
              <w:rPr>
                <w:rFonts w:ascii="宋体" w:hAnsi="宋体"/>
                <w:b/>
                <w:color w:val="auto"/>
                <w:highlight w:val="none"/>
              </w:rPr>
            </w:pPr>
          </w:p>
        </w:tc>
        <w:tc>
          <w:tcPr>
            <w:tcW w:w="873" w:type="dxa"/>
            <w:tcBorders>
              <w:top w:val="single" w:color="auto" w:sz="4" w:space="0"/>
              <w:left w:val="nil"/>
              <w:bottom w:val="single" w:color="auto" w:sz="4" w:space="0"/>
              <w:right w:val="single" w:color="auto" w:sz="4" w:space="0"/>
            </w:tcBorders>
            <w:vAlign w:val="center"/>
          </w:tcPr>
          <w:p w14:paraId="55A9CD17">
            <w:pPr>
              <w:spacing w:line="560" w:lineRule="exact"/>
              <w:rPr>
                <w:rFonts w:ascii="宋体" w:hAnsi="宋体"/>
                <w:b/>
                <w:color w:val="auto"/>
                <w:highlight w:val="none"/>
              </w:rPr>
            </w:pPr>
          </w:p>
        </w:tc>
      </w:tr>
      <w:tr w14:paraId="3BF2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3818" w:type="dxa"/>
            <w:tcBorders>
              <w:top w:val="single" w:color="auto" w:sz="4" w:space="0"/>
              <w:left w:val="single" w:color="auto" w:sz="4" w:space="0"/>
              <w:bottom w:val="single" w:color="auto" w:sz="4" w:space="0"/>
              <w:right w:val="single" w:color="auto" w:sz="4" w:space="0"/>
            </w:tcBorders>
          </w:tcPr>
          <w:p w14:paraId="707C5818">
            <w:pPr>
              <w:spacing w:line="276" w:lineRule="auto"/>
              <w:rPr>
                <w:rFonts w:ascii="宋体" w:hAnsi="宋体" w:cs="宋体"/>
                <w:color w:val="auto"/>
                <w:kern w:val="0"/>
                <w:highlight w:val="none"/>
              </w:rPr>
            </w:pPr>
            <w:r>
              <w:rPr>
                <w:rFonts w:hint="eastAsia" w:ascii="宋体" w:hAnsi="宋体" w:cs="宋体"/>
                <w:color w:val="auto"/>
                <w:kern w:val="0"/>
                <w:highlight w:val="none"/>
              </w:rPr>
              <w:t>统一着装，着装整洁，个人防护符合要求，佩戴统一的发网，不穿工作服到院外，挂牌服务，礼貌待人，服务主动热情，使用文明用语，不与医护人员及病人发生争执</w:t>
            </w:r>
          </w:p>
        </w:tc>
        <w:tc>
          <w:tcPr>
            <w:tcW w:w="3273" w:type="dxa"/>
            <w:tcBorders>
              <w:top w:val="single" w:color="auto" w:sz="4" w:space="0"/>
              <w:left w:val="nil"/>
              <w:bottom w:val="single" w:color="auto" w:sz="4" w:space="0"/>
              <w:right w:val="single" w:color="auto" w:sz="4" w:space="0"/>
            </w:tcBorders>
          </w:tcPr>
          <w:p w14:paraId="6D4C96C3">
            <w:pPr>
              <w:spacing w:line="276" w:lineRule="auto"/>
              <w:rPr>
                <w:rFonts w:ascii="宋体" w:hAnsi="宋体" w:cs="宋体"/>
                <w:color w:val="auto"/>
                <w:kern w:val="0"/>
                <w:highlight w:val="none"/>
              </w:rPr>
            </w:pPr>
            <w:r>
              <w:rPr>
                <w:rFonts w:hint="eastAsia" w:ascii="宋体" w:hAnsi="宋体" w:cs="宋体"/>
                <w:color w:val="auto"/>
                <w:kern w:val="0"/>
                <w:highlight w:val="none"/>
              </w:rPr>
              <w:t>每项未做到扣0.</w:t>
            </w:r>
            <w:r>
              <w:rPr>
                <w:rFonts w:ascii="宋体" w:hAnsi="宋体" w:cs="宋体"/>
                <w:color w:val="auto"/>
                <w:kern w:val="0"/>
                <w:highlight w:val="none"/>
              </w:rPr>
              <w:t>5</w:t>
            </w:r>
            <w:r>
              <w:rPr>
                <w:rFonts w:hint="eastAsia" w:ascii="宋体" w:hAnsi="宋体" w:cs="宋体"/>
                <w:color w:val="auto"/>
                <w:kern w:val="0"/>
                <w:highlight w:val="none"/>
              </w:rPr>
              <w:t>，穿工作服到院外每次扣</w:t>
            </w:r>
            <w:r>
              <w:rPr>
                <w:rFonts w:ascii="宋体" w:hAnsi="宋体" w:cs="宋体"/>
                <w:color w:val="auto"/>
                <w:kern w:val="0"/>
                <w:highlight w:val="none"/>
              </w:rPr>
              <w:t>1</w:t>
            </w:r>
            <w:r>
              <w:rPr>
                <w:rFonts w:hint="eastAsia" w:ascii="宋体" w:hAnsi="宋体" w:cs="宋体"/>
                <w:color w:val="auto"/>
                <w:kern w:val="0"/>
                <w:highlight w:val="none"/>
              </w:rPr>
              <w:t>分；与医护人员、病人、家属发生争执每次扣2分</w:t>
            </w:r>
          </w:p>
        </w:tc>
        <w:tc>
          <w:tcPr>
            <w:tcW w:w="1404" w:type="dxa"/>
            <w:tcBorders>
              <w:top w:val="single" w:color="auto" w:sz="4" w:space="0"/>
              <w:left w:val="nil"/>
              <w:bottom w:val="single" w:color="auto" w:sz="4" w:space="0"/>
              <w:right w:val="single" w:color="auto" w:sz="4" w:space="0"/>
            </w:tcBorders>
          </w:tcPr>
          <w:p w14:paraId="2E40B565">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037BB598">
            <w:pPr>
              <w:adjustRightInd w:val="0"/>
              <w:spacing w:line="560" w:lineRule="exact"/>
              <w:rPr>
                <w:rFonts w:ascii="宋体" w:hAnsi="宋体"/>
                <w:color w:val="auto"/>
                <w:highlight w:val="none"/>
              </w:rPr>
            </w:pPr>
          </w:p>
        </w:tc>
      </w:tr>
      <w:tr w14:paraId="6DF7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3818" w:type="dxa"/>
            <w:tcBorders>
              <w:top w:val="single" w:color="auto" w:sz="4" w:space="0"/>
              <w:left w:val="single" w:color="auto" w:sz="4" w:space="0"/>
              <w:bottom w:val="single" w:color="auto" w:sz="4" w:space="0"/>
              <w:right w:val="single" w:color="auto" w:sz="4" w:space="0"/>
            </w:tcBorders>
          </w:tcPr>
          <w:p w14:paraId="5439EC3E">
            <w:pPr>
              <w:spacing w:line="276" w:lineRule="auto"/>
              <w:rPr>
                <w:rFonts w:ascii="宋体" w:hAnsi="宋体" w:cs="宋体"/>
                <w:color w:val="auto"/>
                <w:kern w:val="0"/>
                <w:highlight w:val="none"/>
              </w:rPr>
            </w:pPr>
            <w:r>
              <w:rPr>
                <w:rFonts w:hint="eastAsia" w:ascii="宋体" w:hAnsi="宋体" w:cs="宋体"/>
                <w:color w:val="auto"/>
                <w:kern w:val="0"/>
                <w:highlight w:val="none"/>
              </w:rPr>
              <w:t>公司有完善的规章制度（包括但不限于质量监管制度、疫情防控相关管理制度、各种应急预案、员工工作管理制度（包含对员工的考核、奖惩及人性化关怀制度、服务规范、管理人员和员工的配备及排班方案、员工培训方案）、信息反馈处理制度等各项规章制度，质量标准、操作规范、岗位职责及工作流程等）；员工严格遵守法律法规、</w:t>
            </w:r>
            <w:r>
              <w:rPr>
                <w:rFonts w:hint="eastAsia"/>
                <w:color w:val="auto"/>
                <w:highlight w:val="none"/>
              </w:rPr>
              <w:t>采购人与中标供应商</w:t>
            </w:r>
            <w:r>
              <w:rPr>
                <w:rFonts w:hint="eastAsia" w:ascii="宋体" w:hAnsi="宋体" w:cs="宋体"/>
                <w:color w:val="auto"/>
                <w:kern w:val="0"/>
                <w:highlight w:val="none"/>
              </w:rPr>
              <w:t>双方相关规章制度、操作规程、工作职责及流程等，并按要求落实。</w:t>
            </w:r>
          </w:p>
        </w:tc>
        <w:tc>
          <w:tcPr>
            <w:tcW w:w="3273" w:type="dxa"/>
            <w:tcBorders>
              <w:top w:val="single" w:color="auto" w:sz="4" w:space="0"/>
              <w:left w:val="nil"/>
              <w:bottom w:val="single" w:color="auto" w:sz="4" w:space="0"/>
              <w:right w:val="single" w:color="auto" w:sz="4" w:space="0"/>
            </w:tcBorders>
          </w:tcPr>
          <w:p w14:paraId="4D28F9C3">
            <w:pPr>
              <w:spacing w:line="276" w:lineRule="auto"/>
              <w:rPr>
                <w:rFonts w:ascii="宋体" w:hAnsi="宋体" w:cs="宋体"/>
                <w:color w:val="auto"/>
                <w:kern w:val="0"/>
                <w:highlight w:val="none"/>
              </w:rPr>
            </w:pPr>
            <w:r>
              <w:rPr>
                <w:rFonts w:hint="eastAsia" w:ascii="宋体" w:hAnsi="宋体" w:cs="宋体"/>
                <w:color w:val="auto"/>
                <w:kern w:val="0"/>
                <w:highlight w:val="none"/>
              </w:rPr>
              <w:t>无应急预案扣5分，其他每缺1项扣1分；不按流程、要求工作，视情节轻重扣1～4分/次；工作完成不及时、不到位等，视情节轻重扣0.</w:t>
            </w:r>
            <w:r>
              <w:rPr>
                <w:rFonts w:ascii="宋体" w:hAnsi="宋体" w:cs="宋体"/>
                <w:color w:val="auto"/>
                <w:kern w:val="0"/>
                <w:highlight w:val="none"/>
              </w:rPr>
              <w:t>5</w:t>
            </w:r>
            <w:r>
              <w:rPr>
                <w:rFonts w:hint="eastAsia" w:ascii="宋体" w:hAnsi="宋体" w:cs="宋体"/>
                <w:color w:val="auto"/>
                <w:kern w:val="0"/>
                <w:highlight w:val="none"/>
              </w:rPr>
              <w:t>～1分；给医院造成不良影响，视情节轻重扣10～20分，并按合同条款处理；其他情况违反视情节轻重扣0.5～</w:t>
            </w:r>
            <w:r>
              <w:rPr>
                <w:rFonts w:ascii="宋体" w:hAnsi="宋体" w:cs="宋体"/>
                <w:color w:val="auto"/>
                <w:kern w:val="0"/>
                <w:highlight w:val="none"/>
              </w:rPr>
              <w:t>4</w:t>
            </w:r>
            <w:r>
              <w:rPr>
                <w:rFonts w:hint="eastAsia" w:ascii="宋体" w:hAnsi="宋体" w:cs="宋体"/>
                <w:color w:val="auto"/>
                <w:kern w:val="0"/>
                <w:highlight w:val="none"/>
              </w:rPr>
              <w:t>分/次。</w:t>
            </w:r>
          </w:p>
        </w:tc>
        <w:tc>
          <w:tcPr>
            <w:tcW w:w="1404" w:type="dxa"/>
            <w:tcBorders>
              <w:top w:val="single" w:color="auto" w:sz="4" w:space="0"/>
              <w:left w:val="nil"/>
              <w:bottom w:val="single" w:color="auto" w:sz="4" w:space="0"/>
              <w:right w:val="single" w:color="auto" w:sz="4" w:space="0"/>
            </w:tcBorders>
          </w:tcPr>
          <w:p w14:paraId="3802959E">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563297D4">
            <w:pPr>
              <w:adjustRightInd w:val="0"/>
              <w:spacing w:line="560" w:lineRule="exact"/>
              <w:rPr>
                <w:rFonts w:ascii="宋体" w:hAnsi="宋体"/>
                <w:color w:val="auto"/>
                <w:highlight w:val="none"/>
              </w:rPr>
            </w:pPr>
          </w:p>
        </w:tc>
      </w:tr>
      <w:tr w14:paraId="485B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3818" w:type="dxa"/>
            <w:tcBorders>
              <w:top w:val="single" w:color="auto" w:sz="4" w:space="0"/>
              <w:left w:val="single" w:color="auto" w:sz="4" w:space="0"/>
              <w:bottom w:val="single" w:color="auto" w:sz="4" w:space="0"/>
              <w:right w:val="single" w:color="auto" w:sz="4" w:space="0"/>
            </w:tcBorders>
          </w:tcPr>
          <w:p w14:paraId="4A1617B6">
            <w:pPr>
              <w:spacing w:line="276" w:lineRule="auto"/>
              <w:rPr>
                <w:rFonts w:ascii="宋体" w:hAnsi="宋体" w:cs="宋体"/>
                <w:color w:val="auto"/>
                <w:kern w:val="0"/>
                <w:highlight w:val="none"/>
              </w:rPr>
            </w:pPr>
            <w:r>
              <w:rPr>
                <w:rFonts w:hint="eastAsia" w:ascii="宋体" w:hAnsi="宋体" w:cs="宋体"/>
                <w:color w:val="auto"/>
                <w:kern w:val="0"/>
                <w:highlight w:val="none"/>
              </w:rPr>
              <w:t>公司制定培训方案，按时完成培训及考核，并将培训情况反馈给医院主管部门。公司管理人员对各项服务、员工管理到位</w:t>
            </w:r>
          </w:p>
          <w:p w14:paraId="4C989089">
            <w:pPr>
              <w:spacing w:line="276" w:lineRule="auto"/>
              <w:rPr>
                <w:rFonts w:ascii="宋体" w:hAnsi="宋体" w:cs="宋体"/>
                <w:color w:val="auto"/>
                <w:kern w:val="0"/>
                <w:highlight w:val="none"/>
              </w:rPr>
            </w:pPr>
          </w:p>
        </w:tc>
        <w:tc>
          <w:tcPr>
            <w:tcW w:w="3273" w:type="dxa"/>
            <w:tcBorders>
              <w:top w:val="single" w:color="auto" w:sz="4" w:space="0"/>
              <w:left w:val="nil"/>
              <w:bottom w:val="single" w:color="auto" w:sz="4" w:space="0"/>
              <w:right w:val="single" w:color="auto" w:sz="4" w:space="0"/>
            </w:tcBorders>
          </w:tcPr>
          <w:p w14:paraId="13EDB56F">
            <w:pPr>
              <w:spacing w:line="276" w:lineRule="auto"/>
              <w:rPr>
                <w:rFonts w:ascii="宋体" w:hAnsi="宋体" w:cs="宋体"/>
                <w:color w:val="auto"/>
                <w:kern w:val="0"/>
                <w:highlight w:val="none"/>
              </w:rPr>
            </w:pPr>
            <w:r>
              <w:rPr>
                <w:rFonts w:hint="eastAsia" w:ascii="宋体" w:hAnsi="宋体" w:cs="宋体"/>
                <w:color w:val="auto"/>
                <w:kern w:val="0"/>
                <w:highlight w:val="none"/>
              </w:rPr>
              <w:t>上交资料不完善、不真实、不及时视情节扣1～10分/次；未制定培训方案扣2分，未按培训方案落实扣1分/次；公司管理人员管理不到位视情节轻重扣2～10分/次；主管部门抽考员工不合格扣0.5分/人/次</w:t>
            </w:r>
          </w:p>
        </w:tc>
        <w:tc>
          <w:tcPr>
            <w:tcW w:w="1404" w:type="dxa"/>
            <w:tcBorders>
              <w:top w:val="single" w:color="auto" w:sz="4" w:space="0"/>
              <w:left w:val="nil"/>
              <w:bottom w:val="single" w:color="auto" w:sz="4" w:space="0"/>
              <w:right w:val="single" w:color="auto" w:sz="4" w:space="0"/>
            </w:tcBorders>
          </w:tcPr>
          <w:p w14:paraId="215618C0">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7F0044C7">
            <w:pPr>
              <w:adjustRightInd w:val="0"/>
              <w:spacing w:line="560" w:lineRule="exact"/>
              <w:rPr>
                <w:rFonts w:ascii="宋体" w:hAnsi="宋体"/>
                <w:color w:val="auto"/>
                <w:highlight w:val="none"/>
              </w:rPr>
            </w:pPr>
          </w:p>
        </w:tc>
      </w:tr>
      <w:tr w14:paraId="654E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3818" w:type="dxa"/>
            <w:tcBorders>
              <w:top w:val="single" w:color="auto" w:sz="4" w:space="0"/>
              <w:left w:val="single" w:color="auto" w:sz="4" w:space="0"/>
              <w:bottom w:val="single" w:color="auto" w:sz="4" w:space="0"/>
              <w:right w:val="single" w:color="auto" w:sz="4" w:space="0"/>
            </w:tcBorders>
          </w:tcPr>
          <w:p w14:paraId="7B62FAF3">
            <w:pPr>
              <w:spacing w:line="276" w:lineRule="auto"/>
              <w:rPr>
                <w:rFonts w:ascii="宋体" w:hAnsi="宋体" w:cs="宋体"/>
                <w:color w:val="auto"/>
                <w:kern w:val="0"/>
                <w:highlight w:val="none"/>
              </w:rPr>
            </w:pPr>
            <w:r>
              <w:rPr>
                <w:rFonts w:hint="eastAsia" w:ascii="宋体" w:hAnsi="宋体" w:cs="宋体"/>
                <w:color w:val="auto"/>
                <w:kern w:val="0"/>
                <w:highlight w:val="none"/>
              </w:rPr>
              <w:t>按医院主管部门要求上交资料（花名册、考勤、质控、防控、计划、工作完成情况或总结等资料）；收到电子版或书面整改问题5～10个工作日内回复整改措施或结果，并及时整改</w:t>
            </w:r>
          </w:p>
        </w:tc>
        <w:tc>
          <w:tcPr>
            <w:tcW w:w="3273" w:type="dxa"/>
            <w:tcBorders>
              <w:top w:val="single" w:color="auto" w:sz="4" w:space="0"/>
              <w:left w:val="nil"/>
              <w:bottom w:val="single" w:color="auto" w:sz="4" w:space="0"/>
              <w:right w:val="single" w:color="auto" w:sz="4" w:space="0"/>
            </w:tcBorders>
          </w:tcPr>
          <w:p w14:paraId="1F422687">
            <w:pPr>
              <w:spacing w:line="276" w:lineRule="auto"/>
              <w:rPr>
                <w:rFonts w:ascii="宋体" w:hAnsi="宋体" w:cs="宋体"/>
                <w:color w:val="auto"/>
                <w:kern w:val="0"/>
                <w:highlight w:val="none"/>
              </w:rPr>
            </w:pPr>
            <w:r>
              <w:rPr>
                <w:rFonts w:hint="eastAsia" w:ascii="宋体" w:hAnsi="宋体" w:cs="宋体"/>
                <w:color w:val="auto"/>
                <w:kern w:val="0"/>
                <w:highlight w:val="none"/>
              </w:rPr>
              <w:t>未按时上交或回复，每超过5个工作日扣1分；上交资料不真实、不符合要求，视情节扣1～10分/次，未整改或整改效果差扣2分/次</w:t>
            </w:r>
          </w:p>
        </w:tc>
        <w:tc>
          <w:tcPr>
            <w:tcW w:w="1404" w:type="dxa"/>
            <w:tcBorders>
              <w:top w:val="single" w:color="auto" w:sz="4" w:space="0"/>
              <w:left w:val="nil"/>
              <w:bottom w:val="single" w:color="auto" w:sz="4" w:space="0"/>
              <w:right w:val="single" w:color="auto" w:sz="4" w:space="0"/>
            </w:tcBorders>
          </w:tcPr>
          <w:p w14:paraId="47CCD266">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17B0663A">
            <w:pPr>
              <w:adjustRightInd w:val="0"/>
              <w:spacing w:line="560" w:lineRule="exact"/>
              <w:rPr>
                <w:rFonts w:ascii="宋体" w:hAnsi="宋体"/>
                <w:color w:val="auto"/>
                <w:highlight w:val="none"/>
              </w:rPr>
            </w:pPr>
          </w:p>
        </w:tc>
      </w:tr>
      <w:tr w14:paraId="194F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818" w:type="dxa"/>
            <w:tcBorders>
              <w:top w:val="single" w:color="auto" w:sz="4" w:space="0"/>
              <w:left w:val="single" w:color="auto" w:sz="4" w:space="0"/>
              <w:bottom w:val="single" w:color="auto" w:sz="4" w:space="0"/>
              <w:right w:val="single" w:color="auto" w:sz="4" w:space="0"/>
            </w:tcBorders>
          </w:tcPr>
          <w:p w14:paraId="111F4D69">
            <w:pPr>
              <w:spacing w:line="276" w:lineRule="auto"/>
              <w:rPr>
                <w:rFonts w:ascii="宋体" w:hAnsi="宋体" w:cs="宋体"/>
                <w:color w:val="auto"/>
                <w:kern w:val="0"/>
                <w:highlight w:val="none"/>
              </w:rPr>
            </w:pPr>
            <w:r>
              <w:rPr>
                <w:rFonts w:hint="eastAsia" w:ascii="宋体" w:hAnsi="宋体" w:cs="宋体"/>
                <w:color w:val="auto"/>
                <w:kern w:val="0"/>
                <w:highlight w:val="none"/>
              </w:rPr>
              <w:t>院方遇突发事件或各种检查，积极配合医院做好突击工作，工作电话保持畅通，无媒体曝光或点名批评；各级各类部门检查符合要求</w:t>
            </w:r>
          </w:p>
        </w:tc>
        <w:tc>
          <w:tcPr>
            <w:tcW w:w="3273" w:type="dxa"/>
            <w:tcBorders>
              <w:top w:val="single" w:color="auto" w:sz="4" w:space="0"/>
              <w:left w:val="nil"/>
              <w:bottom w:val="single" w:color="auto" w:sz="4" w:space="0"/>
              <w:right w:val="single" w:color="auto" w:sz="4" w:space="0"/>
            </w:tcBorders>
          </w:tcPr>
          <w:p w14:paraId="78E96206">
            <w:pPr>
              <w:spacing w:line="276" w:lineRule="auto"/>
              <w:rPr>
                <w:rFonts w:ascii="宋体" w:hAnsi="宋体" w:cs="宋体"/>
                <w:color w:val="auto"/>
                <w:kern w:val="0"/>
                <w:highlight w:val="none"/>
              </w:rPr>
            </w:pPr>
            <w:r>
              <w:rPr>
                <w:rFonts w:hint="eastAsia" w:ascii="宋体" w:hAnsi="宋体" w:cs="宋体"/>
                <w:color w:val="auto"/>
                <w:kern w:val="0"/>
                <w:highlight w:val="none"/>
              </w:rPr>
              <w:t>电话不畅通，视情节扣1～3分/次，严重影响院方诊疗工作按合同条款处理；接受检查时工作不符合要求，院内其他科室检查扣2分/次，院级检查扣</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分/次；院外检查扣</w:t>
            </w:r>
            <w:r>
              <w:rPr>
                <w:rFonts w:ascii="宋体" w:hAnsi="宋体" w:cs="宋体"/>
                <w:color w:val="auto"/>
                <w:kern w:val="0"/>
                <w:highlight w:val="none"/>
              </w:rPr>
              <w:t>6</w:t>
            </w:r>
            <w:r>
              <w:rPr>
                <w:rFonts w:hint="eastAsia" w:ascii="宋体" w:hAnsi="宋体" w:cs="宋体"/>
                <w:color w:val="auto"/>
                <w:kern w:val="0"/>
                <w:highlight w:val="none"/>
              </w:rPr>
              <w:t>～</w:t>
            </w:r>
            <w:r>
              <w:rPr>
                <w:rFonts w:ascii="宋体" w:hAnsi="宋体" w:cs="宋体"/>
                <w:color w:val="auto"/>
                <w:kern w:val="0"/>
                <w:highlight w:val="none"/>
              </w:rPr>
              <w:t>15</w:t>
            </w:r>
            <w:r>
              <w:rPr>
                <w:rFonts w:hint="eastAsia" w:ascii="宋体" w:hAnsi="宋体" w:cs="宋体"/>
                <w:color w:val="auto"/>
                <w:kern w:val="0"/>
                <w:highlight w:val="none"/>
              </w:rPr>
              <w:t>分</w:t>
            </w:r>
            <w:r>
              <w:rPr>
                <w:rFonts w:ascii="宋体" w:hAnsi="宋体" w:cs="宋体"/>
                <w:color w:val="auto"/>
                <w:kern w:val="0"/>
                <w:highlight w:val="none"/>
              </w:rPr>
              <w:t>/</w:t>
            </w:r>
            <w:r>
              <w:rPr>
                <w:rFonts w:hint="eastAsia" w:ascii="宋体" w:hAnsi="宋体" w:cs="宋体"/>
                <w:color w:val="auto"/>
                <w:kern w:val="0"/>
                <w:highlight w:val="none"/>
              </w:rPr>
              <w:t>次；被院外机构点名批评、媒体曝光等按合同条款处理</w:t>
            </w:r>
          </w:p>
        </w:tc>
        <w:tc>
          <w:tcPr>
            <w:tcW w:w="1404" w:type="dxa"/>
            <w:tcBorders>
              <w:top w:val="single" w:color="auto" w:sz="4" w:space="0"/>
              <w:left w:val="nil"/>
              <w:bottom w:val="single" w:color="auto" w:sz="4" w:space="0"/>
              <w:right w:val="single" w:color="auto" w:sz="4" w:space="0"/>
            </w:tcBorders>
          </w:tcPr>
          <w:p w14:paraId="2C6278D1">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58C1AE7C">
            <w:pPr>
              <w:adjustRightInd w:val="0"/>
              <w:spacing w:line="560" w:lineRule="exact"/>
              <w:rPr>
                <w:rFonts w:ascii="宋体" w:hAnsi="宋体"/>
                <w:color w:val="auto"/>
                <w:highlight w:val="none"/>
              </w:rPr>
            </w:pPr>
          </w:p>
        </w:tc>
      </w:tr>
      <w:tr w14:paraId="1F9D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818" w:type="dxa"/>
            <w:tcBorders>
              <w:top w:val="single" w:color="auto" w:sz="4" w:space="0"/>
              <w:left w:val="single" w:color="auto" w:sz="4" w:space="0"/>
              <w:bottom w:val="single" w:color="auto" w:sz="4" w:space="0"/>
              <w:right w:val="single" w:color="auto" w:sz="4" w:space="0"/>
            </w:tcBorders>
          </w:tcPr>
          <w:p w14:paraId="209D7CD2">
            <w:pPr>
              <w:spacing w:line="276" w:lineRule="auto"/>
              <w:rPr>
                <w:rFonts w:ascii="宋体" w:hAnsi="宋体" w:cs="宋体"/>
                <w:color w:val="auto"/>
                <w:kern w:val="0"/>
                <w:highlight w:val="none"/>
              </w:rPr>
            </w:pPr>
            <w:r>
              <w:rPr>
                <w:rFonts w:hint="eastAsia" w:ascii="宋体" w:hAnsi="宋体" w:cs="宋体"/>
                <w:color w:val="auto"/>
                <w:kern w:val="0"/>
                <w:highlight w:val="none"/>
              </w:rPr>
              <w:t>有事应向公司主管及科室负责人请假，服从科室的工作安排、指导和监督</w:t>
            </w:r>
          </w:p>
        </w:tc>
        <w:tc>
          <w:tcPr>
            <w:tcW w:w="3273" w:type="dxa"/>
            <w:tcBorders>
              <w:top w:val="single" w:color="auto" w:sz="4" w:space="0"/>
              <w:left w:val="nil"/>
              <w:bottom w:val="single" w:color="auto" w:sz="4" w:space="0"/>
              <w:right w:val="single" w:color="auto" w:sz="4" w:space="0"/>
            </w:tcBorders>
          </w:tcPr>
          <w:p w14:paraId="54CA34D7">
            <w:pPr>
              <w:spacing w:line="276" w:lineRule="auto"/>
              <w:rPr>
                <w:rFonts w:ascii="宋体" w:hAnsi="宋体" w:cs="宋体"/>
                <w:color w:val="auto"/>
                <w:kern w:val="0"/>
                <w:highlight w:val="none"/>
              </w:rPr>
            </w:pPr>
            <w:r>
              <w:rPr>
                <w:rFonts w:hint="eastAsia" w:ascii="宋体" w:hAnsi="宋体" w:cs="宋体"/>
                <w:color w:val="auto"/>
                <w:kern w:val="0"/>
                <w:highlight w:val="none"/>
              </w:rPr>
              <w:t>不请假或不按规定汇报，视情节轻重扣2～4分/次；不服从安排，视情节轻重扣0.5～1分/次</w:t>
            </w:r>
          </w:p>
        </w:tc>
        <w:tc>
          <w:tcPr>
            <w:tcW w:w="1404" w:type="dxa"/>
            <w:tcBorders>
              <w:top w:val="single" w:color="auto" w:sz="4" w:space="0"/>
              <w:left w:val="nil"/>
              <w:bottom w:val="single" w:color="auto" w:sz="4" w:space="0"/>
              <w:right w:val="single" w:color="auto" w:sz="4" w:space="0"/>
            </w:tcBorders>
          </w:tcPr>
          <w:p w14:paraId="6C5A10EB">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5647E807">
            <w:pPr>
              <w:adjustRightInd w:val="0"/>
              <w:spacing w:line="560" w:lineRule="exact"/>
              <w:rPr>
                <w:rFonts w:ascii="宋体" w:hAnsi="宋体"/>
                <w:color w:val="auto"/>
                <w:highlight w:val="none"/>
              </w:rPr>
            </w:pPr>
          </w:p>
        </w:tc>
      </w:tr>
      <w:tr w14:paraId="4855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818" w:type="dxa"/>
            <w:tcBorders>
              <w:top w:val="single" w:color="auto" w:sz="4" w:space="0"/>
              <w:left w:val="single" w:color="auto" w:sz="4" w:space="0"/>
              <w:bottom w:val="single" w:color="auto" w:sz="4" w:space="0"/>
              <w:right w:val="single" w:color="auto" w:sz="4" w:space="0"/>
            </w:tcBorders>
          </w:tcPr>
          <w:p w14:paraId="6DE0A210">
            <w:pPr>
              <w:spacing w:line="276" w:lineRule="auto"/>
              <w:rPr>
                <w:rFonts w:ascii="宋体" w:hAnsi="宋体" w:cs="宋体"/>
                <w:color w:val="auto"/>
                <w:kern w:val="0"/>
                <w:highlight w:val="none"/>
              </w:rPr>
            </w:pPr>
            <w:r>
              <w:rPr>
                <w:rFonts w:hint="eastAsia" w:ascii="宋体" w:hAnsi="宋体" w:cs="宋体"/>
                <w:color w:val="auto"/>
                <w:kern w:val="0"/>
                <w:highlight w:val="none"/>
              </w:rPr>
              <w:t>无责任性差错事故发生</w:t>
            </w:r>
          </w:p>
        </w:tc>
        <w:tc>
          <w:tcPr>
            <w:tcW w:w="3273" w:type="dxa"/>
            <w:tcBorders>
              <w:top w:val="single" w:color="auto" w:sz="4" w:space="0"/>
              <w:left w:val="nil"/>
              <w:bottom w:val="single" w:color="auto" w:sz="4" w:space="0"/>
              <w:right w:val="single" w:color="auto" w:sz="4" w:space="0"/>
            </w:tcBorders>
          </w:tcPr>
          <w:p w14:paraId="5DB627E3">
            <w:pPr>
              <w:spacing w:line="276" w:lineRule="auto"/>
              <w:rPr>
                <w:rFonts w:ascii="宋体" w:hAnsi="宋体" w:cs="宋体"/>
                <w:color w:val="auto"/>
                <w:kern w:val="0"/>
                <w:highlight w:val="none"/>
              </w:rPr>
            </w:pPr>
            <w:r>
              <w:rPr>
                <w:rFonts w:hint="eastAsia" w:ascii="宋体" w:hAnsi="宋体" w:cs="宋体"/>
                <w:color w:val="auto"/>
                <w:kern w:val="0"/>
                <w:highlight w:val="none"/>
              </w:rPr>
              <w:t>视情节轻重扣</w:t>
            </w:r>
            <w:r>
              <w:rPr>
                <w:rFonts w:ascii="宋体" w:hAnsi="宋体" w:cs="宋体"/>
                <w:color w:val="auto"/>
                <w:kern w:val="0"/>
                <w:highlight w:val="none"/>
              </w:rPr>
              <w:t>2</w:t>
            </w:r>
            <w:r>
              <w:rPr>
                <w:rFonts w:hint="eastAsia" w:ascii="宋体" w:hAnsi="宋体" w:cs="宋体"/>
                <w:color w:val="auto"/>
                <w:kern w:val="0"/>
                <w:highlight w:val="none"/>
              </w:rPr>
              <w:t>—20分；若对患者造成伤害或对院方造成不良影响的，除赔偿外按合同条款处理</w:t>
            </w:r>
          </w:p>
        </w:tc>
        <w:tc>
          <w:tcPr>
            <w:tcW w:w="1404" w:type="dxa"/>
            <w:tcBorders>
              <w:top w:val="single" w:color="auto" w:sz="4" w:space="0"/>
              <w:left w:val="nil"/>
              <w:bottom w:val="single" w:color="auto" w:sz="4" w:space="0"/>
              <w:right w:val="single" w:color="auto" w:sz="4" w:space="0"/>
            </w:tcBorders>
          </w:tcPr>
          <w:p w14:paraId="302514D8">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199D7318">
            <w:pPr>
              <w:adjustRightInd w:val="0"/>
              <w:spacing w:line="560" w:lineRule="exact"/>
              <w:rPr>
                <w:rFonts w:ascii="宋体" w:hAnsi="宋体"/>
                <w:color w:val="auto"/>
                <w:highlight w:val="none"/>
              </w:rPr>
            </w:pPr>
          </w:p>
        </w:tc>
      </w:tr>
      <w:tr w14:paraId="0747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818" w:type="dxa"/>
            <w:tcBorders>
              <w:top w:val="single" w:color="auto" w:sz="4" w:space="0"/>
              <w:left w:val="single" w:color="auto" w:sz="4" w:space="0"/>
              <w:bottom w:val="single" w:color="auto" w:sz="4" w:space="0"/>
              <w:right w:val="single" w:color="auto" w:sz="4" w:space="0"/>
            </w:tcBorders>
          </w:tcPr>
          <w:p w14:paraId="055D995A">
            <w:pPr>
              <w:spacing w:line="276" w:lineRule="auto"/>
              <w:rPr>
                <w:rFonts w:ascii="宋体" w:hAnsi="宋体" w:cs="宋体"/>
                <w:color w:val="auto"/>
                <w:kern w:val="0"/>
                <w:highlight w:val="none"/>
              </w:rPr>
            </w:pPr>
            <w:r>
              <w:rPr>
                <w:rFonts w:hint="eastAsia" w:ascii="宋体" w:hAnsi="宋体" w:cs="宋体"/>
                <w:color w:val="auto"/>
                <w:kern w:val="0"/>
                <w:highlight w:val="none"/>
              </w:rPr>
              <w:t>接电话及时，态度好，语言规范；接到指令后，及时到岗完成外勤工作</w:t>
            </w:r>
          </w:p>
        </w:tc>
        <w:tc>
          <w:tcPr>
            <w:tcW w:w="3273" w:type="dxa"/>
            <w:tcBorders>
              <w:top w:val="single" w:color="auto" w:sz="4" w:space="0"/>
              <w:left w:val="nil"/>
              <w:bottom w:val="single" w:color="auto" w:sz="4" w:space="0"/>
              <w:right w:val="single" w:color="auto" w:sz="4" w:space="0"/>
            </w:tcBorders>
          </w:tcPr>
          <w:p w14:paraId="72D0D833">
            <w:pPr>
              <w:spacing w:line="276" w:lineRule="auto"/>
              <w:rPr>
                <w:rFonts w:ascii="宋体" w:hAnsi="宋体" w:cs="宋体"/>
                <w:color w:val="auto"/>
                <w:kern w:val="0"/>
                <w:highlight w:val="none"/>
              </w:rPr>
            </w:pPr>
            <w:r>
              <w:rPr>
                <w:rFonts w:hint="eastAsia" w:ascii="宋体" w:hAnsi="宋体" w:cs="宋体"/>
                <w:color w:val="auto"/>
                <w:kern w:val="0"/>
                <w:highlight w:val="none"/>
              </w:rPr>
              <w:t>每违反一次，视情节轻重扣0.1—1分</w:t>
            </w:r>
          </w:p>
        </w:tc>
        <w:tc>
          <w:tcPr>
            <w:tcW w:w="1404" w:type="dxa"/>
            <w:tcBorders>
              <w:top w:val="single" w:color="auto" w:sz="4" w:space="0"/>
              <w:left w:val="nil"/>
              <w:bottom w:val="single" w:color="auto" w:sz="4" w:space="0"/>
              <w:right w:val="single" w:color="auto" w:sz="4" w:space="0"/>
            </w:tcBorders>
          </w:tcPr>
          <w:p w14:paraId="510319CF">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7F01E8A5">
            <w:pPr>
              <w:adjustRightInd w:val="0"/>
              <w:spacing w:line="560" w:lineRule="exact"/>
              <w:rPr>
                <w:rFonts w:ascii="宋体" w:hAnsi="宋体"/>
                <w:color w:val="auto"/>
                <w:highlight w:val="none"/>
              </w:rPr>
            </w:pPr>
          </w:p>
        </w:tc>
      </w:tr>
      <w:tr w14:paraId="6370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818" w:type="dxa"/>
            <w:tcBorders>
              <w:top w:val="single" w:color="auto" w:sz="4" w:space="0"/>
              <w:left w:val="single" w:color="auto" w:sz="4" w:space="0"/>
              <w:bottom w:val="single" w:color="auto" w:sz="4" w:space="0"/>
              <w:right w:val="single" w:color="auto" w:sz="4" w:space="0"/>
            </w:tcBorders>
          </w:tcPr>
          <w:p w14:paraId="4B2FAB7E">
            <w:pPr>
              <w:spacing w:line="276" w:lineRule="auto"/>
              <w:rPr>
                <w:rFonts w:ascii="宋体" w:hAnsi="宋体" w:cs="宋体"/>
                <w:color w:val="auto"/>
                <w:kern w:val="0"/>
                <w:highlight w:val="none"/>
              </w:rPr>
            </w:pPr>
            <w:r>
              <w:rPr>
                <w:rFonts w:hint="eastAsia" w:ascii="宋体" w:hAnsi="宋体" w:cs="宋体"/>
                <w:color w:val="auto"/>
                <w:kern w:val="0"/>
                <w:highlight w:val="none"/>
              </w:rPr>
              <w:t>转运病人及时，并主动与护士交接，有记录，必要时协助病人过床；符合院感要求</w:t>
            </w:r>
          </w:p>
        </w:tc>
        <w:tc>
          <w:tcPr>
            <w:tcW w:w="3273" w:type="dxa"/>
            <w:tcBorders>
              <w:top w:val="single" w:color="auto" w:sz="4" w:space="0"/>
              <w:left w:val="nil"/>
              <w:bottom w:val="single" w:color="auto" w:sz="4" w:space="0"/>
              <w:right w:val="single" w:color="auto" w:sz="4" w:space="0"/>
            </w:tcBorders>
          </w:tcPr>
          <w:p w14:paraId="7ED2F0B6">
            <w:pPr>
              <w:spacing w:line="276" w:lineRule="auto"/>
              <w:rPr>
                <w:rFonts w:ascii="宋体" w:hAnsi="宋体" w:cs="宋体"/>
                <w:color w:val="auto"/>
                <w:kern w:val="0"/>
                <w:highlight w:val="none"/>
              </w:rPr>
            </w:pPr>
            <w:r>
              <w:rPr>
                <w:rFonts w:hint="eastAsia" w:ascii="宋体" w:hAnsi="宋体" w:cs="宋体"/>
                <w:color w:val="auto"/>
                <w:kern w:val="0"/>
                <w:highlight w:val="none"/>
              </w:rPr>
              <w:t>每违反一次，视情节轻重扣0.1—1分</w:t>
            </w:r>
          </w:p>
        </w:tc>
        <w:tc>
          <w:tcPr>
            <w:tcW w:w="1404" w:type="dxa"/>
            <w:tcBorders>
              <w:top w:val="single" w:color="auto" w:sz="4" w:space="0"/>
              <w:left w:val="nil"/>
              <w:bottom w:val="single" w:color="auto" w:sz="4" w:space="0"/>
              <w:right w:val="single" w:color="auto" w:sz="4" w:space="0"/>
            </w:tcBorders>
          </w:tcPr>
          <w:p w14:paraId="7D69848D">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540F20F7">
            <w:pPr>
              <w:adjustRightInd w:val="0"/>
              <w:spacing w:line="560" w:lineRule="exact"/>
              <w:rPr>
                <w:rFonts w:ascii="宋体" w:hAnsi="宋体"/>
                <w:color w:val="auto"/>
                <w:highlight w:val="none"/>
              </w:rPr>
            </w:pPr>
          </w:p>
        </w:tc>
      </w:tr>
      <w:tr w14:paraId="6180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818" w:type="dxa"/>
            <w:tcBorders>
              <w:top w:val="single" w:color="auto" w:sz="4" w:space="0"/>
              <w:left w:val="single" w:color="auto" w:sz="4" w:space="0"/>
              <w:bottom w:val="single" w:color="auto" w:sz="4" w:space="0"/>
              <w:right w:val="single" w:color="auto" w:sz="4" w:space="0"/>
            </w:tcBorders>
          </w:tcPr>
          <w:p w14:paraId="6C2F6B7C">
            <w:pPr>
              <w:spacing w:line="276" w:lineRule="auto"/>
              <w:rPr>
                <w:rFonts w:ascii="宋体" w:hAnsi="宋体" w:cs="宋体"/>
                <w:color w:val="auto"/>
                <w:kern w:val="0"/>
                <w:highlight w:val="none"/>
              </w:rPr>
            </w:pPr>
            <w:r>
              <w:rPr>
                <w:rFonts w:hint="eastAsia" w:ascii="宋体" w:hAnsi="宋体" w:cs="宋体"/>
                <w:color w:val="auto"/>
                <w:kern w:val="0"/>
                <w:highlight w:val="none"/>
              </w:rPr>
              <w:t>运送标本、资料、物品、药品等项目及时安全，无损坏、丢失，有交接记录；保持运送工具清洁，并按规范放置有序；符合院感要求</w:t>
            </w:r>
          </w:p>
        </w:tc>
        <w:tc>
          <w:tcPr>
            <w:tcW w:w="3273" w:type="dxa"/>
            <w:tcBorders>
              <w:top w:val="single" w:color="auto" w:sz="4" w:space="0"/>
              <w:left w:val="nil"/>
              <w:bottom w:val="single" w:color="auto" w:sz="4" w:space="0"/>
              <w:right w:val="single" w:color="auto" w:sz="4" w:space="0"/>
            </w:tcBorders>
          </w:tcPr>
          <w:p w14:paraId="723B77D8">
            <w:pPr>
              <w:spacing w:line="276" w:lineRule="auto"/>
              <w:rPr>
                <w:rFonts w:ascii="宋体" w:hAnsi="宋体" w:cs="宋体"/>
                <w:color w:val="auto"/>
                <w:kern w:val="0"/>
                <w:highlight w:val="none"/>
              </w:rPr>
            </w:pPr>
            <w:r>
              <w:rPr>
                <w:rFonts w:hint="eastAsia" w:ascii="宋体" w:hAnsi="宋体" w:cs="宋体"/>
                <w:color w:val="auto"/>
                <w:kern w:val="0"/>
                <w:highlight w:val="none"/>
              </w:rPr>
              <w:t>不及时、无记录、工具不清洁、未按规范放置，视情节轻重每次扣0.</w:t>
            </w:r>
            <w:r>
              <w:rPr>
                <w:rFonts w:ascii="宋体" w:hAnsi="宋体" w:cs="宋体"/>
                <w:color w:val="auto"/>
                <w:kern w:val="0"/>
                <w:highlight w:val="none"/>
              </w:rPr>
              <w:t>2</w:t>
            </w:r>
            <w:r>
              <w:rPr>
                <w:rFonts w:hint="eastAsia" w:ascii="宋体" w:hAnsi="宋体" w:cs="宋体"/>
                <w:color w:val="auto"/>
                <w:kern w:val="0"/>
                <w:highlight w:val="none"/>
              </w:rPr>
              <w:t>—1分；如有漏送、错送、损坏、丢失，视情节轻重扣</w:t>
            </w:r>
            <w:r>
              <w:rPr>
                <w:rFonts w:ascii="宋体" w:hAnsi="宋体" w:cs="宋体"/>
                <w:color w:val="auto"/>
                <w:kern w:val="0"/>
                <w:highlight w:val="none"/>
              </w:rPr>
              <w:t>2</w:t>
            </w: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分</w:t>
            </w:r>
          </w:p>
        </w:tc>
        <w:tc>
          <w:tcPr>
            <w:tcW w:w="1404" w:type="dxa"/>
            <w:tcBorders>
              <w:top w:val="single" w:color="auto" w:sz="4" w:space="0"/>
              <w:left w:val="nil"/>
              <w:bottom w:val="single" w:color="auto" w:sz="4" w:space="0"/>
              <w:right w:val="single" w:color="auto" w:sz="4" w:space="0"/>
            </w:tcBorders>
          </w:tcPr>
          <w:p w14:paraId="6E7186C9">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144CCDD3">
            <w:pPr>
              <w:adjustRightInd w:val="0"/>
              <w:spacing w:line="560" w:lineRule="exact"/>
              <w:rPr>
                <w:rFonts w:ascii="宋体" w:hAnsi="宋体"/>
                <w:color w:val="auto"/>
                <w:highlight w:val="none"/>
              </w:rPr>
            </w:pPr>
          </w:p>
        </w:tc>
      </w:tr>
      <w:tr w14:paraId="39BA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18" w:type="dxa"/>
            <w:tcBorders>
              <w:top w:val="single" w:color="auto" w:sz="4" w:space="0"/>
              <w:left w:val="single" w:color="auto" w:sz="4" w:space="0"/>
              <w:bottom w:val="single" w:color="auto" w:sz="4" w:space="0"/>
              <w:right w:val="single" w:color="auto" w:sz="4" w:space="0"/>
            </w:tcBorders>
          </w:tcPr>
          <w:p w14:paraId="2661F2A0">
            <w:pPr>
              <w:spacing w:line="276" w:lineRule="auto"/>
              <w:rPr>
                <w:rFonts w:ascii="宋体" w:hAnsi="宋体" w:cs="宋体"/>
                <w:color w:val="auto"/>
                <w:kern w:val="0"/>
                <w:highlight w:val="none"/>
              </w:rPr>
            </w:pPr>
            <w:r>
              <w:rPr>
                <w:rFonts w:hint="eastAsia" w:ascii="宋体" w:hAnsi="宋体" w:cs="宋体"/>
                <w:color w:val="auto"/>
                <w:kern w:val="0"/>
                <w:highlight w:val="none"/>
              </w:rPr>
              <w:t>不许在院内聚集闹事；不得私自变卖、分解医疗废物；不得向患者及家属提供虚假用药信息或推销任何产品；妥善保管病历；不泄露患者、逝者隐私。违反合同其他条款</w:t>
            </w:r>
          </w:p>
        </w:tc>
        <w:tc>
          <w:tcPr>
            <w:tcW w:w="3273" w:type="dxa"/>
            <w:tcBorders>
              <w:top w:val="single" w:color="auto" w:sz="4" w:space="0"/>
              <w:left w:val="nil"/>
              <w:bottom w:val="single" w:color="auto" w:sz="4" w:space="0"/>
              <w:right w:val="single" w:color="auto" w:sz="4" w:space="0"/>
            </w:tcBorders>
          </w:tcPr>
          <w:p w14:paraId="16A5B13B">
            <w:pPr>
              <w:spacing w:line="276" w:lineRule="auto"/>
              <w:rPr>
                <w:rFonts w:ascii="宋体" w:hAnsi="宋体" w:cs="宋体"/>
                <w:color w:val="auto"/>
                <w:kern w:val="0"/>
                <w:highlight w:val="none"/>
              </w:rPr>
            </w:pPr>
            <w:r>
              <w:rPr>
                <w:rFonts w:hint="eastAsia" w:ascii="宋体" w:hAnsi="宋体" w:cs="宋体"/>
                <w:color w:val="auto"/>
                <w:kern w:val="0"/>
                <w:highlight w:val="none"/>
              </w:rPr>
              <w:t>按合同相应条款处理</w:t>
            </w:r>
          </w:p>
        </w:tc>
        <w:tc>
          <w:tcPr>
            <w:tcW w:w="1404" w:type="dxa"/>
            <w:tcBorders>
              <w:top w:val="single" w:color="auto" w:sz="4" w:space="0"/>
              <w:left w:val="nil"/>
              <w:bottom w:val="single" w:color="auto" w:sz="4" w:space="0"/>
              <w:right w:val="single" w:color="auto" w:sz="4" w:space="0"/>
            </w:tcBorders>
          </w:tcPr>
          <w:p w14:paraId="6D8CD463">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4EBCBD65">
            <w:pPr>
              <w:adjustRightInd w:val="0"/>
              <w:spacing w:line="560" w:lineRule="exact"/>
              <w:rPr>
                <w:rFonts w:ascii="宋体" w:hAnsi="宋体"/>
                <w:color w:val="auto"/>
                <w:highlight w:val="none"/>
              </w:rPr>
            </w:pPr>
          </w:p>
        </w:tc>
      </w:tr>
      <w:tr w14:paraId="1324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3818" w:type="dxa"/>
            <w:tcBorders>
              <w:top w:val="single" w:color="auto" w:sz="4" w:space="0"/>
              <w:left w:val="single" w:color="auto" w:sz="4" w:space="0"/>
              <w:bottom w:val="single" w:color="auto" w:sz="4" w:space="0"/>
              <w:right w:val="single" w:color="auto" w:sz="4" w:space="0"/>
            </w:tcBorders>
          </w:tcPr>
          <w:p w14:paraId="48A6A17E">
            <w:pPr>
              <w:spacing w:line="276" w:lineRule="auto"/>
              <w:rPr>
                <w:rFonts w:ascii="宋体" w:hAnsi="宋体" w:cs="宋体"/>
                <w:color w:val="auto"/>
                <w:kern w:val="0"/>
                <w:highlight w:val="none"/>
              </w:rPr>
            </w:pPr>
            <w:r>
              <w:rPr>
                <w:rFonts w:hint="eastAsia" w:ascii="宋体" w:hAnsi="宋体" w:cs="宋体"/>
                <w:color w:val="auto"/>
                <w:kern w:val="0"/>
                <w:highlight w:val="none"/>
              </w:rPr>
              <w:t>爱护医院财物，注意节约水、电、气，不许在非允许范围内使用电炉、热得快等大功率电器及煮饭</w:t>
            </w:r>
          </w:p>
        </w:tc>
        <w:tc>
          <w:tcPr>
            <w:tcW w:w="3273" w:type="dxa"/>
            <w:tcBorders>
              <w:top w:val="single" w:color="auto" w:sz="4" w:space="0"/>
              <w:left w:val="nil"/>
              <w:bottom w:val="single" w:color="auto" w:sz="4" w:space="0"/>
              <w:right w:val="single" w:color="auto" w:sz="4" w:space="0"/>
            </w:tcBorders>
          </w:tcPr>
          <w:p w14:paraId="3B8E3278">
            <w:pPr>
              <w:spacing w:line="276" w:lineRule="auto"/>
              <w:rPr>
                <w:rFonts w:ascii="宋体" w:hAnsi="宋体" w:cs="宋体"/>
                <w:color w:val="auto"/>
                <w:kern w:val="0"/>
                <w:highlight w:val="none"/>
              </w:rPr>
            </w:pPr>
            <w:r>
              <w:rPr>
                <w:rFonts w:hint="eastAsia" w:ascii="宋体" w:hAnsi="宋体" w:cs="宋体"/>
                <w:color w:val="auto"/>
                <w:kern w:val="0"/>
                <w:highlight w:val="none"/>
              </w:rPr>
              <w:t>损坏按规定赔偿，发现使用违规电器，按合同条款处理</w:t>
            </w:r>
          </w:p>
        </w:tc>
        <w:tc>
          <w:tcPr>
            <w:tcW w:w="1404" w:type="dxa"/>
            <w:tcBorders>
              <w:top w:val="single" w:color="auto" w:sz="4" w:space="0"/>
              <w:left w:val="nil"/>
              <w:bottom w:val="single" w:color="auto" w:sz="4" w:space="0"/>
              <w:right w:val="single" w:color="auto" w:sz="4" w:space="0"/>
            </w:tcBorders>
          </w:tcPr>
          <w:p w14:paraId="5932FB4F">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13DFFE1D">
            <w:pPr>
              <w:adjustRightInd w:val="0"/>
              <w:spacing w:line="560" w:lineRule="exact"/>
              <w:rPr>
                <w:rFonts w:ascii="宋体" w:hAnsi="宋体"/>
                <w:color w:val="auto"/>
                <w:highlight w:val="none"/>
              </w:rPr>
            </w:pPr>
          </w:p>
        </w:tc>
      </w:tr>
      <w:tr w14:paraId="4614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818" w:type="dxa"/>
            <w:tcBorders>
              <w:top w:val="single" w:color="auto" w:sz="4" w:space="0"/>
              <w:left w:val="single" w:color="auto" w:sz="4" w:space="0"/>
              <w:bottom w:val="single" w:color="auto" w:sz="4" w:space="0"/>
              <w:right w:val="single" w:color="auto" w:sz="4" w:space="0"/>
            </w:tcBorders>
          </w:tcPr>
          <w:p w14:paraId="72D2B59D">
            <w:pPr>
              <w:spacing w:line="276" w:lineRule="auto"/>
              <w:rPr>
                <w:rFonts w:ascii="宋体" w:hAnsi="宋体" w:cs="宋体"/>
                <w:color w:val="auto"/>
                <w:kern w:val="0"/>
                <w:highlight w:val="none"/>
              </w:rPr>
            </w:pPr>
            <w:r>
              <w:rPr>
                <w:rFonts w:hint="eastAsia" w:ascii="宋体" w:hAnsi="宋体" w:cs="宋体"/>
                <w:color w:val="auto"/>
                <w:kern w:val="0"/>
                <w:highlight w:val="none"/>
              </w:rPr>
              <w:t>无有效投诉、无纠纷；满意度调查达到90%，并逐季（年）递增。</w:t>
            </w:r>
          </w:p>
        </w:tc>
        <w:tc>
          <w:tcPr>
            <w:tcW w:w="3273" w:type="dxa"/>
            <w:tcBorders>
              <w:top w:val="single" w:color="auto" w:sz="4" w:space="0"/>
              <w:left w:val="nil"/>
              <w:bottom w:val="single" w:color="auto" w:sz="4" w:space="0"/>
              <w:right w:val="single" w:color="auto" w:sz="4" w:space="0"/>
            </w:tcBorders>
          </w:tcPr>
          <w:p w14:paraId="188E3C07">
            <w:pPr>
              <w:spacing w:line="276" w:lineRule="auto"/>
              <w:rPr>
                <w:rFonts w:ascii="宋体" w:hAnsi="宋体" w:cs="宋体"/>
                <w:color w:val="auto"/>
                <w:kern w:val="0"/>
                <w:highlight w:val="none"/>
              </w:rPr>
            </w:pPr>
            <w:r>
              <w:rPr>
                <w:rFonts w:hint="eastAsia" w:ascii="宋体" w:hAnsi="宋体" w:cs="宋体"/>
                <w:color w:val="auto"/>
                <w:kern w:val="0"/>
                <w:highlight w:val="none"/>
              </w:rPr>
              <w:t>有效投诉、纠纷扣2分/次；满意度未达90%时每少1个百分点扣2分；较上季度、去年同期每下降1个百分点扣2分（已≥98%时不扣分）</w:t>
            </w:r>
          </w:p>
        </w:tc>
        <w:tc>
          <w:tcPr>
            <w:tcW w:w="1404" w:type="dxa"/>
            <w:tcBorders>
              <w:top w:val="single" w:color="auto" w:sz="4" w:space="0"/>
              <w:left w:val="nil"/>
              <w:bottom w:val="single" w:color="auto" w:sz="4" w:space="0"/>
              <w:right w:val="single" w:color="auto" w:sz="4" w:space="0"/>
            </w:tcBorders>
          </w:tcPr>
          <w:p w14:paraId="23A192EA">
            <w:pPr>
              <w:adjustRightInd w:val="0"/>
              <w:spacing w:line="560" w:lineRule="exact"/>
              <w:rPr>
                <w:rFonts w:ascii="宋体" w:hAnsi="宋体"/>
                <w:color w:val="auto"/>
                <w:highlight w:val="none"/>
              </w:rPr>
            </w:pPr>
          </w:p>
        </w:tc>
        <w:tc>
          <w:tcPr>
            <w:tcW w:w="873" w:type="dxa"/>
            <w:tcBorders>
              <w:top w:val="single" w:color="auto" w:sz="4" w:space="0"/>
              <w:left w:val="nil"/>
              <w:bottom w:val="single" w:color="auto" w:sz="4" w:space="0"/>
              <w:right w:val="single" w:color="auto" w:sz="4" w:space="0"/>
            </w:tcBorders>
          </w:tcPr>
          <w:p w14:paraId="088DE198">
            <w:pPr>
              <w:adjustRightInd w:val="0"/>
              <w:spacing w:line="560" w:lineRule="exact"/>
              <w:rPr>
                <w:rFonts w:ascii="宋体" w:hAnsi="宋体"/>
                <w:color w:val="auto"/>
                <w:highlight w:val="none"/>
              </w:rPr>
            </w:pPr>
          </w:p>
        </w:tc>
      </w:tr>
    </w:tbl>
    <w:p w14:paraId="1144B25B">
      <w:pPr>
        <w:spacing w:line="560" w:lineRule="exact"/>
        <w:rPr>
          <w:rFonts w:ascii="宋体" w:hAnsi="宋体" w:cs="宋体"/>
          <w:color w:val="auto"/>
          <w:kern w:val="0"/>
          <w:highlight w:val="none"/>
        </w:rPr>
      </w:pPr>
      <w:r>
        <w:rPr>
          <w:rFonts w:hint="eastAsia" w:ascii="宋体" w:hAnsi="宋体" w:cs="宋体"/>
          <w:color w:val="auto"/>
          <w:kern w:val="0"/>
          <w:highlight w:val="none"/>
        </w:rPr>
        <w:t>备注：各单项扣分不封顶，所有检查考核扣分累加，计入当月服务质量考核。</w:t>
      </w:r>
    </w:p>
    <w:p w14:paraId="137B07BB">
      <w:pPr>
        <w:spacing w:line="560" w:lineRule="exact"/>
        <w:ind w:firstLine="281" w:firstLineChars="100"/>
        <w:rPr>
          <w:rFonts w:ascii="宋体" w:hAnsi="宋体"/>
          <w:b/>
          <w:color w:val="auto"/>
          <w:sz w:val="28"/>
          <w:szCs w:val="28"/>
          <w:highlight w:val="none"/>
        </w:rPr>
      </w:pPr>
    </w:p>
    <w:p w14:paraId="71E44D06">
      <w:pPr>
        <w:spacing w:line="560" w:lineRule="exact"/>
        <w:ind w:firstLine="281" w:firstLineChars="100"/>
        <w:rPr>
          <w:rFonts w:ascii="宋体" w:hAnsi="宋体"/>
          <w:b/>
          <w:color w:val="auto"/>
          <w:sz w:val="28"/>
          <w:szCs w:val="28"/>
          <w:highlight w:val="none"/>
        </w:rPr>
      </w:pPr>
      <w:r>
        <w:rPr>
          <w:rFonts w:ascii="宋体" w:hAnsi="宋体"/>
          <w:b/>
          <w:color w:val="auto"/>
          <w:sz w:val="28"/>
          <w:szCs w:val="28"/>
          <w:highlight w:val="none"/>
        </w:rPr>
        <w:t xml:space="preserve"> </w:t>
      </w:r>
    </w:p>
    <w:p w14:paraId="5E6BD2F1">
      <w:pPr>
        <w:spacing w:line="560" w:lineRule="exact"/>
        <w:ind w:firstLine="281" w:firstLineChars="100"/>
        <w:rPr>
          <w:rFonts w:ascii="宋体" w:hAnsi="宋体"/>
          <w:b/>
          <w:color w:val="auto"/>
          <w:sz w:val="28"/>
          <w:szCs w:val="28"/>
          <w:highlight w:val="none"/>
        </w:rPr>
      </w:pPr>
    </w:p>
    <w:p w14:paraId="698859D0">
      <w:pPr>
        <w:spacing w:line="560" w:lineRule="exact"/>
        <w:rPr>
          <w:rFonts w:ascii="宋体" w:hAnsi="宋体"/>
          <w:b/>
          <w:color w:val="auto"/>
          <w:sz w:val="28"/>
          <w:szCs w:val="28"/>
          <w:highlight w:val="none"/>
        </w:rPr>
      </w:pPr>
      <w:r>
        <w:rPr>
          <w:rFonts w:hint="eastAsia" w:ascii="宋体" w:hAnsi="宋体"/>
          <w:b/>
          <w:color w:val="auto"/>
          <w:sz w:val="28"/>
          <w:szCs w:val="28"/>
          <w:highlight w:val="none"/>
        </w:rPr>
        <w:t xml:space="preserve">附表三 </w:t>
      </w:r>
      <w:r>
        <w:rPr>
          <w:rFonts w:ascii="宋体" w:hAnsi="宋体"/>
          <w:b/>
          <w:color w:val="auto"/>
          <w:sz w:val="28"/>
          <w:szCs w:val="28"/>
          <w:highlight w:val="none"/>
        </w:rPr>
        <w:t xml:space="preserve">          </w:t>
      </w:r>
    </w:p>
    <w:p w14:paraId="2EEA80D7">
      <w:pPr>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科室对内勤/护工服务质量考核表</w:t>
      </w:r>
    </w:p>
    <w:p w14:paraId="755D90BE">
      <w:pPr>
        <w:spacing w:line="560" w:lineRule="exact"/>
        <w:ind w:firstLine="210" w:firstLineChars="100"/>
        <w:rPr>
          <w:rFonts w:ascii="宋体" w:hAnsi="宋体"/>
          <w:b/>
          <w:color w:val="auto"/>
          <w:sz w:val="28"/>
          <w:szCs w:val="28"/>
          <w:highlight w:val="none"/>
        </w:rPr>
      </w:pPr>
      <w:r>
        <w:rPr>
          <w:rFonts w:hint="eastAsia" w:ascii="宋体" w:hAnsi="宋体" w:cs="宋体"/>
          <w:color w:val="auto"/>
          <w:highlight w:val="none"/>
        </w:rPr>
        <w:t xml:space="preserve">日期：           内勤/护工姓名： </w:t>
      </w:r>
      <w:r>
        <w:rPr>
          <w:rFonts w:ascii="宋体" w:hAnsi="宋体" w:cs="宋体"/>
          <w:color w:val="auto"/>
          <w:highlight w:val="none"/>
        </w:rPr>
        <w:t xml:space="preserve">                </w:t>
      </w:r>
      <w:r>
        <w:rPr>
          <w:rFonts w:hint="eastAsia" w:ascii="宋体" w:hAnsi="宋体" w:cs="宋体"/>
          <w:color w:val="auto"/>
          <w:highlight w:val="none"/>
        </w:rPr>
        <w:t xml:space="preserve">科室：        </w:t>
      </w:r>
      <w:r>
        <w:rPr>
          <w:rFonts w:ascii="宋体" w:hAnsi="宋体" w:cs="宋体"/>
          <w:color w:val="auto"/>
          <w:highlight w:val="none"/>
        </w:rPr>
        <w:t xml:space="preserve"> </w:t>
      </w:r>
      <w:r>
        <w:rPr>
          <w:rFonts w:hint="eastAsia" w:ascii="宋体" w:hAnsi="宋体" w:cs="宋体"/>
          <w:color w:val="auto"/>
          <w:highlight w:val="none"/>
        </w:rPr>
        <w:t xml:space="preserve">         考核者：</w:t>
      </w:r>
    </w:p>
    <w:tbl>
      <w:tblPr>
        <w:tblStyle w:val="48"/>
        <w:tblW w:w="9382"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9"/>
        <w:gridCol w:w="3109"/>
        <w:gridCol w:w="1582"/>
        <w:gridCol w:w="832"/>
      </w:tblGrid>
      <w:tr w14:paraId="60DA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859" w:type="dxa"/>
            <w:tcBorders>
              <w:top w:val="single" w:color="auto" w:sz="4" w:space="0"/>
              <w:left w:val="single" w:color="auto" w:sz="4" w:space="0"/>
              <w:bottom w:val="single" w:color="auto" w:sz="4" w:space="0"/>
              <w:right w:val="single" w:color="auto" w:sz="4" w:space="0"/>
            </w:tcBorders>
            <w:vAlign w:val="center"/>
          </w:tcPr>
          <w:p w14:paraId="2186C4A8">
            <w:pPr>
              <w:spacing w:line="560" w:lineRule="exact"/>
              <w:jc w:val="center"/>
              <w:rPr>
                <w:rFonts w:ascii="宋体" w:hAnsi="宋体"/>
                <w:b/>
                <w:color w:val="auto"/>
                <w:highlight w:val="none"/>
              </w:rPr>
            </w:pPr>
            <w:r>
              <w:rPr>
                <w:rFonts w:hint="eastAsia" w:ascii="宋体" w:hAnsi="宋体"/>
                <w:b/>
                <w:color w:val="auto"/>
                <w:highlight w:val="none"/>
              </w:rPr>
              <w:t>考核项目</w:t>
            </w:r>
          </w:p>
        </w:tc>
        <w:tc>
          <w:tcPr>
            <w:tcW w:w="3109" w:type="dxa"/>
            <w:tcBorders>
              <w:top w:val="single" w:color="auto" w:sz="4" w:space="0"/>
              <w:left w:val="nil"/>
              <w:bottom w:val="single" w:color="auto" w:sz="4" w:space="0"/>
              <w:right w:val="single" w:color="auto" w:sz="4" w:space="0"/>
            </w:tcBorders>
            <w:vAlign w:val="center"/>
          </w:tcPr>
          <w:p w14:paraId="4A332FC8">
            <w:pPr>
              <w:spacing w:line="560" w:lineRule="exact"/>
              <w:jc w:val="center"/>
              <w:rPr>
                <w:rFonts w:ascii="宋体" w:hAnsi="宋体"/>
                <w:b/>
                <w:color w:val="auto"/>
                <w:highlight w:val="none"/>
              </w:rPr>
            </w:pPr>
            <w:r>
              <w:rPr>
                <w:rFonts w:hint="eastAsia" w:ascii="宋体" w:hAnsi="宋体"/>
                <w:b/>
                <w:color w:val="auto"/>
                <w:highlight w:val="none"/>
              </w:rPr>
              <w:t>检查考核标准</w:t>
            </w:r>
          </w:p>
        </w:tc>
        <w:tc>
          <w:tcPr>
            <w:tcW w:w="1582" w:type="dxa"/>
            <w:tcBorders>
              <w:top w:val="single" w:color="auto" w:sz="4" w:space="0"/>
              <w:left w:val="nil"/>
              <w:bottom w:val="single" w:color="auto" w:sz="4" w:space="0"/>
              <w:right w:val="single" w:color="auto" w:sz="4" w:space="0"/>
            </w:tcBorders>
          </w:tcPr>
          <w:p w14:paraId="28BCE1D3">
            <w:pPr>
              <w:spacing w:line="560" w:lineRule="exact"/>
              <w:jc w:val="center"/>
              <w:rPr>
                <w:rFonts w:ascii="宋体" w:hAnsi="宋体"/>
                <w:b/>
                <w:color w:val="auto"/>
                <w:highlight w:val="none"/>
              </w:rPr>
            </w:pPr>
            <w:r>
              <w:rPr>
                <w:rFonts w:hint="eastAsia" w:ascii="宋体" w:hAnsi="宋体"/>
                <w:b/>
                <w:color w:val="auto"/>
                <w:highlight w:val="none"/>
              </w:rPr>
              <w:t>扣分说明</w:t>
            </w:r>
          </w:p>
        </w:tc>
        <w:tc>
          <w:tcPr>
            <w:tcW w:w="832" w:type="dxa"/>
            <w:tcBorders>
              <w:top w:val="single" w:color="auto" w:sz="4" w:space="0"/>
              <w:left w:val="nil"/>
              <w:bottom w:val="single" w:color="auto" w:sz="4" w:space="0"/>
              <w:right w:val="single" w:color="auto" w:sz="4" w:space="0"/>
            </w:tcBorders>
          </w:tcPr>
          <w:p w14:paraId="71303125">
            <w:pPr>
              <w:spacing w:line="560" w:lineRule="exact"/>
              <w:jc w:val="center"/>
              <w:rPr>
                <w:rFonts w:ascii="宋体" w:hAnsi="宋体"/>
                <w:b/>
                <w:color w:val="auto"/>
                <w:highlight w:val="none"/>
              </w:rPr>
            </w:pPr>
            <w:r>
              <w:rPr>
                <w:rFonts w:hint="eastAsia" w:ascii="宋体" w:hAnsi="宋体"/>
                <w:b/>
                <w:color w:val="auto"/>
                <w:highlight w:val="none"/>
              </w:rPr>
              <w:t>扣分</w:t>
            </w:r>
          </w:p>
        </w:tc>
      </w:tr>
      <w:tr w14:paraId="34C3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859" w:type="dxa"/>
            <w:tcBorders>
              <w:top w:val="single" w:color="auto" w:sz="4" w:space="0"/>
              <w:left w:val="single" w:color="auto" w:sz="4" w:space="0"/>
              <w:bottom w:val="single" w:color="auto" w:sz="4" w:space="0"/>
              <w:right w:val="single" w:color="auto" w:sz="4" w:space="0"/>
            </w:tcBorders>
            <w:vAlign w:val="center"/>
          </w:tcPr>
          <w:p w14:paraId="2F3A9525">
            <w:pPr>
              <w:spacing w:line="276" w:lineRule="auto"/>
              <w:rPr>
                <w:rFonts w:ascii="宋体" w:hAnsi="宋体"/>
                <w:b/>
                <w:color w:val="auto"/>
                <w:highlight w:val="none"/>
              </w:rPr>
            </w:pPr>
            <w:r>
              <w:rPr>
                <w:rFonts w:hint="eastAsia" w:ascii="宋体" w:hAnsi="宋体" w:cs="宋体"/>
                <w:color w:val="auto"/>
                <w:kern w:val="0"/>
                <w:highlight w:val="none"/>
              </w:rPr>
              <w:t>遵守劳动纪律，不迟到、早退，不串岗、脱岗；不玩手机及听音乐；不干私活（包括捡纸皮、收破烂、租陪人床等），不闲聊等（</w:t>
            </w:r>
            <w:r>
              <w:rPr>
                <w:rFonts w:ascii="宋体" w:hAnsi="宋体" w:cs="宋体"/>
                <w:color w:val="auto"/>
                <w:kern w:val="0"/>
                <w:highlight w:val="none"/>
              </w:rPr>
              <w:t>10</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vAlign w:val="center"/>
          </w:tcPr>
          <w:p w14:paraId="75788B4C">
            <w:pPr>
              <w:spacing w:line="276" w:lineRule="auto"/>
              <w:rPr>
                <w:rFonts w:ascii="宋体" w:hAnsi="宋体"/>
                <w:b/>
                <w:color w:val="auto"/>
                <w:highlight w:val="none"/>
              </w:rPr>
            </w:pPr>
            <w:r>
              <w:rPr>
                <w:rFonts w:hint="eastAsia" w:ascii="宋体" w:hAnsi="宋体" w:cs="宋体"/>
                <w:color w:val="auto"/>
                <w:spacing w:val="-11"/>
                <w:kern w:val="0"/>
                <w:highlight w:val="none"/>
              </w:rPr>
              <w:t>每违反</w:t>
            </w:r>
            <w:r>
              <w:rPr>
                <w:rFonts w:hint="eastAsia" w:ascii="宋体" w:hAnsi="宋体"/>
                <w:color w:val="auto"/>
                <w:highlight w:val="none"/>
              </w:rPr>
              <w:t>1次视情节轻重扣</w:t>
            </w:r>
            <w:r>
              <w:rPr>
                <w:rFonts w:ascii="宋体" w:hAnsi="宋体"/>
                <w:color w:val="auto"/>
                <w:highlight w:val="none"/>
              </w:rPr>
              <w:t>0.5</w:t>
            </w: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分</w:t>
            </w:r>
          </w:p>
        </w:tc>
        <w:tc>
          <w:tcPr>
            <w:tcW w:w="1582" w:type="dxa"/>
            <w:tcBorders>
              <w:top w:val="single" w:color="auto" w:sz="4" w:space="0"/>
              <w:left w:val="nil"/>
              <w:bottom w:val="single" w:color="auto" w:sz="4" w:space="0"/>
              <w:right w:val="single" w:color="auto" w:sz="4" w:space="0"/>
            </w:tcBorders>
          </w:tcPr>
          <w:p w14:paraId="2C84E12A">
            <w:pPr>
              <w:spacing w:line="560" w:lineRule="exact"/>
              <w:rPr>
                <w:rFonts w:ascii="宋体" w:hAnsi="宋体"/>
                <w:b/>
                <w:color w:val="auto"/>
                <w:highlight w:val="none"/>
              </w:rPr>
            </w:pPr>
          </w:p>
        </w:tc>
        <w:tc>
          <w:tcPr>
            <w:tcW w:w="832" w:type="dxa"/>
            <w:tcBorders>
              <w:top w:val="single" w:color="auto" w:sz="4" w:space="0"/>
              <w:left w:val="nil"/>
              <w:bottom w:val="single" w:color="auto" w:sz="4" w:space="0"/>
              <w:right w:val="single" w:color="auto" w:sz="4" w:space="0"/>
            </w:tcBorders>
            <w:vAlign w:val="center"/>
          </w:tcPr>
          <w:p w14:paraId="00BEDA29">
            <w:pPr>
              <w:spacing w:line="560" w:lineRule="exact"/>
              <w:rPr>
                <w:rFonts w:ascii="宋体" w:hAnsi="宋体"/>
                <w:b/>
                <w:color w:val="auto"/>
                <w:highlight w:val="none"/>
              </w:rPr>
            </w:pPr>
          </w:p>
        </w:tc>
      </w:tr>
      <w:tr w14:paraId="45AF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3859" w:type="dxa"/>
            <w:tcBorders>
              <w:top w:val="single" w:color="auto" w:sz="4" w:space="0"/>
              <w:left w:val="single" w:color="auto" w:sz="4" w:space="0"/>
              <w:bottom w:val="single" w:color="auto" w:sz="4" w:space="0"/>
              <w:right w:val="single" w:color="auto" w:sz="4" w:space="0"/>
            </w:tcBorders>
          </w:tcPr>
          <w:p w14:paraId="5D1FAF18">
            <w:pPr>
              <w:spacing w:line="276" w:lineRule="auto"/>
              <w:rPr>
                <w:rFonts w:ascii="宋体" w:hAnsi="宋体" w:cs="宋体"/>
                <w:color w:val="auto"/>
                <w:kern w:val="0"/>
                <w:highlight w:val="none"/>
              </w:rPr>
            </w:pPr>
            <w:r>
              <w:rPr>
                <w:rFonts w:hint="eastAsia" w:ascii="宋体" w:hAnsi="宋体" w:cs="宋体"/>
                <w:color w:val="auto"/>
                <w:kern w:val="0"/>
                <w:highlight w:val="none"/>
              </w:rPr>
              <w:t>统一着装，着装整洁，个人防护符合要求，佩戴统一的发网，不穿工作服到院外，挂牌服务，礼貌待人，服务主动热情，使用文明用语，不与医护人员及病人发生争执（1</w:t>
            </w:r>
            <w:r>
              <w:rPr>
                <w:rFonts w:ascii="宋体" w:hAnsi="宋体" w:cs="宋体"/>
                <w:color w:val="auto"/>
                <w:kern w:val="0"/>
                <w:highlight w:val="none"/>
              </w:rPr>
              <w:t>0</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238D0419">
            <w:pPr>
              <w:spacing w:line="276" w:lineRule="auto"/>
              <w:rPr>
                <w:rFonts w:ascii="宋体" w:hAnsi="宋体" w:cs="宋体"/>
                <w:color w:val="auto"/>
                <w:kern w:val="0"/>
                <w:highlight w:val="none"/>
              </w:rPr>
            </w:pPr>
            <w:r>
              <w:rPr>
                <w:rFonts w:hint="eastAsia" w:ascii="宋体" w:hAnsi="宋体" w:cs="宋体"/>
                <w:color w:val="auto"/>
                <w:kern w:val="0"/>
                <w:highlight w:val="none"/>
              </w:rPr>
              <w:t>穿工作服到院外每次扣</w:t>
            </w:r>
            <w:r>
              <w:rPr>
                <w:rFonts w:ascii="宋体" w:hAnsi="宋体" w:cs="宋体"/>
                <w:color w:val="auto"/>
                <w:kern w:val="0"/>
                <w:highlight w:val="none"/>
              </w:rPr>
              <w:t>1</w:t>
            </w:r>
            <w:r>
              <w:rPr>
                <w:rFonts w:hint="eastAsia" w:ascii="宋体" w:hAnsi="宋体" w:cs="宋体"/>
                <w:color w:val="auto"/>
                <w:kern w:val="0"/>
                <w:highlight w:val="none"/>
              </w:rPr>
              <w:t>分；与医护人员、病人、家属发生争执视情节每次扣1—</w:t>
            </w:r>
            <w:r>
              <w:rPr>
                <w:rFonts w:ascii="宋体" w:hAnsi="宋体" w:cs="宋体"/>
                <w:color w:val="auto"/>
                <w:kern w:val="0"/>
                <w:highlight w:val="none"/>
              </w:rPr>
              <w:t>5</w:t>
            </w:r>
            <w:r>
              <w:rPr>
                <w:rFonts w:hint="eastAsia" w:ascii="宋体" w:hAnsi="宋体" w:cs="宋体"/>
                <w:color w:val="auto"/>
                <w:kern w:val="0"/>
                <w:highlight w:val="none"/>
              </w:rPr>
              <w:t>分；其他未做到视情节每次扣0.</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分</w:t>
            </w:r>
          </w:p>
        </w:tc>
        <w:tc>
          <w:tcPr>
            <w:tcW w:w="1582" w:type="dxa"/>
            <w:tcBorders>
              <w:top w:val="single" w:color="auto" w:sz="4" w:space="0"/>
              <w:left w:val="nil"/>
              <w:bottom w:val="single" w:color="auto" w:sz="4" w:space="0"/>
              <w:right w:val="single" w:color="auto" w:sz="4" w:space="0"/>
            </w:tcBorders>
          </w:tcPr>
          <w:p w14:paraId="73E3031A">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66FAFC59">
            <w:pPr>
              <w:adjustRightInd w:val="0"/>
              <w:spacing w:line="560" w:lineRule="exact"/>
              <w:rPr>
                <w:rFonts w:ascii="宋体" w:hAnsi="宋体"/>
                <w:color w:val="auto"/>
                <w:highlight w:val="none"/>
              </w:rPr>
            </w:pPr>
          </w:p>
        </w:tc>
      </w:tr>
      <w:tr w14:paraId="1160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3859" w:type="dxa"/>
            <w:tcBorders>
              <w:top w:val="single" w:color="auto" w:sz="4" w:space="0"/>
              <w:left w:val="single" w:color="auto" w:sz="4" w:space="0"/>
              <w:bottom w:val="single" w:color="auto" w:sz="4" w:space="0"/>
              <w:right w:val="single" w:color="auto" w:sz="4" w:space="0"/>
            </w:tcBorders>
          </w:tcPr>
          <w:p w14:paraId="022EB186">
            <w:pPr>
              <w:spacing w:line="276" w:lineRule="auto"/>
              <w:rPr>
                <w:rFonts w:ascii="宋体" w:hAnsi="宋体" w:cs="宋体"/>
                <w:color w:val="auto"/>
                <w:kern w:val="0"/>
                <w:highlight w:val="none"/>
              </w:rPr>
            </w:pPr>
            <w:r>
              <w:rPr>
                <w:rFonts w:hint="eastAsia" w:ascii="宋体" w:hAnsi="宋体" w:cs="宋体"/>
                <w:color w:val="auto"/>
                <w:kern w:val="0"/>
                <w:highlight w:val="none"/>
              </w:rPr>
              <w:t>员工严格遵守法律法规、相关规章制度、操作规程、工作职责及流程等，并按要求落实（</w:t>
            </w:r>
            <w:r>
              <w:rPr>
                <w:rFonts w:ascii="宋体" w:hAnsi="宋体" w:cs="宋体"/>
                <w:color w:val="auto"/>
                <w:kern w:val="0"/>
                <w:highlight w:val="none"/>
              </w:rPr>
              <w:t>20</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545D03EC">
            <w:pPr>
              <w:spacing w:line="276" w:lineRule="auto"/>
              <w:rPr>
                <w:rFonts w:ascii="宋体" w:hAnsi="宋体" w:cs="宋体"/>
                <w:color w:val="auto"/>
                <w:kern w:val="0"/>
                <w:highlight w:val="none"/>
              </w:rPr>
            </w:pPr>
            <w:r>
              <w:rPr>
                <w:rFonts w:hint="eastAsia" w:ascii="宋体" w:hAnsi="宋体" w:cs="宋体"/>
                <w:color w:val="auto"/>
                <w:kern w:val="0"/>
                <w:highlight w:val="none"/>
              </w:rPr>
              <w:t>不按流程、要求工作，视情节轻重扣1～4分/次；工作完成不及时、不到位等，视情节轻重扣0.</w:t>
            </w:r>
            <w:r>
              <w:rPr>
                <w:rFonts w:ascii="宋体" w:hAnsi="宋体" w:cs="宋体"/>
                <w:color w:val="auto"/>
                <w:kern w:val="0"/>
                <w:highlight w:val="none"/>
              </w:rPr>
              <w:t>5</w:t>
            </w:r>
            <w:r>
              <w:rPr>
                <w:rFonts w:hint="eastAsia" w:ascii="宋体" w:hAnsi="宋体" w:cs="宋体"/>
                <w:color w:val="auto"/>
                <w:kern w:val="0"/>
                <w:highlight w:val="none"/>
              </w:rPr>
              <w:t>～1分；给医院造成不良影响，视情节轻重扣10～20分；其他情况违反，视情节轻重扣</w:t>
            </w:r>
            <w:r>
              <w:rPr>
                <w:rFonts w:ascii="宋体" w:hAnsi="宋体" w:cs="宋体"/>
                <w:color w:val="auto"/>
                <w:kern w:val="0"/>
                <w:highlight w:val="none"/>
              </w:rPr>
              <w:t>1</w:t>
            </w:r>
            <w:r>
              <w:rPr>
                <w:rFonts w:hint="eastAsia" w:ascii="宋体" w:hAnsi="宋体" w:cs="宋体"/>
                <w:color w:val="auto"/>
                <w:kern w:val="0"/>
                <w:highlight w:val="none"/>
              </w:rPr>
              <w:t>～</w:t>
            </w:r>
            <w:r>
              <w:rPr>
                <w:rFonts w:ascii="宋体" w:hAnsi="宋体" w:cs="宋体"/>
                <w:color w:val="auto"/>
                <w:kern w:val="0"/>
                <w:highlight w:val="none"/>
              </w:rPr>
              <w:t>4</w:t>
            </w:r>
            <w:r>
              <w:rPr>
                <w:rFonts w:hint="eastAsia" w:ascii="宋体" w:hAnsi="宋体" w:cs="宋体"/>
                <w:color w:val="auto"/>
                <w:kern w:val="0"/>
                <w:highlight w:val="none"/>
              </w:rPr>
              <w:t>分/次</w:t>
            </w:r>
          </w:p>
        </w:tc>
        <w:tc>
          <w:tcPr>
            <w:tcW w:w="1582" w:type="dxa"/>
            <w:tcBorders>
              <w:top w:val="single" w:color="auto" w:sz="4" w:space="0"/>
              <w:left w:val="nil"/>
              <w:bottom w:val="single" w:color="auto" w:sz="4" w:space="0"/>
              <w:right w:val="single" w:color="auto" w:sz="4" w:space="0"/>
            </w:tcBorders>
          </w:tcPr>
          <w:p w14:paraId="0F6C4EF4">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491DA56E">
            <w:pPr>
              <w:adjustRightInd w:val="0"/>
              <w:spacing w:line="560" w:lineRule="exact"/>
              <w:rPr>
                <w:rFonts w:ascii="宋体" w:hAnsi="宋体"/>
                <w:color w:val="auto"/>
                <w:highlight w:val="none"/>
              </w:rPr>
            </w:pPr>
          </w:p>
        </w:tc>
      </w:tr>
      <w:tr w14:paraId="6FC2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3859" w:type="dxa"/>
            <w:tcBorders>
              <w:top w:val="single" w:color="auto" w:sz="4" w:space="0"/>
              <w:left w:val="single" w:color="auto" w:sz="4" w:space="0"/>
              <w:bottom w:val="single" w:color="auto" w:sz="4" w:space="0"/>
              <w:right w:val="single" w:color="auto" w:sz="4" w:space="0"/>
            </w:tcBorders>
          </w:tcPr>
          <w:p w14:paraId="36C529EB">
            <w:pPr>
              <w:spacing w:line="276" w:lineRule="auto"/>
              <w:rPr>
                <w:rFonts w:ascii="宋体" w:hAnsi="宋体" w:cs="宋体"/>
                <w:color w:val="auto"/>
                <w:kern w:val="0"/>
                <w:highlight w:val="none"/>
              </w:rPr>
            </w:pPr>
            <w:r>
              <w:rPr>
                <w:rFonts w:hint="eastAsia" w:ascii="宋体" w:hAnsi="宋体" w:cs="宋体"/>
                <w:color w:val="auto"/>
                <w:kern w:val="0"/>
                <w:highlight w:val="none"/>
              </w:rPr>
              <w:t>遇突发事件或各种检查，积极配合科室做好突击工作，工作电话保持畅通；各级各类部门检查符合要求（</w:t>
            </w:r>
            <w:r>
              <w:rPr>
                <w:rFonts w:ascii="宋体" w:hAnsi="宋体" w:cs="宋体"/>
                <w:color w:val="auto"/>
                <w:kern w:val="0"/>
                <w:highlight w:val="none"/>
              </w:rPr>
              <w:t>15</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44E5FCCE">
            <w:pPr>
              <w:spacing w:line="276" w:lineRule="auto"/>
              <w:rPr>
                <w:rFonts w:ascii="宋体" w:hAnsi="宋体" w:cs="宋体"/>
                <w:color w:val="auto"/>
                <w:kern w:val="0"/>
                <w:highlight w:val="none"/>
              </w:rPr>
            </w:pPr>
            <w:r>
              <w:rPr>
                <w:rFonts w:hint="eastAsia" w:ascii="宋体" w:hAnsi="宋体" w:cs="宋体"/>
                <w:color w:val="auto"/>
                <w:kern w:val="0"/>
                <w:highlight w:val="none"/>
              </w:rPr>
              <w:t>电话不畅通，视情节扣1～3分/次；接受检查时不符合要求，院内其他部门检查扣2分/次，院级检查视情节扣</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分/次；院外检查视情节扣</w:t>
            </w:r>
            <w:r>
              <w:rPr>
                <w:rFonts w:ascii="宋体" w:hAnsi="宋体" w:cs="宋体"/>
                <w:color w:val="auto"/>
                <w:kern w:val="0"/>
                <w:highlight w:val="none"/>
              </w:rPr>
              <w:t>6</w:t>
            </w:r>
            <w:r>
              <w:rPr>
                <w:rFonts w:hint="eastAsia" w:ascii="宋体" w:hAnsi="宋体" w:cs="宋体"/>
                <w:color w:val="auto"/>
                <w:kern w:val="0"/>
                <w:highlight w:val="none"/>
              </w:rPr>
              <w:t>～</w:t>
            </w:r>
            <w:r>
              <w:rPr>
                <w:rFonts w:ascii="宋体" w:hAnsi="宋体" w:cs="宋体"/>
                <w:color w:val="auto"/>
                <w:kern w:val="0"/>
                <w:highlight w:val="none"/>
              </w:rPr>
              <w:t>15</w:t>
            </w:r>
            <w:r>
              <w:rPr>
                <w:rFonts w:hint="eastAsia" w:ascii="宋体" w:hAnsi="宋体" w:cs="宋体"/>
                <w:color w:val="auto"/>
                <w:kern w:val="0"/>
                <w:highlight w:val="none"/>
              </w:rPr>
              <w:t>分</w:t>
            </w:r>
            <w:r>
              <w:rPr>
                <w:rFonts w:ascii="宋体" w:hAnsi="宋体" w:cs="宋体"/>
                <w:color w:val="auto"/>
                <w:kern w:val="0"/>
                <w:highlight w:val="none"/>
              </w:rPr>
              <w:t>/</w:t>
            </w:r>
            <w:r>
              <w:rPr>
                <w:rFonts w:hint="eastAsia" w:ascii="宋体" w:hAnsi="宋体" w:cs="宋体"/>
                <w:color w:val="auto"/>
                <w:kern w:val="0"/>
                <w:highlight w:val="none"/>
              </w:rPr>
              <w:t>次</w:t>
            </w:r>
          </w:p>
        </w:tc>
        <w:tc>
          <w:tcPr>
            <w:tcW w:w="1582" w:type="dxa"/>
            <w:tcBorders>
              <w:top w:val="single" w:color="auto" w:sz="4" w:space="0"/>
              <w:left w:val="nil"/>
              <w:bottom w:val="single" w:color="auto" w:sz="4" w:space="0"/>
              <w:right w:val="single" w:color="auto" w:sz="4" w:space="0"/>
            </w:tcBorders>
          </w:tcPr>
          <w:p w14:paraId="46203BE9">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5DA721A6">
            <w:pPr>
              <w:adjustRightInd w:val="0"/>
              <w:spacing w:line="560" w:lineRule="exact"/>
              <w:rPr>
                <w:rFonts w:ascii="宋体" w:hAnsi="宋体"/>
                <w:color w:val="auto"/>
                <w:highlight w:val="none"/>
              </w:rPr>
            </w:pPr>
          </w:p>
        </w:tc>
      </w:tr>
      <w:tr w14:paraId="506F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859" w:type="dxa"/>
            <w:tcBorders>
              <w:top w:val="single" w:color="auto" w:sz="4" w:space="0"/>
              <w:left w:val="single" w:color="auto" w:sz="4" w:space="0"/>
              <w:bottom w:val="single" w:color="auto" w:sz="4" w:space="0"/>
              <w:right w:val="single" w:color="auto" w:sz="4" w:space="0"/>
            </w:tcBorders>
          </w:tcPr>
          <w:p w14:paraId="1F2C1342">
            <w:pPr>
              <w:spacing w:line="276" w:lineRule="auto"/>
              <w:rPr>
                <w:rFonts w:ascii="宋体" w:hAnsi="宋体" w:cs="宋体"/>
                <w:color w:val="auto"/>
                <w:kern w:val="0"/>
                <w:highlight w:val="none"/>
              </w:rPr>
            </w:pPr>
            <w:r>
              <w:rPr>
                <w:rFonts w:hint="eastAsia" w:ascii="宋体" w:hAnsi="宋体" w:cs="宋体"/>
                <w:color w:val="auto"/>
                <w:kern w:val="0"/>
                <w:highlight w:val="none"/>
              </w:rPr>
              <w:t>有事应向公司主管及科室负责人请假，服从科室的工作安排、指导和监督（5分）</w:t>
            </w:r>
            <w:r>
              <w:rPr>
                <w:rFonts w:hint="eastAsia" w:ascii="宋体" w:hAnsi="宋体" w:cs="宋体"/>
                <w:color w:val="auto"/>
                <w:kern w:val="0"/>
                <w:highlight w:val="none"/>
              </w:rPr>
              <w:tab/>
            </w:r>
          </w:p>
        </w:tc>
        <w:tc>
          <w:tcPr>
            <w:tcW w:w="3109" w:type="dxa"/>
            <w:tcBorders>
              <w:top w:val="single" w:color="auto" w:sz="4" w:space="0"/>
              <w:left w:val="nil"/>
              <w:bottom w:val="single" w:color="auto" w:sz="4" w:space="0"/>
              <w:right w:val="single" w:color="auto" w:sz="4" w:space="0"/>
            </w:tcBorders>
          </w:tcPr>
          <w:p w14:paraId="78EB8CD6">
            <w:pPr>
              <w:spacing w:line="276" w:lineRule="auto"/>
              <w:rPr>
                <w:rFonts w:ascii="宋体" w:hAnsi="宋体" w:cs="宋体"/>
                <w:color w:val="auto"/>
                <w:kern w:val="0"/>
                <w:highlight w:val="none"/>
              </w:rPr>
            </w:pPr>
            <w:r>
              <w:rPr>
                <w:rFonts w:hint="eastAsia" w:ascii="宋体" w:hAnsi="宋体" w:cs="宋体"/>
                <w:color w:val="auto"/>
                <w:kern w:val="0"/>
                <w:highlight w:val="none"/>
              </w:rPr>
              <w:t>不请假或不按规定汇报，视情节轻重扣2～4分/次；不服从安排，视情节轻重扣0.5～</w:t>
            </w:r>
            <w:r>
              <w:rPr>
                <w:rFonts w:ascii="宋体" w:hAnsi="宋体" w:cs="宋体"/>
                <w:color w:val="auto"/>
                <w:kern w:val="0"/>
                <w:highlight w:val="none"/>
              </w:rPr>
              <w:t>2</w:t>
            </w:r>
            <w:r>
              <w:rPr>
                <w:rFonts w:hint="eastAsia" w:ascii="宋体" w:hAnsi="宋体" w:cs="宋体"/>
                <w:color w:val="auto"/>
                <w:kern w:val="0"/>
                <w:highlight w:val="none"/>
              </w:rPr>
              <w:t>分/次</w:t>
            </w:r>
          </w:p>
        </w:tc>
        <w:tc>
          <w:tcPr>
            <w:tcW w:w="1582" w:type="dxa"/>
            <w:tcBorders>
              <w:top w:val="single" w:color="auto" w:sz="4" w:space="0"/>
              <w:left w:val="nil"/>
              <w:bottom w:val="single" w:color="auto" w:sz="4" w:space="0"/>
              <w:right w:val="single" w:color="auto" w:sz="4" w:space="0"/>
            </w:tcBorders>
          </w:tcPr>
          <w:p w14:paraId="7F86E0FA">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7471E51B">
            <w:pPr>
              <w:adjustRightInd w:val="0"/>
              <w:spacing w:line="560" w:lineRule="exact"/>
              <w:rPr>
                <w:rFonts w:ascii="宋体" w:hAnsi="宋体"/>
                <w:color w:val="auto"/>
                <w:highlight w:val="none"/>
              </w:rPr>
            </w:pPr>
          </w:p>
        </w:tc>
      </w:tr>
      <w:tr w14:paraId="3A08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859" w:type="dxa"/>
            <w:tcBorders>
              <w:top w:val="single" w:color="auto" w:sz="4" w:space="0"/>
              <w:left w:val="single" w:color="auto" w:sz="4" w:space="0"/>
              <w:bottom w:val="single" w:color="auto" w:sz="4" w:space="0"/>
              <w:right w:val="single" w:color="auto" w:sz="4" w:space="0"/>
            </w:tcBorders>
          </w:tcPr>
          <w:p w14:paraId="562871F9">
            <w:pPr>
              <w:spacing w:line="276" w:lineRule="auto"/>
              <w:rPr>
                <w:rFonts w:ascii="宋体" w:hAnsi="宋体" w:cs="宋体"/>
                <w:color w:val="auto"/>
                <w:kern w:val="0"/>
                <w:highlight w:val="none"/>
              </w:rPr>
            </w:pPr>
            <w:r>
              <w:rPr>
                <w:rFonts w:hint="eastAsia" w:ascii="宋体" w:hAnsi="宋体" w:cs="宋体"/>
                <w:color w:val="auto"/>
                <w:kern w:val="0"/>
                <w:highlight w:val="none"/>
              </w:rPr>
              <w:t>协助科室做好管理，完成内务及相应工作，岗位职责落实到位。转运病人、标本、物品、资料等及时、安全，无损坏、丢失，交接清晰，符合相关规范、院感要求；生活护理、基础护理到位（2</w:t>
            </w:r>
            <w:r>
              <w:rPr>
                <w:rFonts w:ascii="宋体" w:hAnsi="宋体" w:cs="宋体"/>
                <w:color w:val="auto"/>
                <w:kern w:val="0"/>
                <w:highlight w:val="none"/>
              </w:rPr>
              <w:t>5</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68A94E99">
            <w:pPr>
              <w:spacing w:line="276" w:lineRule="auto"/>
              <w:rPr>
                <w:rFonts w:ascii="宋体" w:hAnsi="宋体" w:cs="宋体"/>
                <w:color w:val="auto"/>
                <w:kern w:val="0"/>
                <w:highlight w:val="none"/>
              </w:rPr>
            </w:pPr>
            <w:r>
              <w:rPr>
                <w:rFonts w:hint="eastAsia" w:ascii="宋体" w:hAnsi="宋体" w:cs="宋体"/>
                <w:color w:val="auto"/>
                <w:kern w:val="0"/>
                <w:highlight w:val="none"/>
              </w:rPr>
              <w:t>不及时、无记录、不规范等，视情节轻重每次扣0.</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分；如有漏送、错送、损坏、丢失，视情节轻重每次扣</w:t>
            </w:r>
            <w:r>
              <w:rPr>
                <w:rFonts w:ascii="宋体" w:hAnsi="宋体" w:cs="宋体"/>
                <w:color w:val="auto"/>
                <w:kern w:val="0"/>
                <w:highlight w:val="none"/>
              </w:rPr>
              <w:t>2</w:t>
            </w:r>
            <w:r>
              <w:rPr>
                <w:rFonts w:hint="eastAsia" w:ascii="宋体" w:hAnsi="宋体" w:cs="宋体"/>
                <w:color w:val="auto"/>
                <w:kern w:val="0"/>
                <w:highlight w:val="none"/>
              </w:rPr>
              <w:t>～</w:t>
            </w:r>
            <w:r>
              <w:rPr>
                <w:rFonts w:ascii="宋体" w:hAnsi="宋体" w:cs="宋体"/>
                <w:color w:val="auto"/>
                <w:kern w:val="0"/>
                <w:highlight w:val="none"/>
              </w:rPr>
              <w:t>10</w:t>
            </w:r>
            <w:r>
              <w:rPr>
                <w:rFonts w:hint="eastAsia" w:ascii="宋体" w:hAnsi="宋体" w:cs="宋体"/>
                <w:color w:val="auto"/>
                <w:kern w:val="0"/>
                <w:highlight w:val="none"/>
              </w:rPr>
              <w:t>分；其他未做到，视情节每次扣0.</w:t>
            </w:r>
            <w:r>
              <w:rPr>
                <w:rFonts w:ascii="宋体" w:hAnsi="宋体" w:cs="宋体"/>
                <w:color w:val="auto"/>
                <w:kern w:val="0"/>
                <w:highlight w:val="none"/>
              </w:rPr>
              <w:t>5</w:t>
            </w: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分</w:t>
            </w:r>
          </w:p>
        </w:tc>
        <w:tc>
          <w:tcPr>
            <w:tcW w:w="1582" w:type="dxa"/>
            <w:tcBorders>
              <w:top w:val="single" w:color="auto" w:sz="4" w:space="0"/>
              <w:left w:val="nil"/>
              <w:bottom w:val="single" w:color="auto" w:sz="4" w:space="0"/>
              <w:right w:val="single" w:color="auto" w:sz="4" w:space="0"/>
            </w:tcBorders>
          </w:tcPr>
          <w:p w14:paraId="42392810">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25C2B78B">
            <w:pPr>
              <w:adjustRightInd w:val="0"/>
              <w:spacing w:line="560" w:lineRule="exact"/>
              <w:rPr>
                <w:rFonts w:ascii="宋体" w:hAnsi="宋体"/>
                <w:color w:val="auto"/>
                <w:highlight w:val="none"/>
              </w:rPr>
            </w:pPr>
          </w:p>
        </w:tc>
      </w:tr>
      <w:tr w14:paraId="0D65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859" w:type="dxa"/>
            <w:tcBorders>
              <w:top w:val="single" w:color="auto" w:sz="4" w:space="0"/>
              <w:left w:val="single" w:color="auto" w:sz="4" w:space="0"/>
              <w:bottom w:val="single" w:color="auto" w:sz="4" w:space="0"/>
              <w:right w:val="single" w:color="auto" w:sz="4" w:space="0"/>
            </w:tcBorders>
          </w:tcPr>
          <w:p w14:paraId="649FAB80">
            <w:pPr>
              <w:spacing w:line="276" w:lineRule="auto"/>
              <w:rPr>
                <w:rFonts w:ascii="宋体" w:hAnsi="宋体" w:cs="宋体"/>
                <w:color w:val="auto"/>
                <w:kern w:val="0"/>
                <w:highlight w:val="none"/>
              </w:rPr>
            </w:pPr>
            <w:r>
              <w:rPr>
                <w:rFonts w:hint="eastAsia" w:ascii="宋体" w:hAnsi="宋体" w:cs="宋体"/>
                <w:color w:val="auto"/>
                <w:kern w:val="0"/>
                <w:highlight w:val="none"/>
              </w:rPr>
              <w:t>爱护医院财物，注意节约水、电、气（5分）</w:t>
            </w:r>
          </w:p>
        </w:tc>
        <w:tc>
          <w:tcPr>
            <w:tcW w:w="3109" w:type="dxa"/>
            <w:tcBorders>
              <w:top w:val="single" w:color="auto" w:sz="4" w:space="0"/>
              <w:left w:val="nil"/>
              <w:bottom w:val="single" w:color="auto" w:sz="4" w:space="0"/>
              <w:right w:val="single" w:color="auto" w:sz="4" w:space="0"/>
            </w:tcBorders>
          </w:tcPr>
          <w:p w14:paraId="5C833E44">
            <w:pPr>
              <w:spacing w:line="276" w:lineRule="auto"/>
              <w:rPr>
                <w:rFonts w:ascii="宋体" w:hAnsi="宋体" w:cs="宋体"/>
                <w:color w:val="auto"/>
                <w:kern w:val="0"/>
                <w:highlight w:val="none"/>
              </w:rPr>
            </w:pPr>
            <w:r>
              <w:rPr>
                <w:rFonts w:hint="eastAsia" w:ascii="宋体" w:hAnsi="宋体" w:cs="宋体"/>
                <w:color w:val="auto"/>
                <w:kern w:val="0"/>
                <w:highlight w:val="none"/>
              </w:rPr>
              <w:t>损坏按规定赔偿，发现使用违规电器，按合同条款处理</w:t>
            </w:r>
          </w:p>
        </w:tc>
        <w:tc>
          <w:tcPr>
            <w:tcW w:w="1582" w:type="dxa"/>
            <w:tcBorders>
              <w:top w:val="single" w:color="auto" w:sz="4" w:space="0"/>
              <w:left w:val="nil"/>
              <w:bottom w:val="single" w:color="auto" w:sz="4" w:space="0"/>
              <w:right w:val="single" w:color="auto" w:sz="4" w:space="0"/>
            </w:tcBorders>
          </w:tcPr>
          <w:p w14:paraId="31F89EB4">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29ED3DBA">
            <w:pPr>
              <w:adjustRightInd w:val="0"/>
              <w:spacing w:line="560" w:lineRule="exact"/>
              <w:rPr>
                <w:rFonts w:ascii="宋体" w:hAnsi="宋体"/>
                <w:color w:val="auto"/>
                <w:highlight w:val="none"/>
              </w:rPr>
            </w:pPr>
          </w:p>
        </w:tc>
      </w:tr>
      <w:tr w14:paraId="1B01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3859" w:type="dxa"/>
            <w:tcBorders>
              <w:top w:val="single" w:color="auto" w:sz="4" w:space="0"/>
              <w:left w:val="single" w:color="auto" w:sz="4" w:space="0"/>
              <w:bottom w:val="single" w:color="auto" w:sz="4" w:space="0"/>
              <w:right w:val="single" w:color="auto" w:sz="4" w:space="0"/>
            </w:tcBorders>
          </w:tcPr>
          <w:p w14:paraId="16DCDCA4">
            <w:pPr>
              <w:spacing w:line="276" w:lineRule="auto"/>
              <w:rPr>
                <w:rFonts w:ascii="宋体" w:hAnsi="宋体" w:cs="宋体"/>
                <w:color w:val="auto"/>
                <w:kern w:val="0"/>
                <w:highlight w:val="none"/>
              </w:rPr>
            </w:pPr>
            <w:r>
              <w:rPr>
                <w:rFonts w:hint="eastAsia" w:ascii="宋体" w:hAnsi="宋体" w:cs="宋体"/>
                <w:color w:val="auto"/>
                <w:kern w:val="0"/>
                <w:highlight w:val="none"/>
              </w:rPr>
              <w:t>无有效投诉、无纠纷（</w:t>
            </w:r>
            <w:r>
              <w:rPr>
                <w:rFonts w:ascii="宋体" w:hAnsi="宋体" w:cs="宋体"/>
                <w:color w:val="auto"/>
                <w:kern w:val="0"/>
                <w:highlight w:val="none"/>
              </w:rPr>
              <w:t>10</w:t>
            </w:r>
            <w:r>
              <w:rPr>
                <w:rFonts w:hint="eastAsia" w:ascii="宋体" w:hAnsi="宋体" w:cs="宋体"/>
                <w:color w:val="auto"/>
                <w:kern w:val="0"/>
                <w:highlight w:val="none"/>
              </w:rPr>
              <w:t>分）</w:t>
            </w:r>
          </w:p>
        </w:tc>
        <w:tc>
          <w:tcPr>
            <w:tcW w:w="3109" w:type="dxa"/>
            <w:tcBorders>
              <w:top w:val="single" w:color="auto" w:sz="4" w:space="0"/>
              <w:left w:val="nil"/>
              <w:bottom w:val="single" w:color="auto" w:sz="4" w:space="0"/>
              <w:right w:val="single" w:color="auto" w:sz="4" w:space="0"/>
            </w:tcBorders>
          </w:tcPr>
          <w:p w14:paraId="32093DEB">
            <w:pPr>
              <w:spacing w:line="276" w:lineRule="auto"/>
              <w:rPr>
                <w:rFonts w:ascii="宋体" w:hAnsi="宋体" w:cs="宋体"/>
                <w:color w:val="auto"/>
                <w:kern w:val="0"/>
                <w:highlight w:val="none"/>
              </w:rPr>
            </w:pPr>
            <w:r>
              <w:rPr>
                <w:rFonts w:hint="eastAsia" w:ascii="宋体" w:hAnsi="宋体" w:cs="宋体"/>
                <w:color w:val="auto"/>
                <w:kern w:val="0"/>
                <w:highlight w:val="none"/>
              </w:rPr>
              <w:t>有效投诉扣2分/次</w:t>
            </w:r>
          </w:p>
        </w:tc>
        <w:tc>
          <w:tcPr>
            <w:tcW w:w="1582" w:type="dxa"/>
            <w:tcBorders>
              <w:top w:val="single" w:color="auto" w:sz="4" w:space="0"/>
              <w:left w:val="nil"/>
              <w:bottom w:val="single" w:color="auto" w:sz="4" w:space="0"/>
              <w:right w:val="single" w:color="auto" w:sz="4" w:space="0"/>
            </w:tcBorders>
          </w:tcPr>
          <w:p w14:paraId="27993F02">
            <w:pPr>
              <w:adjustRightInd w:val="0"/>
              <w:spacing w:line="560" w:lineRule="exact"/>
              <w:rPr>
                <w:rFonts w:ascii="宋体" w:hAnsi="宋体"/>
                <w:color w:val="auto"/>
                <w:highlight w:val="none"/>
              </w:rPr>
            </w:pPr>
          </w:p>
        </w:tc>
        <w:tc>
          <w:tcPr>
            <w:tcW w:w="832" w:type="dxa"/>
            <w:tcBorders>
              <w:top w:val="single" w:color="auto" w:sz="4" w:space="0"/>
              <w:left w:val="nil"/>
              <w:bottom w:val="single" w:color="auto" w:sz="4" w:space="0"/>
              <w:right w:val="single" w:color="auto" w:sz="4" w:space="0"/>
            </w:tcBorders>
          </w:tcPr>
          <w:p w14:paraId="3D12F303">
            <w:pPr>
              <w:adjustRightInd w:val="0"/>
              <w:spacing w:line="560" w:lineRule="exact"/>
              <w:rPr>
                <w:rFonts w:ascii="宋体" w:hAnsi="宋体"/>
                <w:color w:val="auto"/>
                <w:highlight w:val="none"/>
              </w:rPr>
            </w:pPr>
          </w:p>
        </w:tc>
      </w:tr>
    </w:tbl>
    <w:p w14:paraId="273B9BA2">
      <w:pPr>
        <w:widowControl/>
        <w:jc w:val="left"/>
        <w:rPr>
          <w:rFonts w:ascii="宋体" w:hAnsi="宋体" w:cs="宋体"/>
          <w:color w:val="auto"/>
          <w:sz w:val="20"/>
          <w:szCs w:val="20"/>
          <w:highlight w:val="none"/>
        </w:rPr>
      </w:pPr>
      <w:r>
        <w:rPr>
          <w:rFonts w:ascii="宋体" w:hAnsi="宋体"/>
          <w:b/>
          <w:color w:val="auto"/>
          <w:sz w:val="28"/>
          <w:szCs w:val="28"/>
          <w:highlight w:val="none"/>
        </w:rPr>
        <w:t xml:space="preserve"> </w:t>
      </w:r>
      <w:r>
        <w:rPr>
          <w:rFonts w:hint="eastAsia" w:ascii="宋体" w:hAnsi="宋体" w:cs="宋体"/>
          <w:color w:val="auto"/>
          <w:kern w:val="0"/>
          <w:highlight w:val="none"/>
        </w:rPr>
        <w:t>备注：各单项扣分不封顶，所有检查考核扣分累加，计入当月服务质量考核。</w:t>
      </w:r>
      <w:r>
        <w:rPr>
          <w:rFonts w:ascii="宋体" w:hAnsi="宋体"/>
          <w:color w:val="auto"/>
          <w:szCs w:val="21"/>
          <w:highlight w:val="none"/>
        </w:rPr>
        <w:t xml:space="preserve">  </w:t>
      </w:r>
    </w:p>
    <w:p w14:paraId="34CE6667">
      <w:pPr>
        <w:widowControl/>
        <w:jc w:val="left"/>
        <w:rPr>
          <w:rFonts w:ascii="宋体" w:hAnsi="宋体" w:cs="宋体"/>
          <w:color w:val="auto"/>
          <w:sz w:val="32"/>
          <w:szCs w:val="32"/>
          <w:highlight w:val="none"/>
        </w:rPr>
      </w:pPr>
      <w:r>
        <w:rPr>
          <w:rFonts w:hint="eastAsia" w:ascii="宋体" w:hAnsi="宋体" w:cs="宋体"/>
          <w:color w:val="auto"/>
          <w:sz w:val="20"/>
          <w:szCs w:val="20"/>
          <w:highlight w:val="none"/>
        </w:rPr>
        <w:br w:type="page"/>
      </w:r>
      <w:r>
        <w:rPr>
          <w:rFonts w:hint="eastAsia" w:ascii="宋体" w:hAnsi="宋体" w:cs="宋体"/>
          <w:color w:val="auto"/>
          <w:sz w:val="32"/>
          <w:szCs w:val="32"/>
          <w:highlight w:val="none"/>
        </w:rPr>
        <w:t>附件：</w:t>
      </w:r>
    </w:p>
    <w:p w14:paraId="6D3B3B02">
      <w:pPr>
        <w:pStyle w:val="18"/>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1453A168">
      <w:pPr>
        <w:pStyle w:val="18"/>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6763D8FD">
      <w:pPr>
        <w:pStyle w:val="18"/>
        <w:rPr>
          <w:rFonts w:ascii="宋体" w:hAnsi="宋体" w:cs="宋体"/>
          <w:color w:val="auto"/>
          <w:sz w:val="21"/>
          <w:szCs w:val="21"/>
          <w:highlight w:val="none"/>
        </w:rPr>
      </w:pPr>
    </w:p>
    <w:p w14:paraId="7C884350">
      <w:pPr>
        <w:pStyle w:val="18"/>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128B595D">
      <w:pPr>
        <w:pStyle w:val="18"/>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06EFFDA9">
      <w:pPr>
        <w:pStyle w:val="18"/>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FE2EAB3">
      <w:pPr>
        <w:pStyle w:val="18"/>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7F52B89A">
      <w:pPr>
        <w:pStyle w:val="18"/>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2380FB83">
      <w:pPr>
        <w:pStyle w:val="18"/>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3D84F7">
      <w:pPr>
        <w:pStyle w:val="18"/>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22D04C">
      <w:pPr>
        <w:pStyle w:val="18"/>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9DC1E9">
      <w:pPr>
        <w:pStyle w:val="18"/>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24DA5D">
      <w:pPr>
        <w:pStyle w:val="18"/>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DA1002">
      <w:pPr>
        <w:pStyle w:val="18"/>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AA4D7B1">
      <w:pPr>
        <w:pStyle w:val="18"/>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0F39FA1">
      <w:pPr>
        <w:pStyle w:val="18"/>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3FC6C5">
      <w:pPr>
        <w:pStyle w:val="18"/>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B940E5">
      <w:pPr>
        <w:pStyle w:val="18"/>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FB560E">
      <w:pPr>
        <w:pStyle w:val="18"/>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02107CB">
      <w:pPr>
        <w:pStyle w:val="18"/>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E34C3C6">
      <w:pPr>
        <w:pStyle w:val="18"/>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475248">
      <w:pPr>
        <w:pStyle w:val="18"/>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2C5559">
      <w:pPr>
        <w:pStyle w:val="18"/>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3FD2EBDB">
      <w:pPr>
        <w:pStyle w:val="18"/>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19AF1711">
      <w:pPr>
        <w:pStyle w:val="18"/>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6D149541">
      <w:pPr>
        <w:pStyle w:val="18"/>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9AED3A7">
      <w:pPr>
        <w:pStyle w:val="18"/>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52FA7D04">
      <w:pPr>
        <w:pStyle w:val="18"/>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6E9AEA00">
      <w:pPr>
        <w:pStyle w:val="18"/>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48100340">
      <w:pPr>
        <w:pStyle w:val="2"/>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46" w:name="_Toc17701"/>
      <w:r>
        <w:rPr>
          <w:rFonts w:hint="eastAsia" w:ascii="宋体" w:hAnsi="宋体" w:cs="宋体"/>
          <w:color w:val="auto"/>
          <w:highlight w:val="none"/>
        </w:rPr>
        <w:t>第三章 投标人须知</w:t>
      </w:r>
      <w:bookmarkEnd w:id="45"/>
      <w:bookmarkEnd w:id="46"/>
    </w:p>
    <w:p w14:paraId="295994D4">
      <w:pPr>
        <w:jc w:val="center"/>
        <w:rPr>
          <w:rFonts w:ascii="宋体" w:hAnsi="宋体" w:cs="宋体"/>
          <w:color w:val="auto"/>
          <w:sz w:val="36"/>
          <w:szCs w:val="36"/>
          <w:highlight w:val="none"/>
        </w:rPr>
      </w:pPr>
      <w:bookmarkStart w:id="47" w:name="_Toc254970667"/>
      <w:bookmarkStart w:id="48" w:name="_Toc254970526"/>
      <w:r>
        <w:rPr>
          <w:rFonts w:hint="eastAsia" w:ascii="宋体" w:hAnsi="宋体" w:cs="宋体"/>
          <w:color w:val="auto"/>
          <w:sz w:val="36"/>
          <w:szCs w:val="36"/>
          <w:highlight w:val="none"/>
        </w:rPr>
        <w:t>投标人须知前附表</w:t>
      </w:r>
      <w:bookmarkEnd w:id="47"/>
      <w:bookmarkEnd w:id="48"/>
    </w:p>
    <w:tbl>
      <w:tblPr>
        <w:tblStyle w:val="48"/>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06E11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AF560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1D84B35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5BEAF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55F8F1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3E00AE4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3B2AECF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78D11C9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9429F6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63B70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95" w:type="dxa"/>
            <w:tcBorders>
              <w:top w:val="single" w:color="auto" w:sz="4" w:space="0"/>
              <w:left w:val="single" w:color="auto" w:sz="4" w:space="0"/>
              <w:bottom w:val="single" w:color="auto" w:sz="4" w:space="0"/>
              <w:right w:val="single" w:color="auto" w:sz="4" w:space="0"/>
            </w:tcBorders>
            <w:vAlign w:val="center"/>
          </w:tcPr>
          <w:p w14:paraId="606078FA">
            <w:pPr>
              <w:adjustRightInd w:val="0"/>
              <w:spacing w:line="400" w:lineRule="exact"/>
              <w:jc w:val="center"/>
              <w:rPr>
                <w:rFonts w:ascii="宋体" w:hAnsi="宋体" w:cs="宋体"/>
                <w:color w:val="auto"/>
                <w:szCs w:val="21"/>
                <w:highlight w:val="none"/>
              </w:rPr>
            </w:pPr>
            <w:bookmarkStart w:id="49" w:name="_5"/>
            <w:bookmarkEnd w:id="49"/>
            <w:bookmarkStart w:id="50" w:name="_8.1"/>
            <w:bookmarkEnd w:id="50"/>
            <w:bookmarkStart w:id="51" w:name="_9.2"/>
            <w:bookmarkEnd w:id="51"/>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700DFD30">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448B8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F9549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1B2FA676">
            <w:pPr>
              <w:pStyle w:val="16"/>
              <w:adjustRightInd w:val="0"/>
              <w:spacing w:line="400" w:lineRule="exact"/>
              <w:rPr>
                <w:rFonts w:ascii="宋体" w:hAnsi="宋体" w:cs="宋体"/>
                <w:color w:val="auto"/>
                <w:szCs w:val="21"/>
                <w:highlight w:val="none"/>
              </w:rPr>
            </w:pPr>
            <w:bookmarkStart w:id="52" w:name="_Hlk54105293"/>
            <w:r>
              <w:rPr>
                <w:rFonts w:hint="eastAsia" w:ascii="宋体" w:hAnsi="宋体" w:cs="宋体"/>
                <w:color w:val="auto"/>
                <w:szCs w:val="21"/>
                <w:highlight w:val="none"/>
              </w:rPr>
              <w:t>如接受联合体投标，</w:t>
            </w:r>
            <w:bookmarkEnd w:id="52"/>
            <w:r>
              <w:rPr>
                <w:rFonts w:hint="eastAsia" w:ascii="宋体" w:hAnsi="宋体" w:cs="宋体"/>
                <w:color w:val="auto"/>
                <w:szCs w:val="21"/>
                <w:highlight w:val="none"/>
              </w:rPr>
              <w:t>联合体投标要求如下：</w:t>
            </w:r>
          </w:p>
          <w:p w14:paraId="0E11C2EE">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5A6FD191">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EC78EDB">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18C01F9C">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1D89520E">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381DA746">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4A6E725">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71FE518D">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22763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82BC59F">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2494054">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4F3588A4">
            <w:pPr>
              <w:pStyle w:val="16"/>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53C7E946">
            <w:pPr>
              <w:pStyle w:val="16"/>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374D1047">
            <w:pPr>
              <w:pStyle w:val="16"/>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25A0A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7100D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293AB71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4C8EA58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□依次按投标报价低的优先、带“▲”的实质性要求正偏离项数多的优先、均无正偏离或者正偏离项数一致时负偏离项数少的优先、保修（维护）期长优先、交货期短优先、故障响应时间短优先的顺序推荐。</w:t>
            </w:r>
          </w:p>
          <w:p w14:paraId="1771F4E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09CD243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1DF3848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22304FD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☑依次按投标报价低的优先、服务实施保障措施分高的优先、管理制度和运作流程分高的优先、纠纷处理方案分高的优先、人员配置及投入项目方案分高的优先、履约能力分高的优先顺序推荐；</w:t>
            </w:r>
          </w:p>
          <w:p w14:paraId="3273BD4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1D3216C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CE85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1F5B2FA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83FA6A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414B5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489B5420">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09F71D1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6824413D">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51E7B65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17D58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018139F8">
            <w:pPr>
              <w:adjustRightInd w:val="0"/>
              <w:spacing w:line="400" w:lineRule="exact"/>
              <w:jc w:val="center"/>
              <w:rPr>
                <w:rFonts w:ascii="宋体" w:hAnsi="宋体" w:cs="宋体"/>
                <w:color w:val="auto"/>
                <w:szCs w:val="21"/>
                <w:highlight w:val="none"/>
              </w:rPr>
            </w:pPr>
            <w:bookmarkStart w:id="53" w:name="_13.1"/>
            <w:bookmarkEnd w:id="53"/>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55999C9C">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0119EB63">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5A67E451">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EAEEFD6">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3.《关于符合本国产品标准的声明函》或者财政部会同有关部门规定的有关证明文件；（供应商根据自身响应情况出具）</w:t>
            </w:r>
          </w:p>
          <w:p w14:paraId="7833C612">
            <w:pPr>
              <w:tabs>
                <w:tab w:val="left" w:pos="459"/>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投标人针对报价需要说明的其他文件和说明（格式自拟）。</w:t>
            </w:r>
          </w:p>
          <w:p w14:paraId="75429EDE">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以上标明“必须提供”的材料，必须加盖投标人电子签章。格式</w:t>
            </w:r>
            <w:r>
              <w:rPr>
                <w:rFonts w:hint="eastAsia" w:ascii="宋体" w:hAnsi="宋体" w:cs="宋体"/>
                <w:b/>
                <w:color w:val="auto"/>
                <w:szCs w:val="21"/>
                <w:highlight w:val="none"/>
              </w:rPr>
              <w:t>中有要求法定代表人或者委托代理人签字，必须按要求签字（或者电子签名）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3F79C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76B8709A">
            <w:pPr>
              <w:adjustRightInd w:val="0"/>
              <w:spacing w:line="400" w:lineRule="exact"/>
              <w:rPr>
                <w:rFonts w:ascii="宋体" w:hAnsi="宋体" w:cs="宋体"/>
                <w:color w:val="auto"/>
                <w:szCs w:val="21"/>
                <w:highlight w:val="none"/>
              </w:rPr>
            </w:pPr>
            <w:bookmarkStart w:id="54" w:name="_13.2"/>
            <w:bookmarkEnd w:id="54"/>
          </w:p>
        </w:tc>
        <w:tc>
          <w:tcPr>
            <w:tcW w:w="8670" w:type="dxa"/>
            <w:tcBorders>
              <w:top w:val="single" w:color="auto" w:sz="4" w:space="0"/>
              <w:left w:val="single" w:color="auto" w:sz="4" w:space="0"/>
              <w:bottom w:val="single" w:color="auto" w:sz="4" w:space="0"/>
              <w:right w:val="single" w:color="auto" w:sz="4" w:space="0"/>
            </w:tcBorders>
            <w:vAlign w:val="center"/>
          </w:tcPr>
          <w:p w14:paraId="1CC4ADE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404FFE0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88"/>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7D182E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B9887E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则无需提交]；（</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5A27F8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5" w:name="OLE_LINK10"/>
            <w:r>
              <w:rPr>
                <w:rFonts w:hint="eastAsia" w:ascii="宋体" w:hAnsi="宋体" w:cs="宋体"/>
                <w:color w:val="auto"/>
                <w:szCs w:val="21"/>
                <w:highlight w:val="none"/>
                <w:u w:val="single"/>
              </w:rPr>
              <w:t>2024</w:t>
            </w:r>
            <w:r>
              <w:rPr>
                <w:rFonts w:hint="eastAsia" w:ascii="宋体" w:hAnsi="宋体" w:cs="宋体"/>
                <w:color w:val="auto"/>
                <w:szCs w:val="21"/>
                <w:highlight w:val="none"/>
              </w:rPr>
              <w:t>年以来任一年度的</w:t>
            </w:r>
            <w:bookmarkEnd w:id="55"/>
            <w:r>
              <w:rPr>
                <w:rFonts w:hint="eastAsia" w:ascii="宋体" w:hAnsi="宋体" w:cs="宋体"/>
                <w:color w:val="auto"/>
                <w:szCs w:val="21"/>
                <w:highlight w:val="none"/>
              </w:rPr>
              <w:t>财务报表复印件，或者2026年以来银行出具的资信证明，或者中国人民银行征信中心出具的信用报告（企业投标的提供企业信用报告，自然人投标的提供个人信用报告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60383B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4FE0A7E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7895E0A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8D8F037">
            <w:pPr>
              <w:tabs>
                <w:tab w:val="left" w:pos="1305"/>
              </w:tabs>
              <w:spacing w:line="360" w:lineRule="exact"/>
              <w:rPr>
                <w:rFonts w:ascii="宋体" w:hAnsi="宋体"/>
                <w:bCs/>
                <w:color w:val="auto"/>
                <w:szCs w:val="21"/>
                <w:highlight w:val="none"/>
              </w:rPr>
            </w:pPr>
            <w:r>
              <w:rPr>
                <w:rFonts w:hint="eastAsia" w:ascii="宋体" w:hAnsi="宋体"/>
                <w:color w:val="auto"/>
                <w:szCs w:val="21"/>
                <w:highlight w:val="none"/>
              </w:rPr>
              <w:t>8.投标人为中小企业的相关证明材料</w:t>
            </w:r>
            <w:r>
              <w:rPr>
                <w:rFonts w:hint="eastAsia" w:ascii="宋体" w:hAnsi="宋体"/>
                <w:b/>
                <w:bCs/>
                <w:color w:val="auto"/>
                <w:szCs w:val="21"/>
                <w:highlight w:val="none"/>
              </w:rPr>
              <w:t>（必须提供）；</w:t>
            </w:r>
          </w:p>
          <w:p w14:paraId="25843DA2">
            <w:pPr>
              <w:tabs>
                <w:tab w:val="left" w:pos="1305"/>
              </w:tabs>
              <w:spacing w:line="360" w:lineRule="exact"/>
              <w:rPr>
                <w:rFonts w:ascii="宋体" w:hAnsi="宋体"/>
                <w:color w:val="auto"/>
                <w:szCs w:val="21"/>
                <w:highlight w:val="none"/>
              </w:rPr>
            </w:pPr>
            <w:r>
              <w:rPr>
                <w:rFonts w:hint="eastAsia" w:ascii="宋体" w:hAnsi="宋体"/>
                <w:color w:val="auto"/>
                <w:szCs w:val="21"/>
                <w:highlight w:val="none"/>
              </w:rPr>
              <w:t>注：本项目专门面向中小企业采购，投标人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投标人根据自身情况，相应提供以下证明材料：</w:t>
            </w:r>
          </w:p>
          <w:p w14:paraId="5D3D268C">
            <w:pPr>
              <w:tabs>
                <w:tab w:val="left" w:pos="1305"/>
              </w:tabs>
              <w:spacing w:line="360" w:lineRule="exact"/>
              <w:rPr>
                <w:rFonts w:ascii="宋体" w:hAnsi="宋体"/>
                <w:color w:val="auto"/>
                <w:szCs w:val="21"/>
                <w:highlight w:val="none"/>
              </w:rPr>
            </w:pPr>
            <w:r>
              <w:rPr>
                <w:rFonts w:hint="eastAsia" w:ascii="宋体" w:hAnsi="宋体"/>
                <w:color w:val="auto"/>
                <w:szCs w:val="21"/>
                <w:highlight w:val="none"/>
              </w:rPr>
              <w:t>①投标人如为符合政策要求的中小企业且承接本项目全部服务的，提供《中小企业声明函》（并对声明的真实性负责）。</w:t>
            </w:r>
          </w:p>
          <w:p w14:paraId="0DFCB9A1">
            <w:pPr>
              <w:tabs>
                <w:tab w:val="left" w:pos="1305"/>
              </w:tabs>
              <w:spacing w:line="360" w:lineRule="exact"/>
              <w:rPr>
                <w:rFonts w:ascii="宋体" w:hAnsi="宋体"/>
                <w:color w:val="auto"/>
                <w:szCs w:val="21"/>
                <w:highlight w:val="none"/>
              </w:rPr>
            </w:pPr>
            <w:r>
              <w:rPr>
                <w:rFonts w:hint="eastAsia" w:ascii="宋体" w:hAnsi="宋体"/>
                <w:color w:val="auto"/>
                <w:szCs w:val="21"/>
                <w:highlight w:val="none"/>
              </w:rPr>
              <w:t>②投标人如属于监狱企业且承接本项目全部服务的，提供由省级以上监狱管理局、戒毒管理局（含新疆生产建设兵团）出具的属于监狱企业的证明文件。</w:t>
            </w:r>
          </w:p>
          <w:p w14:paraId="336A1720">
            <w:pPr>
              <w:tabs>
                <w:tab w:val="left" w:pos="1305"/>
              </w:tabs>
              <w:spacing w:line="360" w:lineRule="exact"/>
              <w:rPr>
                <w:rFonts w:ascii="宋体" w:hAnsi="宋体"/>
                <w:color w:val="auto"/>
                <w:szCs w:val="21"/>
                <w:highlight w:val="none"/>
              </w:rPr>
            </w:pPr>
            <w:r>
              <w:rPr>
                <w:rFonts w:hint="eastAsia" w:ascii="宋体" w:hAnsi="宋体"/>
                <w:color w:val="auto"/>
                <w:szCs w:val="21"/>
                <w:highlight w:val="none"/>
              </w:rPr>
              <w:t>③投标人如属于符合条件的残疾人福利性单位且承接本项目全部服务的，提供《残疾人福利性单位声明函》（并对声明的真实性负责）。</w:t>
            </w:r>
          </w:p>
          <w:p w14:paraId="080604F7">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9F91F2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152C96C0">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6AA00217">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177D0AFE">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2.联合体投标时，第1-8项资格证明文件联合体各方均必须分别提供，联合体各方分别盖章和签字（或者电子签名），否则按无效投标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331B758F">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566D8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EBF778E">
            <w:pPr>
              <w:adjustRightInd w:val="0"/>
              <w:spacing w:line="400" w:lineRule="exact"/>
              <w:rPr>
                <w:rFonts w:ascii="宋体" w:hAnsi="宋体" w:cs="宋体"/>
                <w:color w:val="auto"/>
                <w:szCs w:val="21"/>
                <w:highlight w:val="none"/>
              </w:rPr>
            </w:pPr>
            <w:bookmarkStart w:id="56" w:name="_13.3"/>
            <w:bookmarkEnd w:id="56"/>
          </w:p>
        </w:tc>
        <w:tc>
          <w:tcPr>
            <w:tcW w:w="8670" w:type="dxa"/>
            <w:tcBorders>
              <w:top w:val="single" w:color="auto" w:sz="4" w:space="0"/>
              <w:left w:val="single" w:color="auto" w:sz="4" w:space="0"/>
              <w:bottom w:val="single" w:color="auto" w:sz="4" w:space="0"/>
              <w:right w:val="single" w:color="auto" w:sz="4" w:space="0"/>
            </w:tcBorders>
            <w:vAlign w:val="center"/>
          </w:tcPr>
          <w:p w14:paraId="525A5322">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6E34234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13B4D0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B0658A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7D842CC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2B7936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5.服务实施保障措施（格式后附）；内容包含但不限于：质量考核办法、工作细则、操作流程、服务固定人员数量及人员简历情况、奖罚措施、生产用具等方面内容的质量保证措施等；</w:t>
            </w:r>
          </w:p>
          <w:p w14:paraId="679EDC03">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管理制度和运作流程（格式后附）；内容包含但不限于：管理制度【包括但不限于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和运作流程；</w:t>
            </w:r>
          </w:p>
          <w:p w14:paraId="546B5A1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7.纠纷处理方案（格式后附）；</w:t>
            </w:r>
          </w:p>
          <w:p w14:paraId="356D3AD8">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8.人员配置及投入项目方案（格式后附）；</w:t>
            </w:r>
          </w:p>
          <w:p w14:paraId="3A77334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9.投标人的业绩证明材料（格式后附）；</w:t>
            </w:r>
          </w:p>
          <w:p w14:paraId="09F8121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10.投标人情况介绍（格式自拟）；</w:t>
            </w:r>
          </w:p>
          <w:p w14:paraId="0CDA3B7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11.联合体协议书（格式后附，详见“其他文书、文件格式”）；（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2B2838E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10.除招标文件规定必须提供以外，投标人认为需要提供的其他证明材料（格式自拟）。（投标人根据“第二章 采购需求”及“第四章 评标方法及评标标准”提供有关证明材料）。</w:t>
            </w:r>
          </w:p>
          <w:p w14:paraId="411B7BEA">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26FE9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43020A8B">
            <w:pPr>
              <w:adjustRightInd w:val="0"/>
              <w:spacing w:line="400" w:lineRule="exact"/>
              <w:rPr>
                <w:rFonts w:ascii="宋体" w:hAnsi="宋体" w:cs="宋体"/>
                <w:color w:val="auto"/>
                <w:szCs w:val="21"/>
                <w:highlight w:val="none"/>
              </w:rPr>
            </w:pPr>
            <w:bookmarkStart w:id="57" w:name="_13.4"/>
            <w:bookmarkEnd w:id="57"/>
          </w:p>
        </w:tc>
        <w:tc>
          <w:tcPr>
            <w:tcW w:w="8670" w:type="dxa"/>
            <w:tcBorders>
              <w:top w:val="single" w:color="auto" w:sz="4" w:space="0"/>
              <w:left w:val="single" w:color="auto" w:sz="4" w:space="0"/>
              <w:bottom w:val="single" w:color="auto" w:sz="4" w:space="0"/>
              <w:right w:val="single" w:color="auto" w:sz="4" w:space="0"/>
            </w:tcBorders>
            <w:vAlign w:val="center"/>
          </w:tcPr>
          <w:p w14:paraId="405B477E">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08D2942E">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1.服务内容及要求响应表（格式后附）；（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18B4F4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2.项目实施人员一览表（格式后附）；</w:t>
            </w:r>
          </w:p>
          <w:p w14:paraId="286E055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3.优惠条件：投标人承诺给予采购人的各种优惠条件，包括售后服务优惠（格式自拟）；注：投标人不得给予赠品或者与采购无关的其他商品、服务；</w:t>
            </w:r>
          </w:p>
          <w:p w14:paraId="1FD0395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w:t>
            </w:r>
          </w:p>
          <w:p w14:paraId="1235A5AA">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5.除招标文件规定必须提供以外，投标人需要说明的其他文件和说明（格式自拟）。</w:t>
            </w:r>
          </w:p>
          <w:p w14:paraId="2F212E6B">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注：以上标明“必须提供”的材料必须加盖投标人电子签章，格式</w:t>
            </w:r>
            <w:r>
              <w:rPr>
                <w:rFonts w:hint="eastAsia" w:ascii="宋体" w:hAnsi="宋体" w:cs="宋体"/>
                <w:b/>
                <w:color w:val="auto"/>
                <w:szCs w:val="21"/>
                <w:highlight w:val="none"/>
              </w:rPr>
              <w:t>中有要求法定代表人或者委托代理人签字的，必须按要求签字（或者电子签名）</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0ABDD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054EE5F">
            <w:pPr>
              <w:adjustRightInd w:val="0"/>
              <w:spacing w:line="400" w:lineRule="exact"/>
              <w:jc w:val="center"/>
              <w:rPr>
                <w:rFonts w:ascii="宋体" w:hAnsi="宋体" w:cs="宋体"/>
                <w:color w:val="auto"/>
                <w:szCs w:val="21"/>
                <w:highlight w:val="none"/>
              </w:rPr>
            </w:pPr>
            <w:bookmarkStart w:id="58" w:name="_16.2"/>
            <w:bookmarkEnd w:id="58"/>
            <w:bookmarkStart w:id="59" w:name="_13.5"/>
            <w:bookmarkEnd w:id="59"/>
            <w:r>
              <w:rPr>
                <w:rFonts w:hint="eastAsia" w:ascii="宋体" w:hAnsi="宋体" w:cs="宋体"/>
                <w:color w:val="auto"/>
                <w:szCs w:val="21"/>
                <w:highlight w:val="none"/>
              </w:rPr>
              <w:t>16</w:t>
            </w:r>
            <w:bookmarkStart w:id="60" w:name="_Hlt19194066"/>
            <w:bookmarkStart w:id="61" w:name="_Hlt19693759"/>
            <w:bookmarkStart w:id="62" w:name="_Hlt19194067"/>
            <w:bookmarkStart w:id="63" w:name="_Hlt19693758"/>
            <w:r>
              <w:rPr>
                <w:rFonts w:hint="eastAsia" w:ascii="宋体" w:hAnsi="宋体" w:cs="宋体"/>
                <w:color w:val="auto"/>
                <w:szCs w:val="21"/>
                <w:highlight w:val="none"/>
              </w:rPr>
              <w:t>.</w:t>
            </w:r>
            <w:bookmarkEnd w:id="60"/>
            <w:bookmarkEnd w:id="61"/>
            <w:bookmarkEnd w:id="62"/>
            <w:bookmarkEnd w:id="63"/>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25495E92">
            <w:pPr>
              <w:adjustRightInd w:val="0"/>
              <w:spacing w:line="400" w:lineRule="exact"/>
              <w:rPr>
                <w:rFonts w:ascii="宋体" w:hAnsi="宋体" w:cs="宋体"/>
                <w:b/>
                <w:color w:val="auto"/>
                <w:szCs w:val="21"/>
                <w:highlight w:val="none"/>
              </w:rPr>
            </w:pPr>
            <w:r>
              <w:rPr>
                <w:rFonts w:hint="eastAsia" w:ascii="宋体" w:hAnsi="宋体"/>
                <w:b/>
                <w:bCs/>
                <w:color w:val="auto"/>
                <w:szCs w:val="21"/>
                <w:highlight w:val="none"/>
              </w:rPr>
              <w:t>投标报价是履行合同的最终价格，包括但不限于：</w:t>
            </w:r>
            <w:r>
              <w:rPr>
                <w:rFonts w:hint="eastAsia" w:ascii="宋体" w:hAnsi="宋体" w:cs="宋体"/>
                <w:b/>
                <w:bCs/>
                <w:color w:val="auto"/>
                <w:kern w:val="0"/>
                <w:szCs w:val="21"/>
                <w:highlight w:val="none"/>
              </w:rPr>
              <w:t>人员费用（含员工基本工资、绩效考核、社会保险费、福利费、夜班费、周末及法定假日加班费、服装费等）、体检费、外勤运送订单管理系统软件及相关配套设备、标本箱、提篮、防雨设备及其他设备设施费、通讯费、差旅费、物料、低值易耗品费（含医院用含氯消毒剂等）、固定资产折旧费（项目用电脑、对讲机、工具设备等）、人员培训费、管理费、水电费、合理利润、风险费、法定税费等与本项目相关的所有费用。对于本文件中未列明，而投标人认为必需的费用，也需列入总报价。在合同实施时，采购人将不予支付因合同履行需要发生一方没有列入的项目费用，该部分费用由中标供应商自担，并认为此项目的费用已包括在总报价中。</w:t>
            </w:r>
          </w:p>
        </w:tc>
      </w:tr>
      <w:tr w14:paraId="7F361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0497658">
            <w:pPr>
              <w:adjustRightInd w:val="0"/>
              <w:spacing w:line="400" w:lineRule="exact"/>
              <w:jc w:val="center"/>
              <w:rPr>
                <w:rFonts w:ascii="宋体" w:hAnsi="宋体" w:cs="宋体"/>
                <w:color w:val="auto"/>
                <w:szCs w:val="21"/>
                <w:highlight w:val="none"/>
              </w:rPr>
            </w:pPr>
            <w:bookmarkStart w:id="64" w:name="_17.1"/>
            <w:bookmarkEnd w:id="64"/>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0D4DDD7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0BE19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9F4C7D">
            <w:pPr>
              <w:adjustRightInd w:val="0"/>
              <w:spacing w:line="400" w:lineRule="exact"/>
              <w:jc w:val="center"/>
              <w:rPr>
                <w:rFonts w:ascii="宋体" w:hAnsi="宋体" w:cs="宋体"/>
                <w:color w:val="auto"/>
                <w:szCs w:val="21"/>
                <w:highlight w:val="none"/>
              </w:rPr>
            </w:pPr>
            <w:bookmarkStart w:id="65" w:name="_18"/>
            <w:bookmarkEnd w:id="65"/>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72463EB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1B019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8FEC97">
            <w:pPr>
              <w:adjustRightInd w:val="0"/>
              <w:spacing w:line="400" w:lineRule="exact"/>
              <w:jc w:val="center"/>
              <w:rPr>
                <w:rFonts w:ascii="宋体" w:hAnsi="宋体" w:cs="宋体"/>
                <w:color w:val="auto"/>
                <w:szCs w:val="21"/>
                <w:highlight w:val="none"/>
              </w:rPr>
            </w:pPr>
            <w:bookmarkStart w:id="66" w:name="_19.2"/>
            <w:bookmarkEnd w:id="66"/>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5174561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77178625">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5C8238D1">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提交方式：投标人可以在投标截止时间前采用以下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0ACAA20A">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（1）现场提交方式，应采用U盘进行存储，提交地址：桂林市公共资源交易中心9号开标</w:t>
            </w:r>
            <w:r>
              <w:rPr>
                <w:rFonts w:hint="eastAsia" w:ascii="宋体" w:hAnsi="宋体" w:cs="宋体"/>
                <w:color w:val="auto"/>
                <w:highlight w:val="none"/>
              </w:rPr>
              <w:t>室</w:t>
            </w:r>
            <w:r>
              <w:rPr>
                <w:rFonts w:hint="eastAsia" w:ascii="宋体" w:hAnsi="宋体" w:cs="宋体"/>
                <w:color w:val="auto"/>
                <w:highlight w:val="none"/>
              </w:rPr>
              <w:t>（广西桂林市临桂区西城中路69号创业大厦西辅楼4楼北区）；外包装上注明投标人名称、项目名称及项目编号（外包装不作密封要求）。</w:t>
            </w:r>
          </w:p>
          <w:p w14:paraId="1AB713A1">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（2）电子邮件方式，接收电子备份投标文件的电子邮箱为：guilinyl@vip.sina.com。</w:t>
            </w:r>
          </w:p>
          <w:p w14:paraId="7C78D197">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420D805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1453A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283577A9">
            <w:pPr>
              <w:adjustRightInd w:val="0"/>
              <w:spacing w:line="400" w:lineRule="exact"/>
              <w:jc w:val="center"/>
              <w:rPr>
                <w:rFonts w:ascii="宋体" w:hAnsi="宋体" w:cs="宋体"/>
                <w:color w:val="auto"/>
                <w:szCs w:val="21"/>
                <w:highlight w:val="none"/>
              </w:rPr>
            </w:pPr>
            <w:bookmarkStart w:id="67" w:name="_21.1"/>
            <w:bookmarkEnd w:id="67"/>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263C64CA">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75F35D6A">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5927B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887BB84">
            <w:pPr>
              <w:adjustRightInd w:val="0"/>
              <w:spacing w:line="400" w:lineRule="exact"/>
              <w:jc w:val="center"/>
              <w:rPr>
                <w:rFonts w:ascii="宋体" w:hAnsi="宋体" w:cs="宋体"/>
                <w:color w:val="auto"/>
                <w:szCs w:val="21"/>
                <w:highlight w:val="none"/>
              </w:rPr>
            </w:pPr>
            <w:bookmarkStart w:id="68" w:name="_23"/>
            <w:bookmarkEnd w:id="68"/>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3A31B894">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2082E8C0">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44AAD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DF033B">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5A8BEA5D">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4DA5C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D0AE1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05B3613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6B80D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2CB03D">
            <w:pPr>
              <w:adjustRightInd w:val="0"/>
              <w:spacing w:line="400" w:lineRule="exact"/>
              <w:jc w:val="center"/>
              <w:rPr>
                <w:rFonts w:ascii="宋体" w:hAnsi="宋体" w:cs="宋体"/>
                <w:color w:val="auto"/>
                <w:szCs w:val="21"/>
                <w:highlight w:val="none"/>
              </w:rPr>
            </w:pPr>
            <w:bookmarkStart w:id="69" w:name="_25.3"/>
            <w:bookmarkEnd w:id="69"/>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2C71FD5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C118D2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38613676">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04731B2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4EE61357">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2EB3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9F125E9">
            <w:pPr>
              <w:adjustRightInd w:val="0"/>
              <w:spacing w:line="400" w:lineRule="exact"/>
              <w:jc w:val="center"/>
              <w:rPr>
                <w:rFonts w:ascii="宋体" w:hAnsi="宋体" w:cs="宋体"/>
                <w:color w:val="auto"/>
                <w:szCs w:val="21"/>
                <w:highlight w:val="none"/>
              </w:rPr>
            </w:pPr>
            <w:bookmarkStart w:id="70" w:name="_26"/>
            <w:bookmarkEnd w:id="70"/>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43482CC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3D5CC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49F1BEA">
            <w:pPr>
              <w:adjustRightInd w:val="0"/>
              <w:spacing w:line="400" w:lineRule="exact"/>
              <w:jc w:val="center"/>
              <w:rPr>
                <w:rFonts w:ascii="宋体" w:hAnsi="宋体" w:cs="宋体"/>
                <w:color w:val="auto"/>
                <w:szCs w:val="21"/>
                <w:highlight w:val="none"/>
              </w:rPr>
            </w:pPr>
            <w:bookmarkStart w:id="71" w:name="_28.3"/>
            <w:bookmarkEnd w:id="71"/>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76FECF8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286B462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366E37B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6AC7D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2C89E364">
            <w:pPr>
              <w:adjustRightInd w:val="0"/>
              <w:spacing w:line="400" w:lineRule="exact"/>
              <w:jc w:val="center"/>
              <w:rPr>
                <w:rFonts w:ascii="宋体" w:hAnsi="宋体" w:cs="宋体"/>
                <w:color w:val="auto"/>
                <w:szCs w:val="21"/>
                <w:highlight w:val="none"/>
              </w:rPr>
            </w:pPr>
            <w:bookmarkStart w:id="72" w:name="_29.2.2（2）"/>
            <w:bookmarkEnd w:id="72"/>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40E53710">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347E427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服务内容及要求评审中允许负偏离的条款数：</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6C4BD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1071E9A1">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7D1C6E05">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46B5C04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459E7DC5">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45BDD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3E39D7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3E1D2D6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0063D1B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rPr>
              <w:t>依次按投标报价低的优先、服务实施保障措施分高的优先、管理制度和运作流程分高的优先、纠纷处理方案分高的优先、人员配置及投入项目方案分高的优先、履约能力分高的优先顺序推荐；</w:t>
            </w:r>
          </w:p>
          <w:p w14:paraId="10701DC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833817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2AFB559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07100C6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的实质性要求正偏离项数多的优先、均无正偏离或者正偏离项数一致时负偏离项数少的优先、保修（维护）期长优先、交货期短优先、故障响应时间短优先的顺序确定。</w:t>
            </w:r>
          </w:p>
          <w:p w14:paraId="0DB79C6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57F74FD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5AD65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1E82891D">
            <w:pPr>
              <w:adjustRightInd w:val="0"/>
              <w:spacing w:line="400" w:lineRule="exact"/>
              <w:jc w:val="center"/>
              <w:rPr>
                <w:rFonts w:ascii="宋体" w:hAnsi="宋体" w:cs="宋体"/>
                <w:color w:val="auto"/>
                <w:szCs w:val="21"/>
                <w:highlight w:val="none"/>
              </w:rPr>
            </w:pPr>
            <w:bookmarkStart w:id="73" w:name="_39.1"/>
            <w:bookmarkEnd w:id="73"/>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0D2D62F">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036F88D8">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68E169AF">
            <w:pPr>
              <w:widowControl/>
              <w:autoSpaceDE w:val="0"/>
              <w:autoSpaceDN w:val="0"/>
              <w:snapToGrid w:val="0"/>
              <w:spacing w:line="360" w:lineRule="auto"/>
              <w:ind w:firstLine="420" w:firstLineChars="200"/>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履约保证金金额：按人民币</w:t>
            </w:r>
            <w:r>
              <w:rPr>
                <w:rFonts w:hint="eastAsia" w:ascii="宋体" w:hAnsi="宋体" w:cs="宋体"/>
                <w:b/>
                <w:bCs/>
                <w:color w:val="auto"/>
                <w:szCs w:val="21"/>
                <w:highlight w:val="none"/>
              </w:rPr>
              <w:t>捌万元整（</w:t>
            </w:r>
            <w:r>
              <w:rPr>
                <w:rFonts w:hint="eastAsia" w:ascii="宋体" w:hAnsi="宋体" w:cs="宋体"/>
                <w:b/>
                <w:bCs/>
                <w:color w:val="auto"/>
                <w:kern w:val="0"/>
                <w:szCs w:val="21"/>
                <w:highlight w:val="none"/>
              </w:rPr>
              <w:t>¥</w:t>
            </w:r>
            <w:r>
              <w:rPr>
                <w:rFonts w:hint="eastAsia" w:ascii="宋体" w:hAnsi="宋体" w:cs="宋体"/>
                <w:b/>
                <w:bCs/>
                <w:color w:val="auto"/>
                <w:szCs w:val="21"/>
                <w:highlight w:val="none"/>
              </w:rPr>
              <w:t>80000.00）</w:t>
            </w:r>
            <w:r>
              <w:rPr>
                <w:rFonts w:hint="eastAsia" w:ascii="宋体" w:hAnsi="宋体" w:cs="宋体"/>
                <w:color w:val="auto"/>
                <w:szCs w:val="21"/>
                <w:highlight w:val="none"/>
              </w:rPr>
              <w:t>。中标人必须在合同签订前向采购人足额缴纳履约保证金。</w:t>
            </w:r>
          </w:p>
          <w:p w14:paraId="2AA046A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61C3339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189FB15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4162AC32">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（1）中标供应商若不能完全履行合同，履约保证金不返还；中标供应商若完全履行合同，服务期满后且不存在违约情形的，中标供应商凭履约保证金缴款凭证、退付意见书到采购人财务部门办理无息退还手续。</w:t>
            </w:r>
          </w:p>
          <w:p w14:paraId="0174DB5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（2）在履约保证金退还日期前，若中标供应商的开户名称、开户银行、账号有变动的，请以书面形式通知履约保证金收取单位，否则由此产生的后果由中标供应商自负。</w:t>
            </w:r>
          </w:p>
          <w:p w14:paraId="7B0FAF5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（3）中标供应商在签订合同后存在违约情形的，履约保证金不予退还。履约保证金不足以赔偿损失的，按实际损失赔偿。</w:t>
            </w:r>
          </w:p>
          <w:p w14:paraId="23C747F2">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2F1FE71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开户名称：桂林医科大学第一附属医院</w:t>
            </w:r>
          </w:p>
          <w:p w14:paraId="75F1C8A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57AAAFD0">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4A27AAFC">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6ED75904">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67ED5A1">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3F02C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2CAF2B">
            <w:pPr>
              <w:adjustRightInd w:val="0"/>
              <w:spacing w:line="400" w:lineRule="exact"/>
              <w:jc w:val="center"/>
              <w:rPr>
                <w:rFonts w:ascii="宋体" w:hAnsi="宋体" w:cs="宋体"/>
                <w:color w:val="auto"/>
                <w:szCs w:val="21"/>
                <w:highlight w:val="none"/>
              </w:rPr>
            </w:pPr>
            <w:bookmarkStart w:id="74" w:name="_40.1"/>
            <w:bookmarkEnd w:id="74"/>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6648EB0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166E10E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78AB30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69EB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ED0D3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46214FE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702FEA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质疑联系部门及联系方式：云之龙咨询集团有限公司桂林分公司，联系人：吕雯、万紫琳，联系电话：0773-2887388  2887399 。通讯地址：广西桂林市临桂区西城北路2号耀辉•美好家园2幢12层1号房。</w:t>
            </w:r>
          </w:p>
          <w:p w14:paraId="18EF125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22F55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F619F6">
            <w:pPr>
              <w:adjustRightInd w:val="0"/>
              <w:spacing w:line="400" w:lineRule="exact"/>
              <w:jc w:val="center"/>
              <w:rPr>
                <w:rFonts w:ascii="宋体" w:hAnsi="宋体" w:cs="宋体"/>
                <w:color w:val="auto"/>
                <w:szCs w:val="21"/>
                <w:highlight w:val="none"/>
              </w:rPr>
            </w:pPr>
            <w:bookmarkStart w:id="75" w:name="_41"/>
            <w:bookmarkEnd w:id="75"/>
            <w:bookmarkStart w:id="76" w:name="_42"/>
            <w:bookmarkEnd w:id="76"/>
            <w:bookmarkStart w:id="77" w:name="_Hlt17709148"/>
            <w:r>
              <w:rPr>
                <w:rFonts w:hint="eastAsia" w:ascii="宋体" w:hAnsi="宋体" w:cs="宋体"/>
                <w:color w:val="auto"/>
                <w:szCs w:val="21"/>
                <w:highlight w:val="none"/>
              </w:rPr>
              <w:t>3</w:t>
            </w:r>
            <w:bookmarkEnd w:id="77"/>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94EC0BE">
            <w:pPr>
              <w:pStyle w:val="25"/>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6D4512B6">
            <w:pPr>
              <w:pStyle w:val="25"/>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本项目代理服务费由中标人在获取中标通知书前向采购代理机构一次性付清</w:t>
            </w:r>
            <w:r>
              <w:rPr>
                <w:rFonts w:hint="eastAsia" w:hAnsi="宋体"/>
                <w:color w:val="auto"/>
                <w:highlight w:val="none"/>
              </w:rPr>
              <w:t>。</w:t>
            </w:r>
          </w:p>
          <w:p w14:paraId="0DEBBA38">
            <w:pPr>
              <w:pStyle w:val="25"/>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2753B19D">
            <w:pPr>
              <w:pStyle w:val="25"/>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50D1A183">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“服务招标”类</w:t>
            </w:r>
            <w:r>
              <w:rPr>
                <w:rFonts w:hint="eastAsia" w:ascii="宋体" w:hAnsi="宋体"/>
                <w:color w:val="auto"/>
                <w:highlight w:val="none"/>
              </w:rPr>
              <w:t>收费标准下浮20%计算（不足人民币5000元的，按5000元计）。</w:t>
            </w:r>
          </w:p>
          <w:p w14:paraId="152DF163">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4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1647"/>
              <w:gridCol w:w="1782"/>
              <w:gridCol w:w="2052"/>
            </w:tblGrid>
            <w:tr w14:paraId="0B9E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1E9231CB">
                  <w:pPr>
                    <w:pStyle w:val="25"/>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245235" cy="642620"/>
                            <wp:effectExtent l="1905" t="4445" r="2540" b="8255"/>
                            <wp:wrapNone/>
                            <wp:docPr id="9" name="直线 3"/>
                            <wp:cNvGraphicFramePr/>
                            <a:graphic xmlns:a="http://schemas.openxmlformats.org/drawingml/2006/main">
                              <a:graphicData uri="http://schemas.microsoft.com/office/word/2010/wordprocessingShape">
                                <wps:wsp>
                                  <wps:cNvCnPr/>
                                  <wps:spPr>
                                    <a:xfrm>
                                      <a:off x="0" y="0"/>
                                      <a:ext cx="1245235" cy="64262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23.35pt;margin-top:0.85pt;height:50.6pt;width:98.05pt;z-index:251659264;mso-width-relative:page;mso-height-relative:page;" filled="f" stroked="t" coordsize="21600,21600" o:gfxdata="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objjdQA&#10;AAAIAQAADwAAAAAAAAABACAAAAAiAAAAZHJzL2Rvd25yZXYueG1sUEsBAhQAFAAAAAgAh07iQJqd&#10;k/nqAQAA3gMAAA4AAAAAAAAAAQAgAAAAIwEAAGRycy9lMm9Eb2MueG1sUEsFBgAAAAAGAAYAWQEA&#10;AH8FAAAAAA==&#10;">
                            <v:fill on="f" focussize="0,0"/>
                            <v:stroke color="#000000" joinstyle="round"/>
                            <v:imagedata o:title=""/>
                            <o:lock v:ext="edit" aspectratio="f"/>
                          </v:line>
                        </w:pict>
                      </mc:Fallback>
                    </mc:AlternateContent>
                  </w:r>
                  <w:r>
                    <w:rPr>
                      <w:rFonts w:hint="eastAsia" w:hAnsi="宋体"/>
                      <w:color w:val="auto"/>
                      <w:sz w:val="21"/>
                      <w:highlight w:val="none"/>
                    </w:rPr>
                    <w:t>费率          服务类型</w:t>
                  </w:r>
                </w:p>
                <w:p w14:paraId="698CEF84">
                  <w:pPr>
                    <w:pStyle w:val="25"/>
                    <w:spacing w:line="360" w:lineRule="exact"/>
                    <w:ind w:left="25"/>
                    <w:rPr>
                      <w:rFonts w:hAnsi="宋体"/>
                      <w:color w:val="auto"/>
                      <w:sz w:val="21"/>
                      <w:highlight w:val="none"/>
                    </w:rPr>
                  </w:pPr>
                  <w:r>
                    <w:rPr>
                      <w:rFonts w:hAnsi="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69850</wp:posOffset>
                            </wp:positionV>
                            <wp:extent cx="1587500" cy="370205"/>
                            <wp:effectExtent l="1270" t="4445" r="11430" b="6350"/>
                            <wp:wrapNone/>
                            <wp:docPr id="8" name="直线 4"/>
                            <wp:cNvGraphicFramePr/>
                            <a:graphic xmlns:a="http://schemas.openxmlformats.org/drawingml/2006/main">
                              <a:graphicData uri="http://schemas.microsoft.com/office/word/2010/wordprocessingShape">
                                <wps:wsp>
                                  <wps:cNvCnPr/>
                                  <wps:spPr>
                                    <a:xfrm>
                                      <a:off x="0" y="0"/>
                                      <a:ext cx="1587500" cy="37020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4" o:spid="_x0000_s1026" o:spt="20" style="position:absolute;left:0pt;margin-left:-1.8pt;margin-top:5.5pt;height:29.15pt;width:125pt;z-index:251660288;mso-width-relative:page;mso-height-relative:page;" filled="f" stroked="t" coordsize="21600,21600" o:gfxdata="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ejR5tYA&#10;AAAIAQAADwAAAAAAAAABACAAAAAiAAAAZHJzL2Rvd25yZXYueG1sUEsBAhQAFAAAAAgAh07iQB+R&#10;flToAQAA3gMAAA4AAAAAAAAAAQAgAAAAJQEAAGRycy9lMm9Eb2MueG1sUEsFBgAAAAAGAAYAWQEA&#10;AH8FAAAAAA==&#10;">
                            <v:fill on="f" focussize="0,0"/>
                            <v:stroke color="#000000" joinstyle="round"/>
                            <v:imagedata o:title=""/>
                            <o:lock v:ext="edit" aspectratio="f"/>
                          </v:line>
                        </w:pict>
                      </mc:Fallback>
                    </mc:AlternateContent>
                  </w:r>
                </w:p>
                <w:p w14:paraId="5ECD92B0">
                  <w:pPr>
                    <w:pStyle w:val="25"/>
                    <w:spacing w:line="360" w:lineRule="exact"/>
                    <w:ind w:left="25"/>
                    <w:rPr>
                      <w:rFonts w:hAnsi="宋体"/>
                      <w:color w:val="auto"/>
                      <w:sz w:val="21"/>
                      <w:highlight w:val="none"/>
                    </w:rPr>
                  </w:pPr>
                  <w:r>
                    <w:rPr>
                      <w:rFonts w:hint="eastAsia" w:hAnsi="宋体"/>
                      <w:color w:val="auto"/>
                      <w:sz w:val="21"/>
                      <w:highlight w:val="none"/>
                    </w:rPr>
                    <w:t>中标金额</w:t>
                  </w:r>
                </w:p>
              </w:tc>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0F814DD2">
                  <w:pPr>
                    <w:pStyle w:val="25"/>
                    <w:spacing w:line="360" w:lineRule="exact"/>
                    <w:ind w:left="25"/>
                    <w:jc w:val="center"/>
                    <w:rPr>
                      <w:rFonts w:hAnsi="宋体"/>
                      <w:color w:val="auto"/>
                      <w:sz w:val="21"/>
                      <w:highlight w:val="none"/>
                    </w:rPr>
                  </w:pPr>
                  <w:r>
                    <w:rPr>
                      <w:rFonts w:hint="eastAsia" w:hAnsi="宋体"/>
                      <w:color w:val="auto"/>
                      <w:sz w:val="21"/>
                      <w:highlight w:val="none"/>
                    </w:rPr>
                    <w:t>货物招标</w:t>
                  </w:r>
                </w:p>
              </w:tc>
              <w:tc>
                <w:tcPr>
                  <w:tcW w:w="1782" w:type="dxa"/>
                  <w:tcBorders>
                    <w:top w:val="single" w:color="auto" w:sz="4" w:space="0"/>
                    <w:left w:val="single" w:color="auto" w:sz="4" w:space="0"/>
                    <w:bottom w:val="single" w:color="auto" w:sz="4" w:space="0"/>
                    <w:right w:val="single" w:color="auto" w:sz="4" w:space="0"/>
                    <w:tl2br w:val="nil"/>
                    <w:tr2bl w:val="nil"/>
                  </w:tcBorders>
                  <w:vAlign w:val="center"/>
                </w:tcPr>
                <w:p w14:paraId="6E9329A2">
                  <w:pPr>
                    <w:pStyle w:val="25"/>
                    <w:spacing w:line="360" w:lineRule="exact"/>
                    <w:ind w:left="25"/>
                    <w:jc w:val="center"/>
                    <w:rPr>
                      <w:rFonts w:hAnsi="宋体"/>
                      <w:color w:val="auto"/>
                      <w:sz w:val="21"/>
                      <w:highlight w:val="none"/>
                    </w:rPr>
                  </w:pPr>
                  <w:r>
                    <w:rPr>
                      <w:rFonts w:hint="eastAsia" w:hAnsi="宋体"/>
                      <w:color w:val="auto"/>
                      <w:sz w:val="21"/>
                      <w:highlight w:val="none"/>
                    </w:rPr>
                    <w:t>服务招标</w:t>
                  </w:r>
                </w:p>
              </w:tc>
              <w:tc>
                <w:tcPr>
                  <w:tcW w:w="2052" w:type="dxa"/>
                  <w:tcBorders>
                    <w:top w:val="single" w:color="auto" w:sz="4" w:space="0"/>
                    <w:left w:val="single" w:color="auto" w:sz="4" w:space="0"/>
                    <w:bottom w:val="single" w:color="auto" w:sz="4" w:space="0"/>
                    <w:right w:val="single" w:color="auto" w:sz="4" w:space="0"/>
                    <w:tl2br w:val="nil"/>
                    <w:tr2bl w:val="nil"/>
                  </w:tcBorders>
                  <w:vAlign w:val="center"/>
                </w:tcPr>
                <w:p w14:paraId="1EB11C79">
                  <w:pPr>
                    <w:pStyle w:val="25"/>
                    <w:spacing w:line="360" w:lineRule="exact"/>
                    <w:ind w:left="25"/>
                    <w:jc w:val="center"/>
                    <w:rPr>
                      <w:rFonts w:hAnsi="宋体"/>
                      <w:color w:val="auto"/>
                      <w:sz w:val="21"/>
                      <w:highlight w:val="none"/>
                    </w:rPr>
                  </w:pPr>
                  <w:r>
                    <w:rPr>
                      <w:rFonts w:hint="eastAsia" w:hAnsi="宋体"/>
                      <w:color w:val="auto"/>
                      <w:sz w:val="21"/>
                      <w:highlight w:val="none"/>
                    </w:rPr>
                    <w:t>工程招标</w:t>
                  </w:r>
                </w:p>
              </w:tc>
            </w:tr>
            <w:tr w14:paraId="71BB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47B5507B">
                  <w:pPr>
                    <w:pStyle w:val="25"/>
                    <w:spacing w:line="360" w:lineRule="exact"/>
                    <w:ind w:left="25"/>
                    <w:rPr>
                      <w:rFonts w:hAnsi="宋体"/>
                      <w:color w:val="auto"/>
                      <w:sz w:val="21"/>
                      <w:highlight w:val="none"/>
                    </w:rPr>
                  </w:pPr>
                  <w:r>
                    <w:rPr>
                      <w:rFonts w:hint="eastAsia" w:hAnsi="宋体"/>
                      <w:color w:val="auto"/>
                      <w:sz w:val="21"/>
                      <w:highlight w:val="none"/>
                    </w:rPr>
                    <w:t>100万元以下</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11DD4798">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71103B94">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1.5%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16CA80CC">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1.0%</w:t>
                  </w:r>
                </w:p>
              </w:tc>
            </w:tr>
            <w:tr w14:paraId="3A82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4E6C3C93">
                  <w:pPr>
                    <w:pStyle w:val="25"/>
                    <w:spacing w:line="360" w:lineRule="exact"/>
                    <w:ind w:left="25"/>
                    <w:rPr>
                      <w:rFonts w:hAnsi="宋体"/>
                      <w:color w:val="auto"/>
                      <w:sz w:val="21"/>
                      <w:highlight w:val="none"/>
                    </w:rPr>
                  </w:pPr>
                  <w:r>
                    <w:rPr>
                      <w:rFonts w:hint="eastAsia" w:hAnsi="宋体"/>
                      <w:color w:val="auto"/>
                      <w:sz w:val="21"/>
                      <w:highlight w:val="none"/>
                    </w:rPr>
                    <w:t>100～500万元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295CAA3F">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1.1%</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62FBFA5E">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0.8%</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77C0CCED">
                  <w:pPr>
                    <w:pStyle w:val="193"/>
                    <w:spacing w:line="360" w:lineRule="exact"/>
                    <w:ind w:left="25"/>
                    <w:jc w:val="center"/>
                    <w:rPr>
                      <w:rFonts w:ascii="宋体" w:hAnsi="宋体"/>
                      <w:color w:val="auto"/>
                      <w:szCs w:val="21"/>
                      <w:highlight w:val="none"/>
                    </w:rPr>
                  </w:pPr>
                  <w:r>
                    <w:rPr>
                      <w:rFonts w:hint="eastAsia" w:ascii="宋体" w:hAnsi="宋体"/>
                      <w:color w:val="auto"/>
                      <w:szCs w:val="21"/>
                      <w:highlight w:val="none"/>
                    </w:rPr>
                    <w:t>0.7%</w:t>
                  </w:r>
                </w:p>
              </w:tc>
            </w:tr>
            <w:tr w14:paraId="118A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3C50098E">
                  <w:pPr>
                    <w:pStyle w:val="25"/>
                    <w:spacing w:line="360" w:lineRule="exact"/>
                    <w:ind w:left="25"/>
                    <w:rPr>
                      <w:rFonts w:hAnsi="宋体"/>
                      <w:color w:val="auto"/>
                      <w:sz w:val="21"/>
                      <w:highlight w:val="none"/>
                    </w:rPr>
                  </w:pPr>
                  <w:r>
                    <w:rPr>
                      <w:rFonts w:hint="eastAsia" w:hAnsi="宋体"/>
                      <w:color w:val="auto"/>
                      <w:sz w:val="21"/>
                      <w:highlight w:val="none"/>
                    </w:rPr>
                    <w:t>500～1000万元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658B6B25">
                  <w:pPr>
                    <w:pStyle w:val="25"/>
                    <w:spacing w:line="360" w:lineRule="exact"/>
                    <w:ind w:left="25"/>
                    <w:jc w:val="center"/>
                    <w:rPr>
                      <w:rFonts w:hAnsi="宋体"/>
                      <w:color w:val="auto"/>
                      <w:sz w:val="21"/>
                      <w:highlight w:val="none"/>
                    </w:rPr>
                  </w:pPr>
                  <w:r>
                    <w:rPr>
                      <w:rFonts w:hint="eastAsia" w:hAnsi="宋体"/>
                      <w:color w:val="auto"/>
                      <w:sz w:val="21"/>
                      <w:highlight w:val="none"/>
                    </w:rPr>
                    <w:t>0.8%</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309A4D20">
                  <w:pPr>
                    <w:pStyle w:val="25"/>
                    <w:spacing w:line="360" w:lineRule="exact"/>
                    <w:ind w:left="25"/>
                    <w:jc w:val="center"/>
                    <w:rPr>
                      <w:rFonts w:hAnsi="宋体"/>
                      <w:color w:val="auto"/>
                      <w:sz w:val="21"/>
                      <w:highlight w:val="none"/>
                    </w:rPr>
                  </w:pPr>
                  <w:r>
                    <w:rPr>
                      <w:rFonts w:hint="eastAsia" w:hAnsi="宋体"/>
                      <w:color w:val="auto"/>
                      <w:sz w:val="21"/>
                      <w:highlight w:val="none"/>
                    </w:rPr>
                    <w:t>0.45%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2A8D8092">
                  <w:pPr>
                    <w:pStyle w:val="25"/>
                    <w:spacing w:line="360" w:lineRule="exact"/>
                    <w:ind w:left="25"/>
                    <w:jc w:val="center"/>
                    <w:rPr>
                      <w:rFonts w:hAnsi="宋体"/>
                      <w:color w:val="auto"/>
                      <w:sz w:val="21"/>
                      <w:highlight w:val="none"/>
                    </w:rPr>
                  </w:pPr>
                  <w:r>
                    <w:rPr>
                      <w:rFonts w:hint="eastAsia" w:hAnsi="宋体"/>
                      <w:color w:val="auto"/>
                      <w:sz w:val="21"/>
                      <w:highlight w:val="none"/>
                    </w:rPr>
                    <w:t>0.55%</w:t>
                  </w:r>
                </w:p>
              </w:tc>
            </w:tr>
            <w:tr w14:paraId="252A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7B0DC8EE">
                  <w:pPr>
                    <w:pStyle w:val="25"/>
                    <w:spacing w:line="360" w:lineRule="exact"/>
                    <w:ind w:left="25"/>
                    <w:rPr>
                      <w:rFonts w:hAnsi="宋体"/>
                      <w:color w:val="auto"/>
                      <w:sz w:val="21"/>
                      <w:highlight w:val="none"/>
                    </w:rPr>
                  </w:pPr>
                  <w:r>
                    <w:rPr>
                      <w:rFonts w:hint="eastAsia" w:hAnsi="宋体"/>
                      <w:color w:val="auto"/>
                      <w:sz w:val="21"/>
                      <w:highlight w:val="none"/>
                    </w:rPr>
                    <w:t>1000～5000万元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5AE24B05">
                  <w:pPr>
                    <w:pStyle w:val="25"/>
                    <w:spacing w:line="360" w:lineRule="exact"/>
                    <w:ind w:left="25"/>
                    <w:jc w:val="center"/>
                    <w:rPr>
                      <w:rFonts w:hAnsi="宋体"/>
                      <w:color w:val="auto"/>
                      <w:sz w:val="21"/>
                      <w:highlight w:val="none"/>
                    </w:rPr>
                  </w:pPr>
                  <w:r>
                    <w:rPr>
                      <w:rFonts w:hint="eastAsia" w:hAnsi="宋体"/>
                      <w:color w:val="auto"/>
                      <w:sz w:val="21"/>
                      <w:highlight w:val="none"/>
                    </w:rPr>
                    <w:t>0.5%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3664E2B2">
                  <w:pPr>
                    <w:pStyle w:val="25"/>
                    <w:spacing w:line="360" w:lineRule="exact"/>
                    <w:ind w:left="25"/>
                    <w:jc w:val="center"/>
                    <w:rPr>
                      <w:rFonts w:hAnsi="宋体"/>
                      <w:color w:val="auto"/>
                      <w:sz w:val="21"/>
                      <w:highlight w:val="none"/>
                    </w:rPr>
                  </w:pPr>
                  <w:r>
                    <w:rPr>
                      <w:rFonts w:hint="eastAsia" w:hAnsi="宋体"/>
                      <w:color w:val="auto"/>
                      <w:sz w:val="21"/>
                      <w:highlight w:val="none"/>
                    </w:rPr>
                    <w:t>0.25%</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5759A55F">
                  <w:pPr>
                    <w:pStyle w:val="25"/>
                    <w:spacing w:line="360" w:lineRule="exact"/>
                    <w:ind w:left="25"/>
                    <w:jc w:val="center"/>
                    <w:rPr>
                      <w:rFonts w:hAnsi="宋体"/>
                      <w:color w:val="auto"/>
                      <w:sz w:val="21"/>
                      <w:highlight w:val="none"/>
                    </w:rPr>
                  </w:pPr>
                  <w:r>
                    <w:rPr>
                      <w:rFonts w:hint="eastAsia" w:hAnsi="宋体"/>
                      <w:color w:val="auto"/>
                      <w:sz w:val="21"/>
                      <w:highlight w:val="none"/>
                    </w:rPr>
                    <w:t>0.35%</w:t>
                  </w:r>
                </w:p>
              </w:tc>
            </w:tr>
            <w:tr w14:paraId="7546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77" w:type="dxa"/>
                  <w:tcBorders>
                    <w:top w:val="single" w:color="auto" w:sz="4" w:space="0"/>
                    <w:left w:val="single" w:color="auto" w:sz="4" w:space="0"/>
                    <w:bottom w:val="single" w:color="auto" w:sz="4" w:space="0"/>
                    <w:right w:val="single" w:color="auto" w:sz="4" w:space="0"/>
                    <w:tl2br w:val="nil"/>
                    <w:tr2bl w:val="nil"/>
                  </w:tcBorders>
                </w:tcPr>
                <w:p w14:paraId="5BD2B20D">
                  <w:pPr>
                    <w:pStyle w:val="25"/>
                    <w:spacing w:line="360" w:lineRule="exact"/>
                    <w:ind w:left="25"/>
                    <w:rPr>
                      <w:rFonts w:hAnsi="宋体"/>
                      <w:color w:val="auto"/>
                      <w:sz w:val="21"/>
                      <w:highlight w:val="none"/>
                    </w:rPr>
                  </w:pPr>
                  <w:r>
                    <w:rPr>
                      <w:rFonts w:hint="eastAsia" w:hAnsi="宋体"/>
                      <w:color w:val="auto"/>
                      <w:sz w:val="21"/>
                      <w:highlight w:val="none"/>
                    </w:rPr>
                    <w:t>5000万元～1亿元</w:t>
                  </w:r>
                </w:p>
              </w:tc>
              <w:tc>
                <w:tcPr>
                  <w:tcW w:w="1647" w:type="dxa"/>
                  <w:tcBorders>
                    <w:top w:val="single" w:color="auto" w:sz="4" w:space="0"/>
                    <w:left w:val="single" w:color="auto" w:sz="4" w:space="0"/>
                    <w:bottom w:val="single" w:color="auto" w:sz="4" w:space="0"/>
                    <w:right w:val="single" w:color="auto" w:sz="4" w:space="0"/>
                    <w:tl2br w:val="nil"/>
                    <w:tr2bl w:val="nil"/>
                  </w:tcBorders>
                </w:tcPr>
                <w:p w14:paraId="3D05834D">
                  <w:pPr>
                    <w:pStyle w:val="25"/>
                    <w:spacing w:line="360" w:lineRule="exact"/>
                    <w:ind w:left="25"/>
                    <w:jc w:val="center"/>
                    <w:rPr>
                      <w:rFonts w:hAnsi="宋体"/>
                      <w:color w:val="auto"/>
                      <w:sz w:val="21"/>
                      <w:highlight w:val="none"/>
                    </w:rPr>
                  </w:pPr>
                  <w:r>
                    <w:rPr>
                      <w:rFonts w:hint="eastAsia" w:hAnsi="宋体"/>
                      <w:color w:val="auto"/>
                      <w:sz w:val="21"/>
                      <w:highlight w:val="none"/>
                    </w:rPr>
                    <w:t>0.25%</w:t>
                  </w:r>
                </w:p>
              </w:tc>
              <w:tc>
                <w:tcPr>
                  <w:tcW w:w="1782" w:type="dxa"/>
                  <w:tcBorders>
                    <w:top w:val="single" w:color="auto" w:sz="4" w:space="0"/>
                    <w:left w:val="single" w:color="auto" w:sz="4" w:space="0"/>
                    <w:bottom w:val="single" w:color="auto" w:sz="4" w:space="0"/>
                    <w:right w:val="single" w:color="auto" w:sz="4" w:space="0"/>
                    <w:tl2br w:val="nil"/>
                    <w:tr2bl w:val="nil"/>
                  </w:tcBorders>
                </w:tcPr>
                <w:p w14:paraId="178AEE00">
                  <w:pPr>
                    <w:pStyle w:val="25"/>
                    <w:spacing w:line="360" w:lineRule="exact"/>
                    <w:ind w:left="25"/>
                    <w:jc w:val="center"/>
                    <w:rPr>
                      <w:rFonts w:hAnsi="宋体"/>
                      <w:color w:val="auto"/>
                      <w:sz w:val="21"/>
                      <w:highlight w:val="none"/>
                    </w:rPr>
                  </w:pPr>
                  <w:r>
                    <w:rPr>
                      <w:rFonts w:hint="eastAsia" w:hAnsi="宋体"/>
                      <w:color w:val="auto"/>
                      <w:sz w:val="21"/>
                      <w:highlight w:val="none"/>
                    </w:rPr>
                    <w:t>0.1%</w:t>
                  </w:r>
                </w:p>
              </w:tc>
              <w:tc>
                <w:tcPr>
                  <w:tcW w:w="2052" w:type="dxa"/>
                  <w:tcBorders>
                    <w:top w:val="single" w:color="auto" w:sz="4" w:space="0"/>
                    <w:left w:val="single" w:color="auto" w:sz="4" w:space="0"/>
                    <w:bottom w:val="single" w:color="auto" w:sz="4" w:space="0"/>
                    <w:right w:val="single" w:color="auto" w:sz="4" w:space="0"/>
                    <w:tl2br w:val="nil"/>
                    <w:tr2bl w:val="nil"/>
                  </w:tcBorders>
                </w:tcPr>
                <w:p w14:paraId="47D94559">
                  <w:pPr>
                    <w:pStyle w:val="25"/>
                    <w:spacing w:line="360" w:lineRule="exact"/>
                    <w:ind w:left="25"/>
                    <w:jc w:val="center"/>
                    <w:rPr>
                      <w:rFonts w:hAnsi="宋体"/>
                      <w:color w:val="auto"/>
                      <w:sz w:val="21"/>
                      <w:highlight w:val="none"/>
                    </w:rPr>
                  </w:pPr>
                  <w:r>
                    <w:rPr>
                      <w:rFonts w:hint="eastAsia" w:hAnsi="宋体"/>
                      <w:color w:val="auto"/>
                      <w:sz w:val="21"/>
                      <w:highlight w:val="none"/>
                    </w:rPr>
                    <w:t>0.2%</w:t>
                  </w:r>
                </w:p>
              </w:tc>
            </w:tr>
          </w:tbl>
          <w:p w14:paraId="254D0EFE">
            <w:pPr>
              <w:pStyle w:val="25"/>
              <w:spacing w:line="360" w:lineRule="exact"/>
              <w:ind w:left="25"/>
              <w:rPr>
                <w:rFonts w:hAnsi="宋体" w:cs="宋体"/>
                <w:color w:val="auto"/>
                <w:sz w:val="21"/>
                <w:highlight w:val="none"/>
              </w:rPr>
            </w:pPr>
            <w:r>
              <w:rPr>
                <w:rFonts w:hint="eastAsia" w:hAnsi="宋体"/>
                <w:color w:val="auto"/>
                <w:sz w:val="21"/>
                <w:highlight w:val="none"/>
              </w:rPr>
              <w:t>注：采购代理服务收费按差额定率累进法计算。</w:t>
            </w:r>
          </w:p>
          <w:p w14:paraId="1844E67D">
            <w:pPr>
              <w:pStyle w:val="25"/>
              <w:spacing w:line="360" w:lineRule="exact"/>
              <w:ind w:left="25"/>
              <w:rPr>
                <w:rFonts w:hint="eastAsia" w:hAnsi="宋体"/>
                <w:color w:val="auto"/>
                <w:sz w:val="21"/>
                <w:highlight w:val="none"/>
              </w:rPr>
            </w:pPr>
            <w:r>
              <w:rPr>
                <w:rFonts w:hint="eastAsia" w:hAnsi="宋体"/>
                <w:color w:val="auto"/>
                <w:sz w:val="21"/>
                <w:highlight w:val="none"/>
              </w:rPr>
              <w:t>□固定收费：固定采购代理收费</w:t>
            </w:r>
            <w:r>
              <w:rPr>
                <w:rFonts w:hint="eastAsia" w:hAnsi="宋体"/>
                <w:color w:val="auto"/>
                <w:sz w:val="21"/>
                <w:highlight w:val="none"/>
                <w:u w:val="single"/>
              </w:rPr>
              <w:t xml:space="preserve">  \   </w:t>
            </w:r>
            <w:r>
              <w:rPr>
                <w:rFonts w:hint="eastAsia" w:hAnsi="宋体"/>
                <w:color w:val="auto"/>
                <w:sz w:val="21"/>
                <w:highlight w:val="none"/>
              </w:rPr>
              <w:t>元。</w:t>
            </w:r>
          </w:p>
          <w:p w14:paraId="264B1670">
            <w:pPr>
              <w:pStyle w:val="25"/>
              <w:adjustRightInd w:val="0"/>
              <w:spacing w:line="400" w:lineRule="exact"/>
              <w:rPr>
                <w:rFonts w:hAnsi="宋体" w:cs="宋体"/>
                <w:color w:val="auto"/>
                <w:sz w:val="21"/>
                <w:highlight w:val="none"/>
              </w:rPr>
            </w:pPr>
            <w:r>
              <w:rPr>
                <w:rFonts w:hint="eastAsia" w:hAnsi="宋体" w:cs="宋体"/>
                <w:color w:val="auto"/>
                <w:sz w:val="21"/>
                <w:highlight w:val="none"/>
              </w:rPr>
              <w:t>3.开户名称：云之龙咨询集团有限公司桂林分公司</w:t>
            </w:r>
          </w:p>
          <w:p w14:paraId="29A8960A">
            <w:pPr>
              <w:pStyle w:val="25"/>
              <w:adjustRightInd w:val="0"/>
              <w:spacing w:line="400" w:lineRule="exact"/>
              <w:rPr>
                <w:rFonts w:hAnsi="宋体" w:cs="宋体"/>
                <w:color w:val="auto"/>
                <w:sz w:val="21"/>
                <w:highlight w:val="none"/>
              </w:rPr>
            </w:pPr>
            <w:r>
              <w:rPr>
                <w:rFonts w:hint="eastAsia" w:hAnsi="宋体" w:cs="宋体"/>
                <w:color w:val="auto"/>
                <w:sz w:val="21"/>
                <w:highlight w:val="none"/>
              </w:rPr>
              <w:t>银行账号：8113001014300158041</w:t>
            </w:r>
          </w:p>
          <w:p w14:paraId="4390BED2">
            <w:pPr>
              <w:pStyle w:val="25"/>
              <w:adjustRightInd w:val="0"/>
              <w:spacing w:line="400" w:lineRule="exact"/>
              <w:rPr>
                <w:rFonts w:hAnsi="宋体" w:cs="宋体"/>
                <w:color w:val="auto"/>
                <w:sz w:val="21"/>
                <w:highlight w:val="none"/>
              </w:rPr>
            </w:pPr>
            <w:r>
              <w:rPr>
                <w:rFonts w:hint="eastAsia" w:hAnsi="宋体" w:cs="宋体"/>
                <w:color w:val="auto"/>
                <w:sz w:val="21"/>
                <w:szCs w:val="24"/>
                <w:highlight w:val="none"/>
              </w:rPr>
              <w:t>开户银行：中信银行股份有限公司南宁园湖支行</w:t>
            </w:r>
          </w:p>
        </w:tc>
      </w:tr>
      <w:tr w14:paraId="0F311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6AF9DA">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57FFE641">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E08E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824FC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243C703F">
            <w:pPr>
              <w:pStyle w:val="25"/>
              <w:numPr>
                <w:ilvl w:val="0"/>
                <w:numId w:val="3"/>
              </w:numPr>
              <w:adjustRightInd w:val="0"/>
              <w:spacing w:line="360" w:lineRule="exact"/>
              <w:rPr>
                <w:rFonts w:hAnsi="宋体" w:cs="宋体"/>
                <w:color w:val="auto"/>
                <w:sz w:val="21"/>
                <w:highlight w:val="none"/>
              </w:rPr>
            </w:pPr>
            <w:r>
              <w:rPr>
                <w:rFonts w:hint="eastAsia" w:hAnsi="宋体" w:cs="宋体"/>
                <w:color w:val="auto"/>
                <w:sz w:val="21"/>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DAAF5A2">
            <w:pPr>
              <w:pStyle w:val="25"/>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2.本招标文件所称的“电子签章”、“电子签名”，是指经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629E0C09">
            <w:pPr>
              <w:pStyle w:val="25"/>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4409A59">
            <w:pPr>
              <w:pStyle w:val="25"/>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D6E2373">
            <w:pPr>
              <w:pStyle w:val="25"/>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2552A176">
            <w:pPr>
              <w:pStyle w:val="25"/>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665B99E8">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632C35F7">
      <w:pPr>
        <w:pStyle w:val="4"/>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321F3905">
      <w:pPr>
        <w:pStyle w:val="5"/>
        <w:keepNext w:val="0"/>
        <w:keepLines w:val="0"/>
        <w:spacing w:before="0" w:after="0" w:line="360" w:lineRule="auto"/>
        <w:ind w:left="420" w:leftChars="200"/>
        <w:rPr>
          <w:rFonts w:ascii="宋体" w:hAnsi="宋体" w:cs="宋体"/>
          <w:color w:val="auto"/>
          <w:sz w:val="24"/>
          <w:highlight w:val="none"/>
        </w:rPr>
      </w:pPr>
      <w:bookmarkStart w:id="78" w:name="_Toc254970668"/>
      <w:bookmarkStart w:id="79" w:name="_Toc254970527"/>
      <w:r>
        <w:rPr>
          <w:rFonts w:hint="eastAsia" w:ascii="宋体" w:hAnsi="宋体" w:cs="宋体"/>
          <w:color w:val="auto"/>
          <w:sz w:val="24"/>
          <w:highlight w:val="none"/>
        </w:rPr>
        <w:t>1.适用范围</w:t>
      </w:r>
      <w:bookmarkEnd w:id="78"/>
      <w:bookmarkEnd w:id="79"/>
    </w:p>
    <w:p w14:paraId="72DB4B0E">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1DB5AE9">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73B7C2E">
      <w:pPr>
        <w:pStyle w:val="5"/>
        <w:keepNext w:val="0"/>
        <w:keepLines w:val="0"/>
        <w:spacing w:before="0" w:after="0" w:line="440" w:lineRule="exact"/>
        <w:ind w:left="420" w:leftChars="200"/>
        <w:rPr>
          <w:rFonts w:ascii="宋体" w:hAnsi="宋体" w:cs="宋体"/>
          <w:color w:val="auto"/>
          <w:sz w:val="24"/>
          <w:highlight w:val="none"/>
        </w:rPr>
      </w:pPr>
      <w:bookmarkStart w:id="80" w:name="_Toc254970669"/>
      <w:bookmarkStart w:id="81" w:name="_Toc254970528"/>
      <w:r>
        <w:rPr>
          <w:rFonts w:hint="eastAsia" w:ascii="宋体" w:hAnsi="宋体" w:cs="宋体"/>
          <w:color w:val="auto"/>
          <w:sz w:val="24"/>
          <w:highlight w:val="none"/>
        </w:rPr>
        <w:t>2.定义</w:t>
      </w:r>
      <w:bookmarkEnd w:id="80"/>
      <w:bookmarkEnd w:id="81"/>
    </w:p>
    <w:p w14:paraId="0017BAE5">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29698FED">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51C33B6F">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49CBEB9D">
      <w:pPr>
        <w:pStyle w:val="6"/>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2F1ABB28">
      <w:pPr>
        <w:pStyle w:val="5"/>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2F8AAE32">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2.6“服务”是指除货物和工程以外的其他采购对象。</w:t>
      </w:r>
    </w:p>
    <w:p w14:paraId="764984A2">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2.6“服务”：是指按招标文件规定，投标人须承担的</w:t>
      </w:r>
      <w:r>
        <w:rPr>
          <w:rFonts w:hint="eastAsia" w:ascii="宋体" w:hAnsi="宋体" w:cs="宋体"/>
          <w:color w:val="auto"/>
          <w:szCs w:val="21"/>
          <w:highlight w:val="none"/>
        </w:rPr>
        <w:t>乐群院区医辅人员服务</w:t>
      </w:r>
      <w:r>
        <w:rPr>
          <w:rFonts w:hint="eastAsia" w:ascii="宋体" w:hAnsi="宋体" w:cs="宋体"/>
          <w:color w:val="auto"/>
          <w:highlight w:val="none"/>
        </w:rPr>
        <w:t>以及本项目采购标的涉及的其他相关的义务。</w:t>
      </w:r>
    </w:p>
    <w:p w14:paraId="7D723E33">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2C9146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2.8“实质性要求”是指招标文件中已经指明不满足则投标无效的条款，或者不能负偏离的条款，或者采购需求中带“▲”的条款。投标人不满足实质性要求的，</w:t>
      </w:r>
      <w:r>
        <w:rPr>
          <w:rFonts w:hint="eastAsia" w:ascii="宋体" w:hAnsi="宋体" w:cs="宋体"/>
          <w:b/>
          <w:bCs/>
          <w:color w:val="auto"/>
          <w:szCs w:val="21"/>
          <w:highlight w:val="none"/>
        </w:rPr>
        <w:t>按投标无效处理。</w:t>
      </w:r>
    </w:p>
    <w:p w14:paraId="17208039">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2.9“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服务内容优于招标文件基本要求的其它情形。</w:t>
      </w:r>
    </w:p>
    <w:p w14:paraId="54E3C526">
      <w:pPr>
        <w:spacing w:line="360" w:lineRule="exact"/>
        <w:ind w:firstLine="435"/>
        <w:rPr>
          <w:rFonts w:ascii="宋体" w:hAnsi="宋体"/>
          <w:bCs/>
          <w:color w:val="auto"/>
          <w:szCs w:val="21"/>
          <w:highlight w:val="none"/>
        </w:rPr>
      </w:pPr>
      <w:r>
        <w:rPr>
          <w:rFonts w:hint="eastAsia" w:ascii="宋体" w:hAnsi="宋体"/>
          <w:bCs/>
          <w:color w:val="auto"/>
          <w:szCs w:val="21"/>
          <w:highlight w:val="none"/>
        </w:rPr>
        <w:t>2.10</w:t>
      </w:r>
      <w:r>
        <w:rPr>
          <w:rFonts w:hint="eastAsia" w:ascii="宋体" w:hAnsi="宋体" w:cs="宋体"/>
          <w:bCs/>
          <w:color w:val="auto"/>
          <w:szCs w:val="21"/>
          <w:highlight w:val="none"/>
        </w:rPr>
        <w:t>“负偏离”是指投标文件对招标文件“采购需求”中有关条款作出的响应不满足条款要求，导致采购人要求不能得到满足的情形。</w:t>
      </w:r>
    </w:p>
    <w:p w14:paraId="410F36B8">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82" w:name="_Toc254970529"/>
      <w:bookmarkStart w:id="83" w:name="_Toc254970670"/>
    </w:p>
    <w:p w14:paraId="7FB30A9B">
      <w:pPr>
        <w:pStyle w:val="5"/>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2.12本项目实行全流程电子化采购，投标人通过“广西政府采购云平台”参与电子投标。“投标文件”是指投标人按本招标文件规定提交的电子投标文件。</w:t>
      </w:r>
    </w:p>
    <w:p w14:paraId="12AACD61">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2"/>
      <w:bookmarkEnd w:id="83"/>
      <w:r>
        <w:rPr>
          <w:rFonts w:hint="eastAsia" w:ascii="宋体" w:hAnsi="宋体" w:cs="宋体"/>
          <w:color w:val="auto"/>
          <w:sz w:val="24"/>
          <w:highlight w:val="none"/>
        </w:rPr>
        <w:t>投标人的资格要求</w:t>
      </w:r>
    </w:p>
    <w:p w14:paraId="3D95B97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33F8B8B0">
      <w:pPr>
        <w:pStyle w:val="5"/>
        <w:keepNext w:val="0"/>
        <w:keepLines w:val="0"/>
        <w:spacing w:before="0" w:after="0" w:line="360" w:lineRule="auto"/>
        <w:ind w:left="420" w:leftChars="200"/>
        <w:rPr>
          <w:rFonts w:ascii="宋体" w:hAnsi="宋体" w:cs="宋体"/>
          <w:color w:val="auto"/>
          <w:sz w:val="24"/>
          <w:highlight w:val="none"/>
        </w:rPr>
      </w:pPr>
      <w:bookmarkStart w:id="84" w:name="_Toc254970671"/>
      <w:bookmarkStart w:id="85" w:name="_Toc254970530"/>
      <w:r>
        <w:rPr>
          <w:rFonts w:hint="eastAsia" w:ascii="宋体" w:hAnsi="宋体" w:cs="宋体"/>
          <w:color w:val="auto"/>
          <w:sz w:val="24"/>
          <w:highlight w:val="none"/>
        </w:rPr>
        <w:t>4.投标委托</w:t>
      </w:r>
      <w:bookmarkEnd w:id="84"/>
      <w:bookmarkEnd w:id="85"/>
    </w:p>
    <w:p w14:paraId="67D2031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7ECD6A4F">
      <w:pPr>
        <w:pStyle w:val="5"/>
        <w:keepNext w:val="0"/>
        <w:keepLines w:val="0"/>
        <w:spacing w:before="0" w:after="0" w:line="360" w:lineRule="auto"/>
        <w:ind w:left="420" w:leftChars="200"/>
        <w:rPr>
          <w:rFonts w:ascii="宋体" w:hAnsi="宋体" w:cs="宋体"/>
          <w:color w:val="auto"/>
          <w:sz w:val="24"/>
          <w:highlight w:val="none"/>
        </w:rPr>
      </w:pPr>
      <w:bookmarkStart w:id="86" w:name="_5.投标费用"/>
      <w:bookmarkEnd w:id="86"/>
      <w:bookmarkStart w:id="87" w:name="_Toc254970672"/>
      <w:bookmarkStart w:id="88" w:name="_Toc254970531"/>
      <w:r>
        <w:rPr>
          <w:rFonts w:hint="eastAsia" w:ascii="宋体" w:hAnsi="宋体" w:cs="宋体"/>
          <w:color w:val="auto"/>
          <w:sz w:val="24"/>
          <w:highlight w:val="none"/>
        </w:rPr>
        <w:t>5.投标费用</w:t>
      </w:r>
      <w:bookmarkEnd w:id="87"/>
      <w:bookmarkEnd w:id="88"/>
    </w:p>
    <w:p w14:paraId="29745A8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FC2A4D1">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1939DEB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5C21BE76">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1594A69C">
      <w:pPr>
        <w:pStyle w:val="5"/>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89"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9"/>
    </w:p>
    <w:p w14:paraId="02C87E2D">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609D2D1B">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08D85DD3">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F94192D">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F96D606">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8.特别说明</w:t>
      </w:r>
    </w:p>
    <w:p w14:paraId="789D75A0">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4BB665F9">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2F72DC32">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47642BA">
      <w:pPr>
        <w:pStyle w:val="6"/>
        <w:spacing w:line="360" w:lineRule="auto"/>
        <w:rPr>
          <w:rFonts w:ascii="宋体" w:hAnsi="宋体"/>
          <w:color w:val="auto"/>
          <w:highlight w:val="none"/>
        </w:rPr>
      </w:pPr>
      <w:r>
        <w:rPr>
          <w:rFonts w:ascii="宋体" w:hAnsi="宋体"/>
          <w:color w:val="auto"/>
          <w:highlight w:val="none"/>
        </w:rPr>
        <w:t>8.4</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7EACE3C">
      <w:pPr>
        <w:pStyle w:val="6"/>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75F6A684">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6" r:link="rId17"/>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125F042D">
      <w:pPr>
        <w:pStyle w:val="6"/>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22FED51">
      <w:pPr>
        <w:pStyle w:val="6"/>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63B01464">
      <w:pPr>
        <w:pStyle w:val="6"/>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50B239B">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4761E4FF">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119AF5DD">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00D6CFFE">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4BF5F94C">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3669B107">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FB92560">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4CDB8075">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DBE545">
      <w:pPr>
        <w:pStyle w:val="5"/>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5DF73698">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6FF65DB3">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59759F3A">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106A5003">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598C31B2">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725B52C0">
      <w:pPr>
        <w:pStyle w:val="25"/>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34828ED4">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0FAE3741">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98A8318">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41D3F853">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7BEA625D">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69CC7E4C">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51614D4">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1B2A0673">
      <w:pPr>
        <w:pStyle w:val="25"/>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36461FCD">
      <w:pPr>
        <w:pStyle w:val="25"/>
        <w:snapToGrid w:val="0"/>
        <w:spacing w:line="360" w:lineRule="auto"/>
        <w:ind w:left="2" w:leftChars="1" w:firstLine="422" w:firstLineChars="200"/>
        <w:rPr>
          <w:rFonts w:hAnsi="宋体" w:cs="宋体"/>
          <w:b/>
          <w:color w:val="auto"/>
          <w:kern w:val="2"/>
          <w:sz w:val="21"/>
          <w:highlight w:val="none"/>
        </w:rPr>
      </w:pPr>
    </w:p>
    <w:p w14:paraId="3B3ED3E3">
      <w:pPr>
        <w:pStyle w:val="4"/>
        <w:keepNext w:val="0"/>
        <w:keepLines w:val="0"/>
        <w:jc w:val="center"/>
        <w:rPr>
          <w:rFonts w:ascii="宋体" w:hAnsi="宋体" w:cs="宋体"/>
          <w:color w:val="auto"/>
          <w:highlight w:val="none"/>
        </w:rPr>
      </w:pPr>
      <w:bookmarkStart w:id="90" w:name="_Toc254970675"/>
      <w:bookmarkStart w:id="91" w:name="_Toc254970534"/>
      <w:r>
        <w:rPr>
          <w:rFonts w:hint="eastAsia" w:ascii="宋体" w:hAnsi="宋体" w:cs="宋体"/>
          <w:color w:val="auto"/>
          <w:highlight w:val="none"/>
        </w:rPr>
        <w:t>二、招标文件</w:t>
      </w:r>
      <w:bookmarkEnd w:id="90"/>
      <w:bookmarkEnd w:id="91"/>
    </w:p>
    <w:p w14:paraId="7453923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451C3CC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753F27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1A8968B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24840CA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78E53A8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0D03362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F41E377">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2DC02FE3">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0F9E145">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D43EAAF">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2"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2"/>
    <w:p w14:paraId="418F1484">
      <w:pPr>
        <w:pStyle w:val="4"/>
        <w:keepNext w:val="0"/>
        <w:keepLines w:val="0"/>
        <w:jc w:val="center"/>
        <w:rPr>
          <w:rFonts w:ascii="宋体" w:hAnsi="宋体" w:cs="宋体"/>
          <w:color w:val="auto"/>
          <w:highlight w:val="none"/>
        </w:rPr>
      </w:pPr>
      <w:bookmarkStart w:id="93" w:name="_Toc254970535"/>
      <w:bookmarkStart w:id="94" w:name="_Toc254970676"/>
      <w:r>
        <w:rPr>
          <w:rFonts w:hint="eastAsia" w:ascii="宋体" w:hAnsi="宋体" w:cs="宋体"/>
          <w:color w:val="auto"/>
          <w:highlight w:val="none"/>
        </w:rPr>
        <w:t>三、投标文件的编制</w:t>
      </w:r>
      <w:bookmarkEnd w:id="93"/>
      <w:bookmarkEnd w:id="94"/>
    </w:p>
    <w:p w14:paraId="2912D6BC">
      <w:pPr>
        <w:pStyle w:val="5"/>
        <w:keepNext w:val="0"/>
        <w:keepLines w:val="0"/>
        <w:spacing w:before="0" w:after="0" w:line="360" w:lineRule="auto"/>
        <w:ind w:left="420" w:leftChars="200"/>
        <w:rPr>
          <w:rFonts w:ascii="宋体" w:hAnsi="宋体" w:cs="宋体"/>
          <w:color w:val="auto"/>
          <w:sz w:val="24"/>
          <w:highlight w:val="none"/>
        </w:rPr>
      </w:pPr>
      <w:bookmarkStart w:id="95" w:name="_Toc254970677"/>
      <w:bookmarkStart w:id="96" w:name="_Toc254970536"/>
      <w:r>
        <w:rPr>
          <w:rFonts w:hint="eastAsia" w:ascii="宋体" w:hAnsi="宋体" w:cs="宋体"/>
          <w:color w:val="auto"/>
          <w:sz w:val="24"/>
          <w:highlight w:val="none"/>
        </w:rPr>
        <w:t>12.投标文件的编制原则</w:t>
      </w:r>
    </w:p>
    <w:p w14:paraId="52C4A86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5D7DB43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5"/>
      <w:bookmarkEnd w:id="96"/>
    </w:p>
    <w:p w14:paraId="3A7857C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35CD7D43">
      <w:pPr>
        <w:pStyle w:val="5"/>
        <w:keepNext w:val="0"/>
        <w:keepLines w:val="0"/>
        <w:spacing w:before="0" w:after="0" w:line="360" w:lineRule="auto"/>
        <w:ind w:left="420" w:leftChars="200"/>
        <w:rPr>
          <w:rFonts w:ascii="宋体" w:hAnsi="宋体" w:cs="宋体"/>
          <w:b w:val="0"/>
          <w:color w:val="auto"/>
          <w:sz w:val="21"/>
          <w:szCs w:val="21"/>
          <w:highlight w:val="none"/>
        </w:rPr>
      </w:pPr>
      <w:bookmarkStart w:id="97" w:name="_13.1报价文件:_具体材料见“投标人须知前附表”。"/>
      <w:bookmarkEnd w:id="97"/>
      <w:r>
        <w:rPr>
          <w:rFonts w:hint="eastAsia" w:ascii="宋体" w:hAnsi="宋体" w:cs="宋体"/>
          <w:b w:val="0"/>
          <w:color w:val="auto"/>
          <w:sz w:val="21"/>
          <w:szCs w:val="21"/>
          <w:highlight w:val="none"/>
        </w:rPr>
        <w:t>（1）报价文件：具体材料见“投标人须知前附表”。</w:t>
      </w:r>
    </w:p>
    <w:p w14:paraId="274B3DBF">
      <w:pPr>
        <w:pStyle w:val="5"/>
        <w:keepNext w:val="0"/>
        <w:keepLines w:val="0"/>
        <w:spacing w:before="0" w:after="0" w:line="360" w:lineRule="auto"/>
        <w:ind w:left="420" w:leftChars="200"/>
        <w:rPr>
          <w:rFonts w:ascii="宋体" w:hAnsi="宋体" w:cs="宋体"/>
          <w:b w:val="0"/>
          <w:color w:val="auto"/>
          <w:sz w:val="21"/>
          <w:szCs w:val="21"/>
          <w:highlight w:val="none"/>
        </w:rPr>
      </w:pPr>
      <w:bookmarkStart w:id="98" w:name="_13.2资格证明文件：具体材料见“投标人须知前附表”。"/>
      <w:bookmarkEnd w:id="98"/>
      <w:r>
        <w:rPr>
          <w:rFonts w:hint="eastAsia" w:ascii="宋体" w:hAnsi="宋体" w:cs="宋体"/>
          <w:b w:val="0"/>
          <w:color w:val="auto"/>
          <w:sz w:val="21"/>
          <w:szCs w:val="21"/>
          <w:highlight w:val="none"/>
        </w:rPr>
        <w:t>（2）资格证明文件：具体材料见“投标人须知前附表”。</w:t>
      </w:r>
    </w:p>
    <w:p w14:paraId="0C8C8A07">
      <w:pPr>
        <w:pStyle w:val="5"/>
        <w:keepNext w:val="0"/>
        <w:keepLines w:val="0"/>
        <w:spacing w:before="0" w:after="0" w:line="360" w:lineRule="auto"/>
        <w:ind w:left="420" w:leftChars="200"/>
        <w:rPr>
          <w:rFonts w:ascii="宋体" w:hAnsi="宋体" w:cs="宋体"/>
          <w:b w:val="0"/>
          <w:color w:val="auto"/>
          <w:sz w:val="21"/>
          <w:szCs w:val="21"/>
          <w:highlight w:val="none"/>
        </w:rPr>
      </w:pPr>
      <w:bookmarkStart w:id="99" w:name="_13.3商务文件:_具体材料见“投标人须知前附表”。"/>
      <w:bookmarkEnd w:id="99"/>
      <w:r>
        <w:rPr>
          <w:rFonts w:hint="eastAsia" w:ascii="宋体" w:hAnsi="宋体" w:cs="宋体"/>
          <w:b w:val="0"/>
          <w:color w:val="auto"/>
          <w:sz w:val="21"/>
          <w:szCs w:val="21"/>
          <w:highlight w:val="none"/>
        </w:rPr>
        <w:t>（3）商务文件：具体材料见“投标人须知前附表”。</w:t>
      </w:r>
    </w:p>
    <w:p w14:paraId="0697E685">
      <w:pPr>
        <w:pStyle w:val="5"/>
        <w:keepNext w:val="0"/>
        <w:keepLines w:val="0"/>
        <w:spacing w:before="0" w:after="0" w:line="360" w:lineRule="auto"/>
        <w:ind w:left="420" w:leftChars="200"/>
        <w:rPr>
          <w:rFonts w:ascii="宋体" w:hAnsi="宋体" w:cs="宋体"/>
          <w:b w:val="0"/>
          <w:color w:val="auto"/>
          <w:sz w:val="21"/>
          <w:szCs w:val="21"/>
          <w:highlight w:val="none"/>
        </w:rPr>
      </w:pPr>
      <w:bookmarkStart w:id="100" w:name="_13.4技术文件：具体材料见“投标人须知前附表”。"/>
      <w:bookmarkEnd w:id="100"/>
      <w:r>
        <w:rPr>
          <w:rFonts w:hint="eastAsia" w:ascii="宋体" w:hAnsi="宋体" w:cs="宋体"/>
          <w:b w:val="0"/>
          <w:color w:val="auto"/>
          <w:sz w:val="21"/>
          <w:szCs w:val="21"/>
          <w:highlight w:val="none"/>
        </w:rPr>
        <w:t>（4）技术文件：具体材料见“投标人须知前附表”。</w:t>
      </w:r>
    </w:p>
    <w:p w14:paraId="0C7323BB">
      <w:pPr>
        <w:pStyle w:val="5"/>
        <w:keepNext w:val="0"/>
        <w:keepLines w:val="0"/>
        <w:spacing w:before="0" w:after="0" w:line="360" w:lineRule="auto"/>
        <w:ind w:left="420" w:leftChars="200"/>
        <w:rPr>
          <w:rFonts w:ascii="宋体" w:hAnsi="宋体" w:cs="宋体"/>
          <w:color w:val="auto"/>
          <w:sz w:val="24"/>
          <w:highlight w:val="none"/>
        </w:rPr>
      </w:pPr>
      <w:bookmarkStart w:id="101" w:name="_13.5投标文件电子版：具体材料见“投标人须知前附表”。"/>
      <w:bookmarkEnd w:id="101"/>
      <w:bookmarkStart w:id="102" w:name="_Toc254970537"/>
      <w:bookmarkStart w:id="103" w:name="_Toc254970678"/>
      <w:r>
        <w:rPr>
          <w:rFonts w:hint="eastAsia" w:ascii="宋体" w:hAnsi="宋体" w:cs="宋体"/>
          <w:color w:val="auto"/>
          <w:sz w:val="24"/>
          <w:highlight w:val="none"/>
        </w:rPr>
        <w:t>14.投标文件的语言及计量</w:t>
      </w:r>
      <w:bookmarkEnd w:id="102"/>
      <w:bookmarkEnd w:id="103"/>
    </w:p>
    <w:p w14:paraId="382E853D">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6BBA59DD">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准。对不同文字文本投标文件的解释发生异议的，以中文文本为准。</w:t>
      </w:r>
    </w:p>
    <w:p w14:paraId="671651EB">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5E518E18">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79C513DE">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18983418">
      <w:pPr>
        <w:pStyle w:val="25"/>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22134DB8">
      <w:pPr>
        <w:pStyle w:val="5"/>
        <w:keepNext w:val="0"/>
        <w:keepLines w:val="0"/>
        <w:spacing w:before="0" w:after="0" w:line="360" w:lineRule="auto"/>
        <w:ind w:left="420" w:leftChars="200"/>
        <w:rPr>
          <w:rFonts w:ascii="宋体" w:hAnsi="宋体" w:cs="宋体"/>
          <w:color w:val="auto"/>
          <w:sz w:val="24"/>
          <w:highlight w:val="none"/>
        </w:rPr>
      </w:pPr>
      <w:bookmarkStart w:id="104" w:name="_Toc254970538"/>
      <w:bookmarkStart w:id="105" w:name="_Toc254970679"/>
      <w:r>
        <w:rPr>
          <w:rFonts w:hint="eastAsia" w:ascii="宋体" w:hAnsi="宋体" w:cs="宋体"/>
          <w:color w:val="auto"/>
          <w:sz w:val="24"/>
          <w:highlight w:val="none"/>
        </w:rPr>
        <w:t>16.投标报价</w:t>
      </w:r>
      <w:bookmarkEnd w:id="104"/>
      <w:bookmarkEnd w:id="105"/>
    </w:p>
    <w:p w14:paraId="59994CE1">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6927470D">
      <w:pPr>
        <w:pStyle w:val="5"/>
        <w:keepNext w:val="0"/>
        <w:keepLines w:val="0"/>
        <w:spacing w:before="0" w:after="0" w:line="360" w:lineRule="auto"/>
        <w:ind w:left="420" w:leftChars="200"/>
        <w:rPr>
          <w:rFonts w:ascii="宋体" w:hAnsi="宋体" w:cs="宋体"/>
          <w:b w:val="0"/>
          <w:color w:val="auto"/>
          <w:sz w:val="21"/>
          <w:szCs w:val="21"/>
          <w:highlight w:val="none"/>
        </w:rPr>
      </w:pPr>
      <w:bookmarkStart w:id="106" w:name="_16.2投标报价具体定义见投标人须知前附表。"/>
      <w:bookmarkEnd w:id="106"/>
      <w:r>
        <w:rPr>
          <w:rFonts w:hint="eastAsia" w:ascii="宋体" w:hAnsi="宋体" w:cs="宋体"/>
          <w:b w:val="0"/>
          <w:color w:val="auto"/>
          <w:sz w:val="21"/>
          <w:szCs w:val="21"/>
          <w:highlight w:val="none"/>
        </w:rPr>
        <w:t>16.2投标报价具体包括内容详见“投标人须知前附表”。</w:t>
      </w:r>
    </w:p>
    <w:p w14:paraId="22DDAC78">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16.3投标人必须就所投全部内容分别作完整唯一总价报价，不得存在漏项报价；投标人必须就所投单项内容作唯一报价。</w:t>
      </w:r>
    </w:p>
    <w:p w14:paraId="2D2E3CE7">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61E3446E">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107" w:name="_17.1投标有效期应按“投标人须知中的前附表”规定的期限。"/>
      <w:bookmarkEnd w:id="107"/>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6C519F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8" w:name="_Toc254970540"/>
      <w:bookmarkStart w:id="109" w:name="_Toc254970681"/>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3282B336">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08"/>
      <w:bookmarkEnd w:id="109"/>
    </w:p>
    <w:p w14:paraId="5B21F036">
      <w:pPr>
        <w:pStyle w:val="5"/>
        <w:keepNext w:val="0"/>
        <w:keepLines w:val="0"/>
        <w:spacing w:before="0" w:after="0" w:line="360" w:lineRule="auto"/>
        <w:ind w:left="420" w:leftChars="200"/>
        <w:rPr>
          <w:rFonts w:ascii="宋体" w:hAnsi="宋体" w:cs="宋体"/>
          <w:color w:val="auto"/>
          <w:sz w:val="24"/>
          <w:highlight w:val="none"/>
        </w:rPr>
      </w:pPr>
      <w:bookmarkStart w:id="110" w:name="_18.投标保证金"/>
      <w:bookmarkEnd w:id="110"/>
      <w:bookmarkStart w:id="111" w:name="_Toc254970682"/>
      <w:bookmarkStart w:id="112" w:name="_Toc254970541"/>
      <w:r>
        <w:rPr>
          <w:rFonts w:hint="eastAsia" w:ascii="宋体" w:hAnsi="宋体" w:cs="宋体"/>
          <w:color w:val="auto"/>
          <w:sz w:val="24"/>
          <w:highlight w:val="none"/>
        </w:rPr>
        <w:t>18.投标保证金</w:t>
      </w:r>
      <w:bookmarkEnd w:id="111"/>
      <w:bookmarkEnd w:id="112"/>
    </w:p>
    <w:p w14:paraId="40094067">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3DF881C4">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01970796">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1A0AAEA1">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26DA259E">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19E1D62F">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7E2989D">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1B057E77">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3CD158A2">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464226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2C3C88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5BF11FF0">
      <w:pPr>
        <w:pStyle w:val="5"/>
        <w:keepNext w:val="0"/>
        <w:keepLines w:val="0"/>
        <w:spacing w:before="0" w:after="0" w:line="360" w:lineRule="auto"/>
        <w:ind w:left="420" w:leftChars="200"/>
        <w:rPr>
          <w:rFonts w:ascii="宋体" w:hAnsi="宋体" w:cs="宋体"/>
          <w:color w:val="auto"/>
          <w:sz w:val="24"/>
          <w:highlight w:val="none"/>
        </w:rPr>
      </w:pPr>
      <w:bookmarkStart w:id="113" w:name="_Toc254970683"/>
      <w:bookmarkStart w:id="114" w:name="_Toc254970542"/>
      <w:r>
        <w:rPr>
          <w:rFonts w:hint="eastAsia" w:ascii="宋体" w:hAnsi="宋体" w:cs="宋体"/>
          <w:color w:val="auto"/>
          <w:sz w:val="24"/>
          <w:highlight w:val="none"/>
        </w:rPr>
        <w:t>19.投标文件的</w:t>
      </w:r>
      <w:bookmarkEnd w:id="113"/>
      <w:bookmarkEnd w:id="114"/>
      <w:r>
        <w:rPr>
          <w:rFonts w:hint="eastAsia" w:ascii="宋体" w:hAnsi="宋体" w:cs="宋体"/>
          <w:color w:val="auto"/>
          <w:sz w:val="24"/>
          <w:highlight w:val="none"/>
        </w:rPr>
        <w:t>编制</w:t>
      </w:r>
    </w:p>
    <w:p w14:paraId="4C6310E1">
      <w:pPr>
        <w:pStyle w:val="5"/>
        <w:keepNext w:val="0"/>
        <w:keepLines w:val="0"/>
        <w:numPr>
          <w:ilvl w:val="4"/>
          <w:numId w:val="4"/>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0F8B67A6">
      <w:pPr>
        <w:pStyle w:val="5"/>
        <w:keepNext w:val="0"/>
        <w:keepLines w:val="0"/>
        <w:numPr>
          <w:ilvl w:val="4"/>
          <w:numId w:val="4"/>
        </w:numPr>
        <w:spacing w:before="0" w:after="0" w:line="360" w:lineRule="auto"/>
        <w:ind w:firstLine="315" w:firstLineChars="150"/>
        <w:rPr>
          <w:rFonts w:ascii="宋体" w:hAnsi="宋体" w:cs="宋体"/>
          <w:b w:val="0"/>
          <w:color w:val="auto"/>
          <w:sz w:val="21"/>
          <w:szCs w:val="21"/>
          <w:highlight w:val="none"/>
        </w:rPr>
      </w:pPr>
      <w:bookmarkStart w:id="115" w:name="_19.2投标文件应按报价文件、资格证明文件、商务文件、技术文件分别编制"/>
      <w:bookmarkEnd w:id="115"/>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21411F6">
      <w:pPr>
        <w:pStyle w:val="5"/>
        <w:keepNext w:val="0"/>
        <w:keepLines w:val="0"/>
        <w:numPr>
          <w:ilvl w:val="4"/>
          <w:numId w:val="4"/>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0701EF39">
      <w:pPr>
        <w:pStyle w:val="5"/>
        <w:keepNext w:val="0"/>
        <w:keepLines w:val="0"/>
        <w:numPr>
          <w:ilvl w:val="4"/>
          <w:numId w:val="4"/>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0432410">
      <w:pPr>
        <w:pStyle w:val="5"/>
        <w:keepNext w:val="0"/>
        <w:keepLines w:val="0"/>
        <w:numPr>
          <w:ilvl w:val="4"/>
          <w:numId w:val="4"/>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ACB69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488DFA5F">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详见在“投标人须知前附表”。</w:t>
      </w:r>
    </w:p>
    <w:p w14:paraId="09CAFC5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B4013D6">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7445DE58">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376FBB7F">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478D5C5">
      <w:pPr>
        <w:snapToGrid w:val="0"/>
        <w:spacing w:line="360" w:lineRule="auto"/>
        <w:ind w:firstLine="420"/>
        <w:jc w:val="left"/>
        <w:rPr>
          <w:rFonts w:ascii="宋体" w:hAnsi="宋体" w:cs="宋体"/>
          <w:color w:val="auto"/>
          <w:szCs w:val="21"/>
          <w:highlight w:val="none"/>
        </w:rPr>
      </w:pPr>
      <w:bookmarkStart w:id="116" w:name="_Toc254970684"/>
      <w:bookmarkStart w:id="117"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3AADD037">
      <w:pPr>
        <w:pStyle w:val="113"/>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3919AC2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16"/>
    <w:bookmarkEnd w:id="117"/>
    <w:p w14:paraId="28EEAD76">
      <w:pPr>
        <w:spacing w:line="360" w:lineRule="auto"/>
        <w:ind w:firstLine="420" w:firstLineChars="200"/>
        <w:rPr>
          <w:rFonts w:ascii="宋体" w:hAnsi="宋体" w:cs="宋体"/>
          <w:color w:val="auto"/>
          <w:szCs w:val="21"/>
          <w:highlight w:val="none"/>
        </w:rPr>
      </w:pPr>
    </w:p>
    <w:p w14:paraId="6781586A">
      <w:pPr>
        <w:pStyle w:val="4"/>
        <w:keepNext w:val="0"/>
        <w:keepLines w:val="0"/>
        <w:jc w:val="center"/>
        <w:rPr>
          <w:rFonts w:ascii="宋体" w:hAnsi="宋体" w:cs="宋体"/>
          <w:color w:val="auto"/>
          <w:highlight w:val="none"/>
        </w:rPr>
      </w:pPr>
      <w:bookmarkStart w:id="118" w:name="_Toc254970685"/>
      <w:bookmarkStart w:id="119" w:name="_Toc254970544"/>
      <w:r>
        <w:rPr>
          <w:rFonts w:hint="eastAsia" w:ascii="宋体" w:hAnsi="宋体" w:cs="宋体"/>
          <w:color w:val="auto"/>
          <w:highlight w:val="none"/>
        </w:rPr>
        <w:t>四、开标</w:t>
      </w:r>
      <w:bookmarkEnd w:id="118"/>
      <w:bookmarkEnd w:id="119"/>
    </w:p>
    <w:p w14:paraId="6829BE76">
      <w:pPr>
        <w:pStyle w:val="5"/>
        <w:keepNext w:val="0"/>
        <w:keepLines w:val="0"/>
        <w:spacing w:before="0" w:after="0" w:line="360" w:lineRule="auto"/>
        <w:ind w:left="420" w:leftChars="200"/>
        <w:rPr>
          <w:rFonts w:ascii="宋体" w:hAnsi="宋体" w:cs="宋体"/>
          <w:color w:val="auto"/>
          <w:sz w:val="24"/>
          <w:highlight w:val="none"/>
        </w:rPr>
      </w:pPr>
      <w:bookmarkStart w:id="120" w:name="_23.开标时间和地点"/>
      <w:bookmarkEnd w:id="120"/>
      <w:r>
        <w:rPr>
          <w:rFonts w:hint="eastAsia" w:ascii="宋体" w:hAnsi="宋体" w:cs="宋体"/>
          <w:color w:val="auto"/>
          <w:sz w:val="24"/>
          <w:highlight w:val="none"/>
        </w:rPr>
        <w:t>23.开标时间和地点</w:t>
      </w:r>
    </w:p>
    <w:p w14:paraId="247C9A8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5B41B2FE">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027C94B7">
      <w:pPr>
        <w:pStyle w:val="6"/>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0061ED2D">
      <w:pPr>
        <w:pStyle w:val="6"/>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47D48FC5">
      <w:pPr>
        <w:pStyle w:val="6"/>
        <w:spacing w:line="360" w:lineRule="auto"/>
        <w:rPr>
          <w:rFonts w:ascii="宋体" w:hAnsi="宋体" w:cs="宋体"/>
          <w:color w:val="auto"/>
          <w:highlight w:val="none"/>
        </w:rPr>
      </w:pPr>
      <w:r>
        <w:rPr>
          <w:rFonts w:hint="eastAsia" w:ascii="宋体" w:hAnsi="宋体" w:cs="宋体"/>
          <w:color w:val="auto"/>
          <w:highlight w:val="none"/>
        </w:rPr>
        <w:t>24.3开标程序</w:t>
      </w:r>
    </w:p>
    <w:p w14:paraId="409C60C9">
      <w:pPr>
        <w:pStyle w:val="6"/>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4A39E200">
      <w:pPr>
        <w:pStyle w:val="6"/>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299FF1D1">
      <w:pPr>
        <w:pStyle w:val="6"/>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780CB444">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A6C90A3">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51F5817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5274EB01">
      <w:pPr>
        <w:pStyle w:val="6"/>
        <w:spacing w:line="360" w:lineRule="auto"/>
        <w:rPr>
          <w:rFonts w:ascii="宋体" w:hAnsi="宋体" w:cs="宋体"/>
          <w:color w:val="auto"/>
          <w:highlight w:val="none"/>
        </w:rPr>
      </w:pPr>
    </w:p>
    <w:p w14:paraId="6A685C5A">
      <w:pPr>
        <w:pStyle w:val="25"/>
        <w:snapToGrid w:val="0"/>
        <w:spacing w:line="360" w:lineRule="auto"/>
        <w:ind w:left="689" w:leftChars="228" w:hanging="210" w:hangingChars="100"/>
        <w:rPr>
          <w:rFonts w:hAnsi="宋体" w:cs="宋体"/>
          <w:color w:val="auto"/>
          <w:sz w:val="21"/>
          <w:highlight w:val="none"/>
        </w:rPr>
      </w:pPr>
    </w:p>
    <w:p w14:paraId="40ABE47A">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1D68F8DC">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5F1FCFE9">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6277FC21">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01059B4">
      <w:pPr>
        <w:pStyle w:val="5"/>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1" w:name="_25.3_投标人有下列情形之一的，资格审查不通过而导致其投标无效："/>
      <w:bookmarkEnd w:id="121"/>
      <w:r>
        <w:rPr>
          <w:rFonts w:hint="eastAsia" w:ascii="宋体" w:hAnsi="宋体" w:cs="宋体"/>
          <w:color w:val="auto"/>
          <w:sz w:val="21"/>
          <w:szCs w:val="21"/>
          <w:highlight w:val="none"/>
        </w:rPr>
        <w:t>25.3 投标人有下列情形之一的，资格审查不通过，作无效投标处理：</w:t>
      </w:r>
    </w:p>
    <w:p w14:paraId="7E4E0E73">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138D5D99">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314C67F6">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B3D16BE">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519E50B6">
      <w:pPr>
        <w:pStyle w:val="25"/>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418B4037">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162B5F9D">
      <w:pPr>
        <w:pStyle w:val="25"/>
        <w:snapToGrid w:val="0"/>
        <w:spacing w:line="360" w:lineRule="auto"/>
        <w:ind w:left="689" w:leftChars="228" w:hanging="210" w:hangingChars="100"/>
        <w:rPr>
          <w:rFonts w:hAnsi="宋体" w:cs="宋体"/>
          <w:color w:val="auto"/>
          <w:sz w:val="21"/>
          <w:highlight w:val="none"/>
        </w:rPr>
      </w:pPr>
    </w:p>
    <w:p w14:paraId="18FFD784">
      <w:pPr>
        <w:pStyle w:val="4"/>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29FB8F63">
      <w:pPr>
        <w:pStyle w:val="5"/>
        <w:keepNext w:val="0"/>
        <w:keepLines w:val="0"/>
        <w:spacing w:before="0" w:after="0" w:line="360" w:lineRule="auto"/>
        <w:ind w:left="420" w:leftChars="200"/>
        <w:rPr>
          <w:rFonts w:ascii="宋体" w:hAnsi="宋体" w:cs="宋体"/>
          <w:color w:val="auto"/>
          <w:sz w:val="24"/>
          <w:highlight w:val="none"/>
        </w:rPr>
      </w:pPr>
      <w:bookmarkStart w:id="122" w:name="_26.组建评标委员会"/>
      <w:bookmarkEnd w:id="122"/>
      <w:r>
        <w:rPr>
          <w:rFonts w:hint="eastAsia" w:ascii="宋体" w:hAnsi="宋体" w:cs="宋体"/>
          <w:color w:val="auto"/>
          <w:sz w:val="24"/>
          <w:highlight w:val="none"/>
        </w:rPr>
        <w:t>26.组建评标委员会</w:t>
      </w:r>
    </w:p>
    <w:p w14:paraId="32B897CA">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6EA3FD84">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2441A8B1">
      <w:pPr>
        <w:pStyle w:val="25"/>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05F14BF8">
      <w:pPr>
        <w:pStyle w:val="25"/>
        <w:snapToGrid w:val="0"/>
        <w:spacing w:line="360" w:lineRule="auto"/>
        <w:ind w:left="2" w:leftChars="1" w:firstLine="420" w:firstLineChars="200"/>
        <w:rPr>
          <w:rFonts w:hAnsi="宋体" w:cs="宋体"/>
          <w:color w:val="auto"/>
          <w:sz w:val="21"/>
          <w:highlight w:val="none"/>
        </w:rPr>
      </w:pPr>
    </w:p>
    <w:p w14:paraId="14FC2F61">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29B25E40">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3AD6981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55947D58">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C998983">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3" w:name="_28.3评标方法。本项目将按须知前附表规定的评标办法进行评标，具体评标"/>
      <w:bookmarkEnd w:id="123"/>
      <w:r>
        <w:rPr>
          <w:rFonts w:hint="eastAsia" w:hAnsi="宋体" w:cs="宋体"/>
          <w:color w:val="auto"/>
          <w:sz w:val="21"/>
          <w:highlight w:val="none"/>
        </w:rPr>
        <w:t>评委表决。评标委员会成员对需要共同认定的事项存在争议的，应当按照少数服从多数的原则作出结论。</w:t>
      </w:r>
    </w:p>
    <w:p w14:paraId="693D39AF">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CDAD945">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22CE1F15">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588B3B93">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70795329">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79784726">
      <w:pPr>
        <w:pStyle w:val="25"/>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164E75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5AF954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2A31DC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55E3B1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1B2AAB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4F1156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673A90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CC9E69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789F303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0E09FBF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3013CC9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029C3D2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3EE2F6E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2425FD4B">
      <w:pPr>
        <w:pStyle w:val="4"/>
        <w:keepNext w:val="0"/>
        <w:keepLines w:val="0"/>
        <w:jc w:val="center"/>
        <w:rPr>
          <w:rFonts w:ascii="宋体" w:hAnsi="宋体" w:cs="宋体"/>
          <w:color w:val="auto"/>
          <w:highlight w:val="none"/>
        </w:rPr>
      </w:pPr>
      <w:bookmarkStart w:id="124" w:name="_Toc254970546"/>
      <w:bookmarkStart w:id="125" w:name="_Toc254970687"/>
      <w:r>
        <w:rPr>
          <w:rFonts w:hint="eastAsia" w:ascii="宋体" w:hAnsi="宋体" w:cs="宋体"/>
          <w:color w:val="auto"/>
          <w:highlight w:val="none"/>
        </w:rPr>
        <w:t>七、</w:t>
      </w:r>
      <w:bookmarkEnd w:id="124"/>
      <w:bookmarkEnd w:id="125"/>
      <w:r>
        <w:rPr>
          <w:rFonts w:hint="eastAsia" w:ascii="宋体" w:hAnsi="宋体" w:cs="宋体"/>
          <w:color w:val="auto"/>
          <w:highlight w:val="none"/>
        </w:rPr>
        <w:t>中标和合同</w:t>
      </w:r>
    </w:p>
    <w:p w14:paraId="6072F1C6">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34B2165E">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F10DB08">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34AF954D">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4EFF8B2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3C8B463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46128CE5">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50B3F4E6">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2C6EEE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44C6E09D">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1CA3CDB0">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316ACE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27F5180E">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00A892A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5E0EC1AB">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728B561">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6FC343FF">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31146DEC">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77C9B9F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0EF5022">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47E1EC50">
      <w:pPr>
        <w:pStyle w:val="5"/>
        <w:keepNext w:val="0"/>
        <w:keepLines w:val="0"/>
        <w:spacing w:before="0" w:after="0" w:line="380" w:lineRule="exact"/>
        <w:ind w:firstLine="315" w:firstLineChars="150"/>
        <w:rPr>
          <w:rFonts w:ascii="宋体" w:hAnsi="宋体" w:cs="宋体"/>
          <w:b w:val="0"/>
          <w:color w:val="auto"/>
          <w:sz w:val="21"/>
          <w:szCs w:val="21"/>
          <w:highlight w:val="none"/>
        </w:rPr>
      </w:pPr>
      <w:bookmarkStart w:id="126" w:name="_39.1中标人须于签订合同前按本须知前附表规定的金额转账或电汇到指定账"/>
      <w:bookmarkEnd w:id="126"/>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4133893C">
      <w:pPr>
        <w:pStyle w:val="5"/>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7124AA45">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26A5135A">
      <w:pPr>
        <w:pStyle w:val="5"/>
        <w:keepNext w:val="0"/>
        <w:keepLines w:val="0"/>
        <w:spacing w:before="0" w:after="0" w:line="380" w:lineRule="exact"/>
        <w:ind w:firstLine="316" w:firstLineChars="150"/>
        <w:rPr>
          <w:rFonts w:ascii="宋体" w:hAnsi="宋体" w:cs="宋体"/>
          <w:b w:val="0"/>
          <w:color w:val="auto"/>
          <w:sz w:val="21"/>
          <w:szCs w:val="21"/>
          <w:highlight w:val="none"/>
        </w:rPr>
      </w:pPr>
      <w:bookmarkStart w:id="127" w:name="_40.1投标人接到中标通知书后，按须知前附表规定向采购人出示相关资格证"/>
      <w:bookmarkEnd w:id="127"/>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25E427F5">
      <w:pPr>
        <w:pStyle w:val="5"/>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线下签订纸质合同：投标人获取中标通知书后，按“投标人须知前附表”规定向采购人出示相关证明材料，经采购人核验合格后方可签订合同。</w:t>
      </w:r>
    </w:p>
    <w:p w14:paraId="3CDDA7B0">
      <w:pPr>
        <w:pStyle w:val="5"/>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1E76E1EE">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51C63C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D1A604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37EC43C8">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7DF12E2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2883F6CB">
      <w:pPr>
        <w:pStyle w:val="5"/>
        <w:keepNext w:val="0"/>
        <w:keepLines w:val="0"/>
        <w:spacing w:before="0" w:after="0" w:line="380" w:lineRule="exact"/>
        <w:ind w:left="420" w:leftChars="200"/>
        <w:rPr>
          <w:rFonts w:ascii="宋体" w:hAnsi="宋体" w:cs="宋体"/>
          <w:color w:val="auto"/>
          <w:sz w:val="24"/>
          <w:highlight w:val="none"/>
        </w:rPr>
      </w:pPr>
      <w:bookmarkStart w:id="128" w:name="_41.政府采购合同公告"/>
      <w:bookmarkEnd w:id="128"/>
      <w:r>
        <w:rPr>
          <w:rFonts w:hint="eastAsia" w:ascii="宋体" w:hAnsi="宋体" w:cs="宋体"/>
          <w:color w:val="auto"/>
          <w:sz w:val="24"/>
          <w:highlight w:val="none"/>
        </w:rPr>
        <w:t>37.政府采购合同公告</w:t>
      </w:r>
    </w:p>
    <w:p w14:paraId="699F89CF">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876AFA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C3D7142">
      <w:pPr>
        <w:pStyle w:val="6"/>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0C2ED7C8">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C18CF39">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5ED2A70E">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525FACE9">
      <w:pPr>
        <w:pStyle w:val="25"/>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3B7944E8">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36553F17">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F6221C7">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72B6D9FC">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6BD57AC7">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77D40339">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1B8CA74F">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7DFB3014">
      <w:pPr>
        <w:pStyle w:val="25"/>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287059D1">
      <w:pPr>
        <w:pStyle w:val="5"/>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793265CA">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1D77DF6F">
      <w:pPr>
        <w:pStyle w:val="25"/>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1AC37247">
      <w:pPr>
        <w:pStyle w:val="25"/>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703D62C">
      <w:pPr>
        <w:pStyle w:val="25"/>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93C41A8">
      <w:pPr>
        <w:pStyle w:val="4"/>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27AFA48C">
      <w:pPr>
        <w:pStyle w:val="5"/>
        <w:keepNext w:val="0"/>
        <w:keepLines w:val="0"/>
        <w:spacing w:before="0" w:after="0" w:line="340" w:lineRule="exact"/>
        <w:ind w:left="420" w:leftChars="200"/>
        <w:rPr>
          <w:rFonts w:ascii="宋体" w:hAnsi="宋体" w:cs="宋体"/>
          <w:color w:val="auto"/>
          <w:sz w:val="24"/>
          <w:highlight w:val="none"/>
        </w:rPr>
      </w:pPr>
      <w:bookmarkStart w:id="129" w:name="_42.代理服务费"/>
      <w:bookmarkEnd w:id="129"/>
      <w:r>
        <w:rPr>
          <w:rFonts w:hint="eastAsia" w:ascii="宋体" w:hAnsi="宋体" w:cs="宋体"/>
          <w:color w:val="auto"/>
          <w:sz w:val="24"/>
          <w:highlight w:val="none"/>
        </w:rPr>
        <w:t>39.代理服务费</w:t>
      </w:r>
    </w:p>
    <w:p w14:paraId="18485286">
      <w:pPr>
        <w:pStyle w:val="5"/>
        <w:keepNext w:val="0"/>
        <w:keepLines w:val="0"/>
        <w:numPr>
          <w:ilvl w:val="4"/>
          <w:numId w:val="0"/>
        </w:numPr>
        <w:spacing w:before="0" w:after="0" w:line="3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代理服务收取标准及缴费账户详见“投标人须知前附表”，投标人为联合体的，可以由联合体中的一方或者多方共同交纳代理服务费。</w:t>
      </w:r>
    </w:p>
    <w:p w14:paraId="299292FB">
      <w:pPr>
        <w:pStyle w:val="5"/>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771D78C7">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40AF6314">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2378C89D">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0"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BB4FA69">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8F78402">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A900FEC">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3BFD0B7">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0B6B93F">
      <w:pPr>
        <w:pStyle w:val="25"/>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0"/>
    </w:p>
    <w:p w14:paraId="5CED8BA3">
      <w:pPr>
        <w:pStyle w:val="5"/>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2012DFAE">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0F1BEC8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3D4DDA79">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6EC32F38">
      <w:pPr>
        <w:spacing w:after="120"/>
        <w:rPr>
          <w:rFonts w:ascii="宋体" w:hAnsi="宋体" w:cs="宋体"/>
          <w:color w:val="auto"/>
          <w:highlight w:val="none"/>
        </w:rPr>
      </w:pPr>
    </w:p>
    <w:p w14:paraId="50F75A53">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0D02C2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3C50FA0B">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9955450">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576386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0D3A724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163F5B7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7A4FB9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F548009">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57C0AB3D">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47E2E5F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35F6B56">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EA5B5D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63E76E4">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563C49F">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1F7ADFA8">
            <w:pPr>
              <w:widowControl/>
              <w:spacing w:before="100" w:beforeAutospacing="1" w:after="100" w:afterAutospacing="1" w:line="240" w:lineRule="atLeast"/>
              <w:jc w:val="center"/>
              <w:rPr>
                <w:rFonts w:ascii="宋体" w:hAnsi="宋体" w:cs="宋体"/>
                <w:color w:val="auto"/>
                <w:kern w:val="0"/>
                <w:szCs w:val="21"/>
                <w:highlight w:val="none"/>
              </w:rPr>
            </w:pPr>
          </w:p>
        </w:tc>
      </w:tr>
      <w:tr w14:paraId="320BA50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69D9FA1">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801CE56">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85593D6">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6151D02">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306AC46">
            <w:pPr>
              <w:widowControl/>
              <w:spacing w:before="100" w:beforeAutospacing="1" w:after="100" w:afterAutospacing="1" w:line="240" w:lineRule="atLeast"/>
              <w:jc w:val="center"/>
              <w:rPr>
                <w:rFonts w:ascii="宋体" w:hAnsi="宋体" w:cs="宋体"/>
                <w:color w:val="auto"/>
                <w:kern w:val="0"/>
                <w:szCs w:val="21"/>
                <w:highlight w:val="none"/>
              </w:rPr>
            </w:pPr>
          </w:p>
        </w:tc>
      </w:tr>
      <w:tr w14:paraId="05E676CC">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3C73F8A">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0DDD3F84">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BDA6F22">
            <w:pPr>
              <w:widowControl/>
              <w:spacing w:before="100" w:beforeAutospacing="1" w:after="100" w:afterAutospacing="1" w:line="240" w:lineRule="atLeast"/>
              <w:jc w:val="center"/>
              <w:rPr>
                <w:rFonts w:ascii="宋体" w:hAnsi="宋体" w:cs="宋体"/>
                <w:color w:val="auto"/>
                <w:kern w:val="0"/>
                <w:szCs w:val="21"/>
                <w:highlight w:val="none"/>
              </w:rPr>
            </w:pPr>
          </w:p>
        </w:tc>
      </w:tr>
      <w:tr w14:paraId="375DC0D6">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756824EE">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6C4BE4A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2BBADAE">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502C12F">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5B9DACD">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60BC330">
            <w:pPr>
              <w:widowControl/>
              <w:spacing w:before="100" w:beforeAutospacing="1" w:after="100" w:afterAutospacing="1" w:line="240" w:lineRule="atLeast"/>
              <w:jc w:val="center"/>
              <w:rPr>
                <w:rFonts w:ascii="宋体" w:hAnsi="宋体" w:cs="宋体"/>
                <w:color w:val="auto"/>
                <w:kern w:val="0"/>
                <w:szCs w:val="21"/>
                <w:highlight w:val="none"/>
              </w:rPr>
            </w:pPr>
          </w:p>
        </w:tc>
      </w:tr>
      <w:tr w14:paraId="406B9239">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6908B54">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623DDE45">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A84E537">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75A5B40">
            <w:pPr>
              <w:widowControl/>
              <w:spacing w:before="100" w:beforeAutospacing="1" w:after="100" w:afterAutospacing="1" w:line="240" w:lineRule="atLeast"/>
              <w:jc w:val="center"/>
              <w:rPr>
                <w:rFonts w:ascii="宋体" w:hAnsi="宋体" w:cs="宋体"/>
                <w:color w:val="auto"/>
                <w:kern w:val="0"/>
                <w:szCs w:val="21"/>
                <w:highlight w:val="none"/>
              </w:rPr>
            </w:pPr>
          </w:p>
        </w:tc>
      </w:tr>
      <w:tr w14:paraId="5971853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D564BA">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A86337A">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0B42302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0F99A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3886178C">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3233510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053DF6ED">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3536A2C3">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C0EE35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5A86A1A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B92328">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6D201BF8">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F461B3">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2F550EA8">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6FA467D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03DDEA3D">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736FE46C">
            <w:pPr>
              <w:widowControl/>
              <w:spacing w:before="100" w:beforeAutospacing="1" w:after="100" w:afterAutospacing="1" w:line="320" w:lineRule="atLeast"/>
              <w:jc w:val="left"/>
              <w:rPr>
                <w:rFonts w:ascii="宋体" w:hAnsi="宋体" w:cs="宋体"/>
                <w:color w:val="auto"/>
                <w:kern w:val="0"/>
                <w:szCs w:val="21"/>
                <w:highlight w:val="none"/>
              </w:rPr>
            </w:pPr>
          </w:p>
          <w:p w14:paraId="269B0144">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238C5543">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59AFB0B9">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441B8AB0">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1307E2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0C641F9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781CCF00">
      <w:pPr>
        <w:rPr>
          <w:rFonts w:ascii="宋体" w:hAnsi="宋体" w:cs="宋体"/>
          <w:b/>
          <w:color w:val="auto"/>
          <w:sz w:val="24"/>
          <w:highlight w:val="none"/>
        </w:rPr>
      </w:pPr>
      <w:r>
        <w:rPr>
          <w:rFonts w:hint="eastAsia" w:ascii="宋体" w:hAnsi="宋体" w:cs="宋体"/>
          <w:b/>
          <w:color w:val="auto"/>
          <w:kern w:val="0"/>
          <w:sz w:val="24"/>
          <w:szCs w:val="21"/>
          <w:highlight w:val="none"/>
        </w:rPr>
        <w:drawing>
          <wp:inline distT="0" distB="0" distL="0" distR="0">
            <wp:extent cx="5287010" cy="5821045"/>
            <wp:effectExtent l="19050" t="0" r="8890" b="0"/>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18" r:link="rId19"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043E2977">
      <w:pPr>
        <w:rPr>
          <w:rFonts w:ascii="宋体" w:hAnsi="宋体" w:cs="宋体"/>
          <w:b/>
          <w:color w:val="auto"/>
          <w:sz w:val="24"/>
          <w:highlight w:val="none"/>
        </w:rPr>
      </w:pPr>
    </w:p>
    <w:p w14:paraId="5FC97473">
      <w:pPr>
        <w:pStyle w:val="25"/>
        <w:spacing w:before="120" w:after="120" w:line="400" w:lineRule="exact"/>
        <w:ind w:firstLine="420" w:firstLineChars="200"/>
        <w:contextualSpacing/>
        <w:rPr>
          <w:rFonts w:hAnsi="宋体" w:cs="宋体"/>
          <w:color w:val="auto"/>
          <w:sz w:val="21"/>
          <w:highlight w:val="none"/>
        </w:rPr>
      </w:pPr>
    </w:p>
    <w:p w14:paraId="4E853EC9">
      <w:pPr>
        <w:widowControl/>
        <w:jc w:val="left"/>
        <w:rPr>
          <w:rFonts w:ascii="宋体" w:hAnsi="宋体" w:cs="宋体"/>
          <w:color w:val="auto"/>
          <w:kern w:val="0"/>
          <w:szCs w:val="21"/>
          <w:highlight w:val="none"/>
        </w:rPr>
      </w:pPr>
      <w:r>
        <w:rPr>
          <w:rFonts w:hint="eastAsia" w:ascii="宋体" w:hAnsi="宋体" w:cs="宋体"/>
          <w:color w:val="auto"/>
          <w:highlight w:val="none"/>
        </w:rPr>
        <w:br w:type="page"/>
      </w:r>
    </w:p>
    <w:p w14:paraId="68C68B25">
      <w:pPr>
        <w:pStyle w:val="25"/>
        <w:spacing w:before="120" w:after="120" w:line="400" w:lineRule="exact"/>
        <w:ind w:firstLine="420" w:firstLineChars="200"/>
        <w:contextualSpacing/>
        <w:rPr>
          <w:rFonts w:hAnsi="宋体" w:cs="宋体"/>
          <w:color w:val="auto"/>
          <w:sz w:val="21"/>
          <w:highlight w:val="none"/>
        </w:rPr>
      </w:pPr>
    </w:p>
    <w:p w14:paraId="23D4FA63">
      <w:pPr>
        <w:pStyle w:val="18"/>
        <w:ind w:left="479" w:leftChars="114" w:hanging="240" w:hangingChars="100"/>
        <w:rPr>
          <w:rFonts w:ascii="宋体" w:hAnsi="宋体" w:cs="宋体"/>
          <w:color w:val="auto"/>
          <w:highlight w:val="none"/>
        </w:rPr>
      </w:pPr>
    </w:p>
    <w:p w14:paraId="3C9669AD">
      <w:pPr>
        <w:pStyle w:val="25"/>
        <w:snapToGrid w:val="0"/>
        <w:spacing w:before="120" w:after="120"/>
        <w:rPr>
          <w:rFonts w:hAnsi="宋体" w:cs="宋体"/>
          <w:color w:val="auto"/>
          <w:highlight w:val="none"/>
        </w:rPr>
      </w:pPr>
    </w:p>
    <w:p w14:paraId="7160F726">
      <w:pPr>
        <w:pStyle w:val="25"/>
        <w:snapToGrid w:val="0"/>
        <w:spacing w:before="120" w:after="120"/>
        <w:rPr>
          <w:rFonts w:hAnsi="宋体" w:cs="宋体"/>
          <w:color w:val="auto"/>
          <w:highlight w:val="none"/>
        </w:rPr>
      </w:pPr>
    </w:p>
    <w:p w14:paraId="2FF65CD3">
      <w:pPr>
        <w:pStyle w:val="25"/>
        <w:snapToGrid w:val="0"/>
        <w:spacing w:before="120" w:after="120"/>
        <w:rPr>
          <w:rFonts w:hAnsi="宋体" w:cs="宋体"/>
          <w:color w:val="auto"/>
          <w:highlight w:val="none"/>
        </w:rPr>
      </w:pPr>
    </w:p>
    <w:p w14:paraId="1953D369">
      <w:pPr>
        <w:pStyle w:val="25"/>
        <w:snapToGrid w:val="0"/>
        <w:spacing w:before="120" w:after="120"/>
        <w:rPr>
          <w:rFonts w:hAnsi="宋体" w:cs="宋体"/>
          <w:color w:val="auto"/>
          <w:highlight w:val="none"/>
        </w:rPr>
      </w:pPr>
    </w:p>
    <w:p w14:paraId="3FE224EF">
      <w:pPr>
        <w:pStyle w:val="25"/>
        <w:snapToGrid w:val="0"/>
        <w:spacing w:before="120" w:after="120"/>
        <w:rPr>
          <w:rFonts w:hAnsi="宋体" w:cs="宋体"/>
          <w:color w:val="auto"/>
          <w:highlight w:val="none"/>
        </w:rPr>
      </w:pPr>
    </w:p>
    <w:p w14:paraId="61AFAABB">
      <w:pPr>
        <w:pStyle w:val="25"/>
        <w:snapToGrid w:val="0"/>
        <w:spacing w:before="120" w:after="120"/>
        <w:rPr>
          <w:rFonts w:hAnsi="宋体" w:cs="宋体"/>
          <w:color w:val="auto"/>
          <w:highlight w:val="none"/>
        </w:rPr>
      </w:pPr>
    </w:p>
    <w:p w14:paraId="2B35B3D5">
      <w:pPr>
        <w:pStyle w:val="25"/>
        <w:snapToGrid w:val="0"/>
        <w:spacing w:before="120" w:after="120"/>
        <w:rPr>
          <w:rFonts w:hAnsi="宋体" w:cs="宋体"/>
          <w:color w:val="auto"/>
          <w:highlight w:val="none"/>
        </w:rPr>
      </w:pPr>
    </w:p>
    <w:p w14:paraId="4640BB6F">
      <w:pPr>
        <w:pStyle w:val="2"/>
        <w:jc w:val="center"/>
        <w:rPr>
          <w:rFonts w:ascii="宋体" w:hAnsi="宋体" w:cs="宋体"/>
          <w:color w:val="auto"/>
          <w:highlight w:val="none"/>
        </w:rPr>
      </w:pPr>
      <w:bookmarkStart w:id="131" w:name="_Toc254970548"/>
      <w:bookmarkStart w:id="132" w:name="_Toc74320803"/>
      <w:bookmarkStart w:id="133" w:name="_Toc330456896"/>
      <w:bookmarkStart w:id="134" w:name="_Toc254970689"/>
    </w:p>
    <w:p w14:paraId="3C636EFC">
      <w:pPr>
        <w:rPr>
          <w:rFonts w:ascii="宋体" w:hAnsi="宋体" w:cs="宋体"/>
          <w:color w:val="auto"/>
          <w:highlight w:val="none"/>
        </w:rPr>
      </w:pPr>
    </w:p>
    <w:p w14:paraId="4DA59555">
      <w:pPr>
        <w:pStyle w:val="2"/>
        <w:jc w:val="center"/>
        <w:rPr>
          <w:rFonts w:ascii="宋体" w:hAnsi="宋体" w:cs="宋体"/>
          <w:color w:val="auto"/>
          <w:highlight w:val="none"/>
        </w:rPr>
      </w:pPr>
      <w:bookmarkStart w:id="135" w:name="_Toc30756"/>
      <w:r>
        <w:rPr>
          <w:rFonts w:hint="eastAsia" w:ascii="宋体" w:hAnsi="宋体" w:cs="宋体"/>
          <w:color w:val="auto"/>
          <w:highlight w:val="none"/>
        </w:rPr>
        <w:t>第四章 评标方法及评标标准</w:t>
      </w:r>
      <w:bookmarkEnd w:id="131"/>
      <w:bookmarkEnd w:id="132"/>
      <w:bookmarkEnd w:id="133"/>
      <w:bookmarkEnd w:id="134"/>
      <w:bookmarkEnd w:id="135"/>
    </w:p>
    <w:p w14:paraId="645ECB46">
      <w:pPr>
        <w:pStyle w:val="25"/>
        <w:spacing w:before="120" w:after="120"/>
        <w:outlineLvl w:val="0"/>
        <w:rPr>
          <w:rFonts w:hAnsi="宋体" w:cs="宋体"/>
          <w:b/>
          <w:color w:val="auto"/>
          <w:highlight w:val="none"/>
        </w:rPr>
      </w:pPr>
      <w:bookmarkStart w:id="136" w:name="_Toc254970690"/>
      <w:bookmarkStart w:id="137" w:name="_Toc254970549"/>
    </w:p>
    <w:bookmarkEnd w:id="136"/>
    <w:bookmarkEnd w:id="137"/>
    <w:p w14:paraId="23A91DC3">
      <w:pPr>
        <w:pStyle w:val="25"/>
        <w:spacing w:before="120" w:after="120"/>
        <w:outlineLvl w:val="0"/>
        <w:rPr>
          <w:rFonts w:hAnsi="宋体" w:cs="宋体"/>
          <w:bCs/>
          <w:color w:val="auto"/>
          <w:sz w:val="32"/>
          <w:szCs w:val="32"/>
          <w:highlight w:val="none"/>
        </w:rPr>
      </w:pPr>
    </w:p>
    <w:p w14:paraId="29E799CF">
      <w:pPr>
        <w:pStyle w:val="25"/>
        <w:spacing w:before="120" w:after="120"/>
        <w:outlineLvl w:val="0"/>
        <w:rPr>
          <w:rFonts w:hAnsi="宋体" w:cs="宋体"/>
          <w:bCs/>
          <w:color w:val="auto"/>
          <w:sz w:val="32"/>
          <w:szCs w:val="32"/>
          <w:highlight w:val="none"/>
        </w:rPr>
      </w:pPr>
    </w:p>
    <w:p w14:paraId="3504571E">
      <w:pPr>
        <w:pStyle w:val="25"/>
        <w:spacing w:before="120" w:after="120"/>
        <w:outlineLvl w:val="0"/>
        <w:rPr>
          <w:rFonts w:hAnsi="宋体" w:cs="宋体"/>
          <w:bCs/>
          <w:color w:val="auto"/>
          <w:sz w:val="32"/>
          <w:szCs w:val="32"/>
          <w:highlight w:val="none"/>
        </w:rPr>
      </w:pPr>
    </w:p>
    <w:p w14:paraId="028EE73A">
      <w:pPr>
        <w:pStyle w:val="25"/>
        <w:spacing w:before="120" w:after="120"/>
        <w:outlineLvl w:val="0"/>
        <w:rPr>
          <w:rFonts w:hAnsi="宋体" w:cs="宋体"/>
          <w:bCs/>
          <w:color w:val="auto"/>
          <w:sz w:val="32"/>
          <w:szCs w:val="32"/>
          <w:highlight w:val="none"/>
        </w:rPr>
      </w:pPr>
    </w:p>
    <w:p w14:paraId="3F4960EE">
      <w:pPr>
        <w:pStyle w:val="25"/>
        <w:spacing w:before="120" w:after="120"/>
        <w:outlineLvl w:val="0"/>
        <w:rPr>
          <w:rFonts w:hAnsi="宋体" w:cs="宋体"/>
          <w:bCs/>
          <w:color w:val="auto"/>
          <w:sz w:val="32"/>
          <w:szCs w:val="32"/>
          <w:highlight w:val="none"/>
        </w:rPr>
      </w:pPr>
    </w:p>
    <w:p w14:paraId="7D186187">
      <w:pPr>
        <w:widowControl/>
        <w:jc w:val="left"/>
        <w:rPr>
          <w:rFonts w:ascii="宋体" w:hAnsi="宋体" w:cs="宋体"/>
          <w:b/>
          <w:bCs/>
          <w:color w:val="auto"/>
          <w:kern w:val="0"/>
          <w:sz w:val="30"/>
          <w:szCs w:val="30"/>
          <w:highlight w:val="none"/>
        </w:rPr>
      </w:pPr>
      <w:r>
        <w:rPr>
          <w:rFonts w:hint="eastAsia" w:ascii="宋体" w:hAnsi="宋体" w:cs="宋体"/>
          <w:color w:val="auto"/>
          <w:sz w:val="30"/>
          <w:szCs w:val="30"/>
          <w:highlight w:val="none"/>
        </w:rPr>
        <w:br w:type="page"/>
      </w:r>
    </w:p>
    <w:p w14:paraId="2B626B6F">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79C050AC">
      <w:pPr>
        <w:pStyle w:val="25"/>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61E3BE09">
      <w:pPr>
        <w:pStyle w:val="25"/>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78FE3A4E">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4C0FB6C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11E3AE43">
      <w:pPr>
        <w:pStyle w:val="25"/>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66A0FC21">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48F57C3E">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0CAC32D7">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45270D30">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0631D54A">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0D02C1C">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投标报价超最高限价的</w:t>
      </w:r>
      <w:r>
        <w:rPr>
          <w:rFonts w:hint="eastAsia" w:ascii="宋体" w:hAnsi="宋体" w:cs="宋体"/>
          <w:b/>
          <w:color w:val="auto"/>
          <w:szCs w:val="21"/>
          <w:highlight w:val="none"/>
        </w:rPr>
        <w:t>；</w:t>
      </w:r>
    </w:p>
    <w:p w14:paraId="0D38F8CE">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5DADA703">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69ED166C">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投标人属于本章第5.1条（2）项或者第5.2条（2）项“无效投标”情形的；</w:t>
      </w:r>
    </w:p>
    <w:p w14:paraId="4782227F">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6672463D">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48FD85C6">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4101E12F">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0028A344">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320C1D5A">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15CEE1A3">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3CB2E735">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65CB08D">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1CEDD1F7">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A9CA1CE">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15F85B11">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73CA5EFC">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35AAD226">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754CC528">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1D348911">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037B1CA2">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（1）服务内容及要求评审允许负偏离的条款数超过“投标人须知前附表”规定项数的；</w:t>
      </w:r>
    </w:p>
    <w:p w14:paraId="250622F5">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7777DC01">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C400BBF">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38"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38"/>
    </w:p>
    <w:p w14:paraId="500F821E">
      <w:pPr>
        <w:pStyle w:val="19"/>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7DFF89AB">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4F515DFB">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F8F3F9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586B8A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0C65C43F">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37264A80">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5304F162">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7FAD111E">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2D76A7E8">
      <w:pPr>
        <w:pStyle w:val="25"/>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3C143A6F">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6F129547">
      <w:pPr>
        <w:pStyle w:val="25"/>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6F5C6A5">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b w:val="0"/>
          <w:bCs/>
          <w:color w:val="auto"/>
          <w:sz w:val="21"/>
          <w:szCs w:val="21"/>
          <w:highlight w:val="none"/>
        </w:rPr>
        <w:t>的，</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0DD2798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E8D758D">
      <w:pPr>
        <w:pStyle w:val="5"/>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73E39AE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7DBB8E3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1F4B308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2291FB4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5561577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1264479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2C1A646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0B89F43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466AE268">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0D7C965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7FA1147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19A4F2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77DA663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1091871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39F8F95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F8252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5B6088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1371F65E">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1605270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rPr>
        <w:t>异常低价投标审查</w:t>
      </w:r>
    </w:p>
    <w:p w14:paraId="5EB6F7D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1）评标委员会在评审中发现下列情形之一的，应当启动异常低价投标审查程序：</w:t>
      </w:r>
    </w:p>
    <w:p w14:paraId="2C4E7A6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59B9801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rPr>
        <w:t>65%</w:t>
      </w:r>
      <w:r>
        <w:rPr>
          <w:rFonts w:hint="eastAsia" w:ascii="宋体" w:hAnsi="宋体"/>
          <w:color w:val="auto"/>
          <w:szCs w:val="21"/>
          <w:highlight w:val="none"/>
        </w:rPr>
        <w:t>；</w:t>
      </w:r>
    </w:p>
    <w:p w14:paraId="3C744D5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54C90CE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3FFFE5A3">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719662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047081A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B2B49F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76C2A369">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2403E304">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428CB46">
      <w:pPr>
        <w:snapToGrid w:val="0"/>
        <w:spacing w:line="360" w:lineRule="auto"/>
        <w:ind w:firstLine="424" w:firstLineChars="202"/>
        <w:jc w:val="left"/>
        <w:rPr>
          <w:rFonts w:ascii="宋体" w:hAnsi="宋体"/>
          <w:color w:val="auto"/>
          <w:szCs w:val="21"/>
          <w:highlight w:val="none"/>
        </w:rPr>
      </w:pPr>
    </w:p>
    <w:p w14:paraId="6C0B0675">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7E03A206">
      <w:pPr>
        <w:pStyle w:val="4"/>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6C6BB331">
      <w:pPr>
        <w:pStyle w:val="25"/>
        <w:spacing w:line="400" w:lineRule="exact"/>
        <w:ind w:firstLine="630" w:firstLineChars="300"/>
        <w:rPr>
          <w:rFonts w:hAnsi="宋体"/>
          <w:bCs/>
          <w:color w:val="auto"/>
          <w:highlight w:val="none"/>
        </w:rPr>
      </w:pPr>
      <w:r>
        <w:rPr>
          <w:rFonts w:hint="eastAsia" w:hAnsi="宋体" w:cs="宋体"/>
          <w:bCs/>
          <w:color w:val="auto"/>
          <w:sz w:val="21"/>
          <w:highlight w:val="none"/>
        </w:rPr>
        <w:t>注：计分方法按四舍五入取至百分位</w:t>
      </w:r>
    </w:p>
    <w:p w14:paraId="7AC6581B">
      <w:pPr>
        <w:pStyle w:val="12"/>
        <w:ind w:firstLine="420"/>
        <w:rPr>
          <w:color w:val="auto"/>
          <w:highlight w:val="none"/>
        </w:rPr>
      </w:pP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34E6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62F0703">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52CB3A9">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4EF555BA">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67F4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0DA780DB">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6E06FF30">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1D78C608">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rPr>
              <w:t>20</w:t>
            </w:r>
            <w:r>
              <w:rPr>
                <w:rFonts w:hint="eastAsia" w:ascii="宋体" w:hAnsi="宋体" w:cs="宋体"/>
                <w:b/>
                <w:color w:val="auto"/>
                <w:szCs w:val="21"/>
                <w:highlight w:val="none"/>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3D51E278">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w:t>
            </w:r>
          </w:p>
        </w:tc>
        <w:tc>
          <w:tcPr>
            <w:tcW w:w="6000" w:type="dxa"/>
            <w:tcBorders>
              <w:top w:val="single" w:color="auto" w:sz="4" w:space="0"/>
              <w:left w:val="single" w:color="auto" w:sz="4" w:space="0"/>
              <w:bottom w:val="single" w:color="auto" w:sz="4" w:space="0"/>
              <w:right w:val="single" w:color="auto" w:sz="4" w:space="0"/>
            </w:tcBorders>
            <w:vAlign w:val="center"/>
          </w:tcPr>
          <w:p w14:paraId="0969ECF7">
            <w:pPr>
              <w:snapToGrid w:val="0"/>
              <w:spacing w:line="400" w:lineRule="exact"/>
              <w:rPr>
                <w:rFonts w:ascii="宋体" w:hAnsi="宋体" w:cs="宋体"/>
                <w:color w:val="auto"/>
                <w:szCs w:val="21"/>
                <w:highlight w:val="none"/>
              </w:rPr>
            </w:pPr>
            <w:r>
              <w:rPr>
                <w:rFonts w:hint="eastAsia" w:ascii="宋体" w:hAnsi="宋体" w:cs="宋体"/>
                <w:b/>
                <w:bCs/>
                <w:color w:val="auto"/>
                <w:kern w:val="0"/>
                <w:szCs w:val="21"/>
                <w:highlight w:val="none"/>
              </w:rPr>
              <w:t>本项目为专门面向中、小、微型企业项目，按照《政府采购促进中小企业发展管理办法》（财库〔2020〕46号）第九条规定，小微企业、监狱企业、残疾人福利性单位不执行价格评审优惠的扶持政策。本项目为服务项目，不涉及本国产品政策性扣除。</w:t>
            </w:r>
            <w:r>
              <w:rPr>
                <w:rFonts w:hint="eastAsia" w:ascii="宋体" w:hAnsi="宋体" w:cs="宋体"/>
                <w:color w:val="auto"/>
                <w:szCs w:val="21"/>
                <w:highlight w:val="none"/>
              </w:rPr>
              <w:t>（1）</w:t>
            </w:r>
            <w:r>
              <w:rPr>
                <w:rFonts w:hint="eastAsia"/>
                <w:color w:val="auto"/>
                <w:szCs w:val="21"/>
                <w:highlight w:val="none"/>
              </w:rPr>
              <w:t>以进入评标的最低的投标报价为</w:t>
            </w:r>
            <w:r>
              <w:rPr>
                <w:color w:val="auto"/>
                <w:szCs w:val="21"/>
                <w:highlight w:val="none"/>
              </w:rPr>
              <w:t>20</w:t>
            </w:r>
            <w:r>
              <w:rPr>
                <w:rFonts w:hint="eastAsia"/>
                <w:color w:val="auto"/>
                <w:szCs w:val="21"/>
                <w:highlight w:val="none"/>
              </w:rPr>
              <w:t>分</w:t>
            </w:r>
            <w:r>
              <w:rPr>
                <w:rFonts w:hint="eastAsia" w:ascii="宋体" w:hAnsi="宋体" w:cs="宋体"/>
                <w:color w:val="auto"/>
                <w:szCs w:val="21"/>
                <w:highlight w:val="none"/>
              </w:rPr>
              <w:t>。</w:t>
            </w:r>
          </w:p>
          <w:p w14:paraId="3FB46B44">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（2）价格分计算公式：        </w:t>
            </w:r>
          </w:p>
          <w:p w14:paraId="0783D7A3">
            <w:pPr>
              <w:pStyle w:val="25"/>
              <w:spacing w:line="400" w:lineRule="exact"/>
              <w:rPr>
                <w:rFonts w:hAnsi="宋体" w:cs="宋体"/>
                <w:color w:val="auto"/>
                <w:kern w:val="2"/>
                <w:sz w:val="21"/>
                <w:highlight w:val="none"/>
              </w:rPr>
            </w:pPr>
            <w:r>
              <w:rPr>
                <w:rFonts w:hint="eastAsia" w:hAnsi="宋体" w:cs="宋体"/>
                <w:color w:val="auto"/>
                <w:sz w:val="21"/>
                <w:highlight w:val="none"/>
              </w:rPr>
              <w:t>价格分=(</w:t>
            </w:r>
            <w:r>
              <w:rPr>
                <w:rFonts w:hint="eastAsia"/>
                <w:color w:val="auto"/>
                <w:sz w:val="21"/>
                <w:highlight w:val="none"/>
              </w:rPr>
              <w:t>最低投标人投标报价金额</w:t>
            </w:r>
            <w:r>
              <w:rPr>
                <w:rFonts w:hint="eastAsia" w:hAnsi="宋体" w:cs="宋体"/>
                <w:color w:val="auto"/>
                <w:sz w:val="21"/>
                <w:highlight w:val="none"/>
              </w:rPr>
              <w:t>／</w:t>
            </w:r>
            <w:r>
              <w:rPr>
                <w:rFonts w:hint="eastAsia"/>
                <w:color w:val="auto"/>
                <w:sz w:val="21"/>
                <w:highlight w:val="none"/>
              </w:rPr>
              <w:t>投标人投标报价金额</w:t>
            </w:r>
            <w:r>
              <w:rPr>
                <w:rFonts w:hint="eastAsia" w:hAnsi="宋体" w:cs="宋体"/>
                <w:color w:val="auto"/>
                <w:sz w:val="21"/>
                <w:highlight w:val="none"/>
              </w:rPr>
              <w:t>)×20分</w:t>
            </w:r>
          </w:p>
        </w:tc>
      </w:tr>
      <w:tr w14:paraId="1704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21CAAE2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778782DA">
            <w:pPr>
              <w:adjustRightInd w:val="0"/>
              <w:spacing w:line="470" w:lineRule="exact"/>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服务实施保障措施分（20分）</w:t>
            </w:r>
          </w:p>
        </w:tc>
        <w:tc>
          <w:tcPr>
            <w:tcW w:w="7701" w:type="dxa"/>
            <w:gridSpan w:val="2"/>
            <w:tcBorders>
              <w:top w:val="single" w:color="auto" w:sz="4" w:space="0"/>
              <w:left w:val="single" w:color="auto" w:sz="4" w:space="0"/>
              <w:right w:val="single" w:color="auto" w:sz="4" w:space="0"/>
            </w:tcBorders>
            <w:vAlign w:val="center"/>
          </w:tcPr>
          <w:p w14:paraId="24B3D4FE">
            <w:pPr>
              <w:pStyle w:val="25"/>
              <w:spacing w:line="400" w:lineRule="exact"/>
              <w:rPr>
                <w:rFonts w:hAnsi="宋体" w:cs="宋体"/>
                <w:color w:val="auto"/>
                <w:sz w:val="21"/>
                <w:highlight w:val="none"/>
              </w:rPr>
            </w:pPr>
            <w:r>
              <w:rPr>
                <w:rFonts w:hint="eastAsia" w:hAnsi="宋体" w:cs="宋体"/>
                <w:color w:val="auto"/>
                <w:kern w:val="2"/>
                <w:sz w:val="21"/>
                <w:highlight w:val="none"/>
              </w:rPr>
              <w:t>评委根据投标人所提供的</w:t>
            </w:r>
            <w:r>
              <w:rPr>
                <w:rFonts w:hint="eastAsia" w:hAnsi="宋体" w:cs="宋体"/>
                <w:color w:val="auto"/>
                <w:sz w:val="21"/>
                <w:highlight w:val="none"/>
              </w:rPr>
              <w:t>服务实施保障措施内容（包括但不限于：质量考核办法、工作细则、操作流程、服务固定人员数量及人员简历情况、奖罚措施、生产用具等方面内容的质量保证措施等），按以下方式进行独立评审打分：</w:t>
            </w:r>
          </w:p>
          <w:p w14:paraId="21FEC80D">
            <w:pPr>
              <w:pStyle w:val="25"/>
              <w:spacing w:line="400" w:lineRule="exact"/>
              <w:rPr>
                <w:rFonts w:hAnsi="宋体" w:cs="宋体"/>
                <w:color w:val="auto"/>
                <w:sz w:val="21"/>
                <w:highlight w:val="none"/>
              </w:rPr>
            </w:pPr>
            <w:r>
              <w:rPr>
                <w:rFonts w:hint="eastAsia" w:hAnsi="宋体" w:cs="宋体"/>
                <w:color w:val="auto"/>
                <w:sz w:val="21"/>
                <w:highlight w:val="none"/>
              </w:rPr>
              <w:t>一档（5分）：对以上措施内容有漏项，或提供的各项内容未明确或缺乏可行性，仅能最基础地满足项目基本需求。</w:t>
            </w:r>
          </w:p>
          <w:p w14:paraId="464D61E8">
            <w:pPr>
              <w:pStyle w:val="25"/>
              <w:spacing w:line="400" w:lineRule="exact"/>
              <w:rPr>
                <w:rFonts w:hAnsi="宋体" w:cs="宋体"/>
                <w:color w:val="auto"/>
                <w:sz w:val="21"/>
                <w:highlight w:val="none"/>
              </w:rPr>
            </w:pPr>
            <w:r>
              <w:rPr>
                <w:rFonts w:hint="eastAsia" w:hAnsi="宋体" w:cs="宋体"/>
                <w:color w:val="auto"/>
                <w:sz w:val="21"/>
                <w:highlight w:val="none"/>
              </w:rPr>
              <w:t>二档（10 分）：在满足一档的基础上，措施中包含以上所有各项内容（包括但不限于：质量考核办法、工作细则、操作流程、服务固定人员数量及人员简历情况、奖罚措施、生产用具等方面内容的质量保证措施等）；能够确保服务过程的有序、可控，对拟投入本项目的服务团队承诺承担全部管理责任，有详细的服务目标和服务计划。</w:t>
            </w:r>
          </w:p>
          <w:p w14:paraId="21B1CA30">
            <w:pPr>
              <w:pStyle w:val="25"/>
              <w:spacing w:line="400" w:lineRule="exact"/>
              <w:rPr>
                <w:rFonts w:hAnsi="宋体" w:cs="宋体"/>
                <w:color w:val="auto"/>
                <w:sz w:val="21"/>
                <w:highlight w:val="none"/>
              </w:rPr>
            </w:pPr>
            <w:r>
              <w:rPr>
                <w:rFonts w:hint="eastAsia" w:hAnsi="宋体" w:cs="宋体"/>
                <w:color w:val="auto"/>
                <w:sz w:val="21"/>
                <w:highlight w:val="none"/>
              </w:rPr>
              <w:t>三档（15分）：在满足二档的基础上，能提供利于采购人且优于采购需求的实质性承诺，建立多层次、全流程的质量保障措施，有质量监督及追溯机制，服务实施保障措施可行，满足项目实际需求。</w:t>
            </w:r>
          </w:p>
          <w:p w14:paraId="3CA66329">
            <w:pPr>
              <w:pStyle w:val="25"/>
              <w:spacing w:line="400" w:lineRule="exact"/>
              <w:rPr>
                <w:rFonts w:hAnsi="宋体" w:cs="宋体"/>
                <w:color w:val="auto"/>
                <w:sz w:val="21"/>
                <w:highlight w:val="none"/>
              </w:rPr>
            </w:pPr>
            <w:r>
              <w:rPr>
                <w:rFonts w:hint="eastAsia" w:hAnsi="宋体" w:cs="宋体"/>
                <w:color w:val="auto"/>
                <w:sz w:val="21"/>
                <w:highlight w:val="none"/>
              </w:rPr>
              <w:t>四档（20分）：在满足三档的基础上，投标人能提供结合本项目实际需求的相应管理、考核等表单，管理规范化，有针对采购人行业特点的具体工作计划、可能发生的紧急事件处理办法及确保服务实施质量达到采购人要求的措施。</w:t>
            </w:r>
          </w:p>
          <w:p w14:paraId="5636FFEC">
            <w:pPr>
              <w:spacing w:line="400" w:lineRule="exact"/>
              <w:jc w:val="left"/>
              <w:rPr>
                <w:color w:val="auto"/>
                <w:szCs w:val="21"/>
                <w:highlight w:val="none"/>
              </w:rPr>
            </w:pPr>
            <w:r>
              <w:rPr>
                <w:rFonts w:hint="eastAsia" w:ascii="宋体" w:hAnsi="宋体" w:cs="宋体"/>
                <w:b/>
                <w:color w:val="auto"/>
                <w:szCs w:val="21"/>
                <w:highlight w:val="none"/>
              </w:rPr>
              <w:t>注：未提供“服务实施保障措施”或经评委评审未达到上述一档档次标准的，服务实施保障措施</w:t>
            </w:r>
            <w:r>
              <w:rPr>
                <w:rFonts w:hint="eastAsia"/>
                <w:b/>
                <w:color w:val="auto"/>
                <w:szCs w:val="21"/>
                <w:highlight w:val="none"/>
              </w:rPr>
              <w:t>分</w:t>
            </w:r>
            <w:r>
              <w:rPr>
                <w:rFonts w:hint="eastAsia" w:ascii="宋体" w:hAnsi="宋体" w:cs="宋体"/>
                <w:b/>
                <w:color w:val="auto"/>
                <w:szCs w:val="21"/>
                <w:highlight w:val="none"/>
              </w:rPr>
              <w:t>不予计分。</w:t>
            </w:r>
          </w:p>
        </w:tc>
      </w:tr>
      <w:tr w14:paraId="0356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33138A9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0FB983DA">
            <w:pPr>
              <w:jc w:val="center"/>
              <w:rPr>
                <w:rFonts w:ascii="宋体" w:hAnsi="宋体" w:cs="宋体"/>
                <w:b/>
                <w:bCs/>
                <w:color w:val="auto"/>
                <w:szCs w:val="21"/>
                <w:highlight w:val="none"/>
              </w:rPr>
            </w:pPr>
            <w:r>
              <w:rPr>
                <w:rFonts w:hint="eastAsia" w:ascii="宋体" w:hAnsi="宋体" w:cs="宋体"/>
                <w:b/>
                <w:bCs/>
                <w:color w:val="auto"/>
                <w:szCs w:val="21"/>
                <w:highlight w:val="none"/>
              </w:rPr>
              <w:t>管理制度和运作流程分（20分</w:t>
            </w:r>
            <w:r>
              <w:rPr>
                <w:rFonts w:hint="eastAsia" w:ascii="宋体" w:hAnsi="宋体" w:cs="宋体"/>
                <w:b/>
                <w:color w:val="auto"/>
                <w:szCs w:val="21"/>
                <w:highlight w:val="none"/>
              </w:rPr>
              <w:t>）</w:t>
            </w:r>
          </w:p>
        </w:tc>
        <w:tc>
          <w:tcPr>
            <w:tcW w:w="7701" w:type="dxa"/>
            <w:gridSpan w:val="2"/>
            <w:tcBorders>
              <w:top w:val="single" w:color="auto" w:sz="4" w:space="0"/>
              <w:left w:val="single" w:color="auto" w:sz="4" w:space="0"/>
              <w:right w:val="single" w:color="auto" w:sz="4" w:space="0"/>
            </w:tcBorders>
            <w:vAlign w:val="center"/>
          </w:tcPr>
          <w:p w14:paraId="5B03FB5D">
            <w:pPr>
              <w:pStyle w:val="25"/>
              <w:spacing w:line="400" w:lineRule="exact"/>
              <w:rPr>
                <w:rFonts w:hAnsi="宋体" w:cs="宋体"/>
                <w:color w:val="auto"/>
                <w:kern w:val="2"/>
                <w:sz w:val="21"/>
                <w:highlight w:val="none"/>
              </w:rPr>
            </w:pPr>
            <w:r>
              <w:rPr>
                <w:rFonts w:hint="eastAsia" w:hAnsi="宋体" w:cs="宋体"/>
                <w:color w:val="auto"/>
                <w:kern w:val="2"/>
                <w:sz w:val="21"/>
                <w:highlight w:val="none"/>
              </w:rPr>
              <w:t>评委根据投标人所提供的</w:t>
            </w:r>
            <w:r>
              <w:rPr>
                <w:rFonts w:hint="eastAsia" w:hAnsi="宋体"/>
                <w:color w:val="auto"/>
                <w:sz w:val="21"/>
                <w:highlight w:val="none"/>
              </w:rPr>
              <w:t>管理制度【包括但不限于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】和运作流程</w:t>
            </w:r>
            <w:r>
              <w:rPr>
                <w:rFonts w:hint="eastAsia" w:hAnsi="宋体" w:cs="宋体"/>
                <w:color w:val="auto"/>
                <w:kern w:val="2"/>
                <w:sz w:val="21"/>
                <w:highlight w:val="none"/>
              </w:rPr>
              <w:t>内容，按以下方式进行独立评审打分：</w:t>
            </w:r>
          </w:p>
          <w:p w14:paraId="42CF0F54">
            <w:pPr>
              <w:pStyle w:val="25"/>
              <w:spacing w:line="400" w:lineRule="exact"/>
              <w:rPr>
                <w:rFonts w:hAnsi="宋体" w:cs="宋体"/>
                <w:color w:val="auto"/>
                <w:sz w:val="21"/>
                <w:highlight w:val="none"/>
              </w:rPr>
            </w:pPr>
            <w:r>
              <w:rPr>
                <w:rFonts w:hint="eastAsia" w:hAnsi="宋体" w:cs="宋体"/>
                <w:color w:val="auto"/>
                <w:sz w:val="21"/>
                <w:highlight w:val="none"/>
              </w:rPr>
              <w:t>一档（5 分）：建立有与采购需求相关的完整的管理制度</w:t>
            </w:r>
            <w:r>
              <w:rPr>
                <w:rFonts w:hint="eastAsia" w:hAnsi="宋体"/>
                <w:color w:val="auto"/>
                <w:sz w:val="21"/>
                <w:highlight w:val="none"/>
              </w:rPr>
              <w:t>【包括但不限于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w:t>
            </w:r>
            <w:r>
              <w:rPr>
                <w:rFonts w:hint="eastAsia" w:hAnsi="宋体" w:cs="宋体"/>
                <w:color w:val="auto"/>
                <w:sz w:val="21"/>
                <w:highlight w:val="none"/>
              </w:rPr>
              <w:t>与运作流程，机构设置合理、运作流畅、管理方式合理；</w:t>
            </w:r>
          </w:p>
          <w:p w14:paraId="1C8BDC9D">
            <w:pPr>
              <w:pStyle w:val="25"/>
              <w:spacing w:line="400" w:lineRule="exact"/>
              <w:rPr>
                <w:rFonts w:hAnsi="宋体" w:cs="宋体"/>
                <w:color w:val="auto"/>
                <w:sz w:val="21"/>
                <w:highlight w:val="none"/>
              </w:rPr>
            </w:pPr>
            <w:r>
              <w:rPr>
                <w:rFonts w:hint="eastAsia" w:hAnsi="宋体" w:cs="宋体"/>
                <w:color w:val="auto"/>
                <w:sz w:val="21"/>
                <w:highlight w:val="none"/>
              </w:rPr>
              <w:t>二档（10分）：在满足一档的基础上，有人员交接管理方案，管理制度</w:t>
            </w:r>
            <w:r>
              <w:rPr>
                <w:rFonts w:hint="eastAsia" w:hAnsi="宋体"/>
                <w:color w:val="auto"/>
                <w:sz w:val="21"/>
                <w:highlight w:val="none"/>
              </w:rPr>
              <w:t>【包括但不限于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w:t>
            </w:r>
            <w:r>
              <w:rPr>
                <w:rFonts w:hint="eastAsia" w:hAnsi="宋体" w:cs="宋体"/>
                <w:color w:val="auto"/>
                <w:sz w:val="21"/>
                <w:highlight w:val="none"/>
              </w:rPr>
              <w:t>与运作流程对本项目有针对性，有针对本项目的内部管理构架、管理运作机制、激励机制；</w:t>
            </w:r>
          </w:p>
          <w:p w14:paraId="3C9B375F">
            <w:pPr>
              <w:pStyle w:val="25"/>
              <w:spacing w:line="400" w:lineRule="exact"/>
              <w:rPr>
                <w:rFonts w:hAnsi="宋体" w:cs="宋体"/>
                <w:color w:val="auto"/>
                <w:sz w:val="21"/>
                <w:highlight w:val="none"/>
              </w:rPr>
            </w:pPr>
            <w:r>
              <w:rPr>
                <w:rFonts w:hint="eastAsia" w:hAnsi="宋体" w:cs="宋体"/>
                <w:color w:val="auto"/>
                <w:sz w:val="21"/>
                <w:highlight w:val="none"/>
              </w:rPr>
              <w:t>三档（15 分）：在满足二档的基础上，管理制度</w:t>
            </w:r>
            <w:r>
              <w:rPr>
                <w:rFonts w:hint="eastAsia" w:hAnsi="宋体"/>
                <w:color w:val="auto"/>
                <w:sz w:val="21"/>
                <w:highlight w:val="none"/>
              </w:rPr>
              <w:t>【包括但不限于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w:t>
            </w:r>
            <w:r>
              <w:rPr>
                <w:rFonts w:hint="eastAsia" w:hAnsi="宋体" w:cs="宋体"/>
                <w:color w:val="auto"/>
                <w:sz w:val="21"/>
                <w:highlight w:val="none"/>
              </w:rPr>
              <w:t>与运作流程对本项目有针对性，有详细且针对本项目的人员接收管理方案、监督机制、自我约束机制；</w:t>
            </w:r>
          </w:p>
          <w:p w14:paraId="29A8042A">
            <w:pPr>
              <w:pStyle w:val="25"/>
              <w:spacing w:line="400" w:lineRule="exact"/>
              <w:rPr>
                <w:rFonts w:hAnsi="宋体" w:cs="宋体"/>
                <w:color w:val="auto"/>
                <w:sz w:val="21"/>
                <w:highlight w:val="none"/>
              </w:rPr>
            </w:pPr>
            <w:r>
              <w:rPr>
                <w:rFonts w:hint="eastAsia" w:hAnsi="宋体" w:cs="宋体"/>
                <w:color w:val="auto"/>
                <w:sz w:val="21"/>
                <w:highlight w:val="none"/>
              </w:rPr>
              <w:t>四档（20 分）：在满足三档的基础上，管理制度</w:t>
            </w:r>
            <w:r>
              <w:rPr>
                <w:rFonts w:hint="eastAsia" w:hAnsi="宋体"/>
                <w:color w:val="auto"/>
                <w:sz w:val="21"/>
                <w:highlight w:val="none"/>
              </w:rPr>
              <w:t>【包括但不限于</w:t>
            </w:r>
            <w:r>
              <w:rPr>
                <w:rFonts w:hint="eastAsia" w:hAnsi="宋体" w:cs="宋体"/>
                <w:bCs/>
                <w:color w:val="auto"/>
                <w:sz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sz w:val="21"/>
                <w:highlight w:val="none"/>
              </w:rPr>
              <w:t>】</w:t>
            </w:r>
            <w:r>
              <w:rPr>
                <w:rFonts w:hint="eastAsia" w:hAnsi="宋体" w:cs="宋体"/>
                <w:color w:val="auto"/>
                <w:sz w:val="21"/>
                <w:highlight w:val="none"/>
              </w:rPr>
              <w:t>与运作流程对本项目有针对性，有针对本项目的应急管理措施，出现传染性疾病等应急情况时，有对相关人员的保护措施和相关运作流程，环境清理、消毒应急措施。</w:t>
            </w:r>
          </w:p>
          <w:p w14:paraId="2DB49221">
            <w:pPr>
              <w:pStyle w:val="12"/>
              <w:ind w:left="0" w:firstLine="0" w:firstLineChars="0"/>
              <w:rPr>
                <w:rFonts w:ascii="宋体" w:hAnsi="宋体" w:cs="宋体"/>
                <w:b/>
                <w:color w:val="auto"/>
                <w:szCs w:val="21"/>
                <w:highlight w:val="none"/>
              </w:rPr>
            </w:pPr>
            <w:r>
              <w:rPr>
                <w:rFonts w:hint="eastAsia" w:ascii="宋体" w:hAnsi="宋体" w:cs="宋体"/>
                <w:b/>
                <w:color w:val="auto"/>
                <w:szCs w:val="21"/>
                <w:highlight w:val="none"/>
              </w:rPr>
              <w:t>注：未提供“管理制度和运作流程”或经评委评审未达到上述一档档次标准的，管理制度和运作流程</w:t>
            </w:r>
            <w:r>
              <w:rPr>
                <w:rFonts w:hint="eastAsia"/>
                <w:b/>
                <w:color w:val="auto"/>
                <w:szCs w:val="21"/>
                <w:highlight w:val="none"/>
              </w:rPr>
              <w:t>分</w:t>
            </w:r>
            <w:r>
              <w:rPr>
                <w:rFonts w:hint="eastAsia" w:ascii="宋体" w:hAnsi="宋体" w:cs="宋体"/>
                <w:b/>
                <w:color w:val="auto"/>
                <w:szCs w:val="21"/>
                <w:highlight w:val="none"/>
              </w:rPr>
              <w:t>不予计分。</w:t>
            </w:r>
          </w:p>
        </w:tc>
      </w:tr>
      <w:tr w14:paraId="2206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34BABEA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vAlign w:val="center"/>
          </w:tcPr>
          <w:p w14:paraId="7B319E3A">
            <w:pPr>
              <w:jc w:val="center"/>
              <w:rPr>
                <w:rFonts w:ascii="宋体" w:hAnsi="宋体"/>
                <w:color w:val="auto"/>
                <w:highlight w:val="none"/>
              </w:rPr>
            </w:pPr>
            <w:r>
              <w:rPr>
                <w:rFonts w:hint="eastAsia" w:ascii="宋体" w:hAnsi="宋体"/>
                <w:b/>
                <w:bCs/>
                <w:color w:val="auto"/>
                <w:highlight w:val="none"/>
              </w:rPr>
              <w:t>纠纷处理方案分（15分）</w:t>
            </w:r>
          </w:p>
        </w:tc>
        <w:tc>
          <w:tcPr>
            <w:tcW w:w="7701" w:type="dxa"/>
            <w:gridSpan w:val="2"/>
            <w:tcBorders>
              <w:top w:val="single" w:color="auto" w:sz="4" w:space="0"/>
              <w:left w:val="single" w:color="auto" w:sz="4" w:space="0"/>
              <w:right w:val="single" w:color="auto" w:sz="4" w:space="0"/>
            </w:tcBorders>
            <w:vAlign w:val="center"/>
          </w:tcPr>
          <w:p w14:paraId="39901DCB">
            <w:pPr>
              <w:pStyle w:val="25"/>
              <w:spacing w:line="400" w:lineRule="exact"/>
              <w:rPr>
                <w:rFonts w:hAnsi="宋体" w:cs="宋体"/>
                <w:color w:val="auto"/>
                <w:sz w:val="21"/>
                <w:highlight w:val="none"/>
              </w:rPr>
            </w:pPr>
            <w:r>
              <w:rPr>
                <w:rFonts w:hint="eastAsia" w:hAnsi="宋体" w:cs="宋体"/>
                <w:color w:val="auto"/>
                <w:sz w:val="21"/>
                <w:highlight w:val="none"/>
              </w:rPr>
              <w:t>评委根据投标人所提供的纠纷处理方案内容，按以下方式进行独立评审打分：</w:t>
            </w:r>
          </w:p>
          <w:p w14:paraId="68D3BEFF">
            <w:pPr>
              <w:pStyle w:val="25"/>
              <w:spacing w:line="400" w:lineRule="exact"/>
              <w:rPr>
                <w:rFonts w:hAnsi="宋体" w:cs="宋体"/>
                <w:color w:val="auto"/>
                <w:sz w:val="21"/>
                <w:highlight w:val="none"/>
              </w:rPr>
            </w:pPr>
            <w:r>
              <w:rPr>
                <w:rFonts w:hint="eastAsia" w:hAnsi="宋体" w:cs="宋体"/>
                <w:color w:val="auto"/>
                <w:sz w:val="21"/>
                <w:highlight w:val="none"/>
              </w:rPr>
              <w:t>一档（3 分）：制定有纠纷处理方案，方案内容存在瑕疵，与项目实际情况存在出入，处理方案及解决措施仅能基础地解决问题；</w:t>
            </w:r>
          </w:p>
          <w:p w14:paraId="1E533D11">
            <w:pPr>
              <w:pStyle w:val="25"/>
              <w:spacing w:line="400" w:lineRule="exact"/>
              <w:rPr>
                <w:rFonts w:hAnsi="宋体" w:cs="宋体"/>
                <w:color w:val="auto"/>
                <w:sz w:val="21"/>
                <w:highlight w:val="none"/>
              </w:rPr>
            </w:pPr>
            <w:r>
              <w:rPr>
                <w:rFonts w:hint="eastAsia" w:hAnsi="宋体" w:cs="宋体"/>
                <w:color w:val="auto"/>
                <w:sz w:val="21"/>
                <w:highlight w:val="none"/>
              </w:rPr>
              <w:t>二档（7 分）：在满足一档的基础上，方案内容编制完善，能考虑各类纠纷处理、契合项目情况；</w:t>
            </w:r>
          </w:p>
          <w:p w14:paraId="7A5A7563">
            <w:pPr>
              <w:pStyle w:val="25"/>
              <w:spacing w:line="400" w:lineRule="exact"/>
              <w:rPr>
                <w:rFonts w:hAnsi="宋体" w:cs="宋体"/>
                <w:color w:val="auto"/>
                <w:sz w:val="21"/>
                <w:highlight w:val="none"/>
              </w:rPr>
            </w:pPr>
            <w:r>
              <w:rPr>
                <w:rFonts w:hint="eastAsia" w:hAnsi="宋体" w:cs="宋体"/>
                <w:color w:val="auto"/>
                <w:sz w:val="21"/>
                <w:highlight w:val="none"/>
              </w:rPr>
              <w:t>三档（11 分）：在满足二档的基础上，方案包含针对本项目提出处理人员劳动争议、纠纷、人员安全事故处理、仲裁、诉讼事宜等问题的具体措施；</w:t>
            </w:r>
          </w:p>
          <w:p w14:paraId="7B564A5A">
            <w:pPr>
              <w:pStyle w:val="25"/>
              <w:spacing w:line="400" w:lineRule="exact"/>
              <w:rPr>
                <w:rFonts w:hAnsi="宋体" w:cs="宋体"/>
                <w:color w:val="auto"/>
                <w:sz w:val="21"/>
                <w:highlight w:val="none"/>
              </w:rPr>
            </w:pPr>
            <w:r>
              <w:rPr>
                <w:rFonts w:hint="eastAsia" w:hAnsi="宋体" w:cs="宋体"/>
                <w:color w:val="auto"/>
                <w:sz w:val="21"/>
                <w:highlight w:val="none"/>
              </w:rPr>
              <w:t>四档（15 分）：在满足三档的基础上，纠纷处理方案内容编制全面、详细，具有可操作性，能有效解决纠纷；能提供具体的处理流程，有落实措施具体的人员名单。</w:t>
            </w:r>
          </w:p>
          <w:p w14:paraId="386F5469">
            <w:pPr>
              <w:pStyle w:val="12"/>
              <w:ind w:left="0" w:firstLine="0" w:firstLineChars="0"/>
              <w:rPr>
                <w:color w:val="auto"/>
                <w:szCs w:val="21"/>
                <w:highlight w:val="none"/>
              </w:rPr>
            </w:pPr>
            <w:r>
              <w:rPr>
                <w:rFonts w:hint="eastAsia" w:ascii="宋体" w:hAnsi="宋体" w:cs="宋体"/>
                <w:b/>
                <w:color w:val="auto"/>
                <w:szCs w:val="21"/>
                <w:highlight w:val="none"/>
              </w:rPr>
              <w:t>注：未提供“</w:t>
            </w:r>
            <w:r>
              <w:rPr>
                <w:rFonts w:hint="eastAsia" w:ascii="宋体" w:hAnsi="宋体"/>
                <w:b/>
                <w:bCs/>
                <w:color w:val="auto"/>
                <w:szCs w:val="21"/>
                <w:highlight w:val="none"/>
              </w:rPr>
              <w:t>纠纷处理方案</w:t>
            </w:r>
            <w:r>
              <w:rPr>
                <w:rFonts w:hint="eastAsia" w:ascii="宋体" w:hAnsi="宋体" w:cs="宋体"/>
                <w:b/>
                <w:color w:val="auto"/>
                <w:szCs w:val="21"/>
                <w:highlight w:val="none"/>
              </w:rPr>
              <w:t>”或经评委评审未达到上述一档档次标准的，</w:t>
            </w:r>
            <w:r>
              <w:rPr>
                <w:rFonts w:hint="eastAsia" w:ascii="宋体" w:hAnsi="宋体"/>
                <w:b/>
                <w:bCs/>
                <w:color w:val="auto"/>
                <w:szCs w:val="21"/>
                <w:highlight w:val="none"/>
              </w:rPr>
              <w:t>纠纷处理方案</w:t>
            </w:r>
            <w:r>
              <w:rPr>
                <w:rFonts w:hint="eastAsia"/>
                <w:b/>
                <w:color w:val="auto"/>
                <w:szCs w:val="21"/>
                <w:highlight w:val="none"/>
              </w:rPr>
              <w:t>分</w:t>
            </w:r>
            <w:r>
              <w:rPr>
                <w:rFonts w:hint="eastAsia" w:ascii="宋体" w:hAnsi="宋体" w:cs="宋体"/>
                <w:b/>
                <w:color w:val="auto"/>
                <w:szCs w:val="21"/>
                <w:highlight w:val="none"/>
              </w:rPr>
              <w:t>不予计分。</w:t>
            </w:r>
          </w:p>
        </w:tc>
      </w:tr>
      <w:tr w14:paraId="2FBC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5" w:type="dxa"/>
            <w:tcBorders>
              <w:top w:val="single" w:color="auto" w:sz="4" w:space="0"/>
              <w:left w:val="single" w:color="auto" w:sz="4" w:space="0"/>
              <w:right w:val="single" w:color="auto" w:sz="4" w:space="0"/>
            </w:tcBorders>
            <w:vAlign w:val="center"/>
          </w:tcPr>
          <w:p w14:paraId="5B70D4A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129A5399">
            <w:pPr>
              <w:pStyle w:val="25"/>
              <w:spacing w:line="400" w:lineRule="exact"/>
              <w:jc w:val="center"/>
              <w:rPr>
                <w:rFonts w:hAnsi="宋体" w:cs="宋体"/>
                <w:color w:val="auto"/>
                <w:sz w:val="21"/>
                <w:highlight w:val="none"/>
              </w:rPr>
            </w:pPr>
            <w:r>
              <w:rPr>
                <w:rFonts w:hint="eastAsia" w:hAnsi="宋体" w:cs="宋体"/>
                <w:b/>
                <w:bCs/>
                <w:color w:val="auto"/>
                <w:sz w:val="21"/>
                <w:highlight w:val="none"/>
              </w:rPr>
              <w:t>人员配置及投入项目方案分（15分）</w:t>
            </w:r>
          </w:p>
        </w:tc>
        <w:tc>
          <w:tcPr>
            <w:tcW w:w="7701" w:type="dxa"/>
            <w:gridSpan w:val="2"/>
            <w:tcBorders>
              <w:top w:val="single" w:color="auto" w:sz="4" w:space="0"/>
              <w:left w:val="single" w:color="auto" w:sz="4" w:space="0"/>
              <w:right w:val="single" w:color="auto" w:sz="4" w:space="0"/>
            </w:tcBorders>
            <w:vAlign w:val="center"/>
          </w:tcPr>
          <w:p w14:paraId="4585DB04">
            <w:pPr>
              <w:pStyle w:val="25"/>
              <w:spacing w:line="400" w:lineRule="exact"/>
              <w:rPr>
                <w:rFonts w:hAnsi="宋体" w:cs="宋体"/>
                <w:color w:val="auto"/>
                <w:sz w:val="21"/>
                <w:highlight w:val="none"/>
              </w:rPr>
            </w:pPr>
            <w:r>
              <w:rPr>
                <w:rFonts w:hint="eastAsia" w:hAnsi="宋体" w:cs="宋体"/>
                <w:color w:val="auto"/>
                <w:sz w:val="21"/>
                <w:highlight w:val="none"/>
              </w:rPr>
              <w:t>评委根据投标人所提供的人员配置及投入项目方案内容，按以下方式进行独立评审打分：</w:t>
            </w:r>
          </w:p>
          <w:p w14:paraId="3B2FF867">
            <w:pPr>
              <w:pStyle w:val="25"/>
              <w:spacing w:line="400" w:lineRule="exact"/>
              <w:rPr>
                <w:rFonts w:hAnsi="宋体" w:cs="宋体"/>
                <w:color w:val="auto"/>
                <w:sz w:val="21"/>
                <w:highlight w:val="none"/>
              </w:rPr>
            </w:pPr>
            <w:r>
              <w:rPr>
                <w:rFonts w:hint="eastAsia" w:hAnsi="宋体" w:cs="宋体"/>
                <w:color w:val="auto"/>
                <w:sz w:val="21"/>
                <w:highlight w:val="none"/>
              </w:rPr>
              <w:t>一档（3 分）：满足采购需求的基础上，有人员、物资配置情况及薪资方案，但人员和物资配置存在缺陷，实行上略有欠缺或仅承诺满足本项目人员配置数量而未提供完整的人员投入项目方案；</w:t>
            </w:r>
          </w:p>
          <w:p w14:paraId="3A5959FD">
            <w:pPr>
              <w:pStyle w:val="25"/>
              <w:spacing w:line="400" w:lineRule="exact"/>
              <w:rPr>
                <w:rFonts w:hAnsi="宋体" w:cs="宋体"/>
                <w:color w:val="auto"/>
                <w:sz w:val="21"/>
                <w:highlight w:val="none"/>
              </w:rPr>
            </w:pPr>
            <w:r>
              <w:rPr>
                <w:rFonts w:hint="eastAsia" w:hAnsi="宋体" w:cs="宋体"/>
                <w:color w:val="auto"/>
                <w:sz w:val="21"/>
                <w:highlight w:val="none"/>
              </w:rPr>
              <w:t>二档（7 分）：在满足一档的基础上，能针对本项目全部需求服务项提供各类物资装备配置、人员投入项目方案、人员薪资管理方案；</w:t>
            </w:r>
          </w:p>
          <w:p w14:paraId="10DE1F32">
            <w:pPr>
              <w:pStyle w:val="25"/>
              <w:spacing w:line="400" w:lineRule="exact"/>
              <w:rPr>
                <w:rFonts w:hAnsi="宋体" w:cs="宋体"/>
                <w:color w:val="auto"/>
                <w:sz w:val="21"/>
                <w:highlight w:val="none"/>
              </w:rPr>
            </w:pPr>
            <w:r>
              <w:rPr>
                <w:rFonts w:hint="eastAsia" w:hAnsi="宋体" w:cs="宋体"/>
                <w:color w:val="auto"/>
                <w:sz w:val="21"/>
                <w:highlight w:val="none"/>
              </w:rPr>
              <w:t>三档（11 分）：在满足二档的基础上，提供具体的人员投入项目方案，有保证人员充足的具体措施，有针对人员假期休假、调离或离职而造成人员短缺需迅速进行补充的应对措施，有应对因突发事件服务人员需求量短期内大幅增加的预案，可保证合同期间能完成任务；能提供拟投入项目的管理人员名单，拟投入管理人员可确保均有对应岗位服务经验；</w:t>
            </w:r>
          </w:p>
          <w:p w14:paraId="345F844D">
            <w:pPr>
              <w:pStyle w:val="25"/>
              <w:spacing w:line="400" w:lineRule="exact"/>
              <w:rPr>
                <w:rFonts w:hAnsi="宋体" w:cs="宋体"/>
                <w:color w:val="auto"/>
                <w:sz w:val="21"/>
                <w:highlight w:val="none"/>
              </w:rPr>
            </w:pPr>
            <w:r>
              <w:rPr>
                <w:rFonts w:hint="eastAsia" w:hAnsi="宋体" w:cs="宋体"/>
                <w:color w:val="auto"/>
                <w:sz w:val="21"/>
                <w:highlight w:val="none"/>
              </w:rPr>
              <w:t>四档（15 分）：在满足三档的基础上，能提供投入本项目全部需求服务项的人员、装备、物资信息化管理系统的管理方案，能提供拟投入管理人员的专业、学历、职称、证书及相关工作经验的信息，能针对人员休假、离职，具有完整的人员补充招聘制度，针对人员素质和服务质量有详尽的管理规范和考核制度。</w:t>
            </w:r>
          </w:p>
          <w:p w14:paraId="4F634E38">
            <w:pPr>
              <w:pStyle w:val="12"/>
              <w:ind w:left="0" w:firstLine="0" w:firstLineChars="0"/>
              <w:rPr>
                <w:color w:val="auto"/>
                <w:szCs w:val="21"/>
                <w:highlight w:val="none"/>
              </w:rPr>
            </w:pPr>
            <w:r>
              <w:rPr>
                <w:rFonts w:hint="eastAsia" w:ascii="宋体" w:hAnsi="宋体" w:cs="宋体"/>
                <w:b/>
                <w:color w:val="auto"/>
                <w:szCs w:val="21"/>
                <w:highlight w:val="none"/>
              </w:rPr>
              <w:t>注：未提供“</w:t>
            </w:r>
            <w:r>
              <w:rPr>
                <w:rFonts w:hint="eastAsia" w:hAnsi="宋体" w:cs="宋体"/>
                <w:b/>
                <w:bCs/>
                <w:color w:val="auto"/>
                <w:szCs w:val="21"/>
                <w:highlight w:val="none"/>
              </w:rPr>
              <w:t>人员配置及投入项目方案</w:t>
            </w:r>
            <w:r>
              <w:rPr>
                <w:rFonts w:hint="eastAsia" w:ascii="宋体" w:hAnsi="宋体" w:cs="宋体"/>
                <w:b/>
                <w:color w:val="auto"/>
                <w:szCs w:val="21"/>
                <w:highlight w:val="none"/>
              </w:rPr>
              <w:t>”或经评委评审未达到上述一档档次标准的，</w:t>
            </w:r>
            <w:r>
              <w:rPr>
                <w:rFonts w:hint="eastAsia" w:hAnsi="宋体" w:cs="宋体"/>
                <w:b/>
                <w:bCs/>
                <w:color w:val="auto"/>
                <w:szCs w:val="21"/>
                <w:highlight w:val="none"/>
              </w:rPr>
              <w:t>人员配置及投入项目方案</w:t>
            </w:r>
            <w:r>
              <w:rPr>
                <w:rFonts w:hint="eastAsia"/>
                <w:b/>
                <w:color w:val="auto"/>
                <w:szCs w:val="21"/>
                <w:highlight w:val="none"/>
              </w:rPr>
              <w:t>分</w:t>
            </w:r>
            <w:r>
              <w:rPr>
                <w:rFonts w:hint="eastAsia" w:ascii="宋体" w:hAnsi="宋体" w:cs="宋体"/>
                <w:b/>
                <w:color w:val="auto"/>
                <w:szCs w:val="21"/>
                <w:highlight w:val="none"/>
              </w:rPr>
              <w:t>不予计分。</w:t>
            </w:r>
          </w:p>
        </w:tc>
      </w:tr>
      <w:tr w14:paraId="1D0F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525" w:type="dxa"/>
            <w:tcBorders>
              <w:top w:val="single" w:color="auto" w:sz="4" w:space="0"/>
              <w:left w:val="single" w:color="auto" w:sz="4" w:space="0"/>
              <w:right w:val="single" w:color="auto" w:sz="4" w:space="0"/>
            </w:tcBorders>
            <w:vAlign w:val="center"/>
          </w:tcPr>
          <w:p w14:paraId="73A41D2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224" w:type="dxa"/>
            <w:tcBorders>
              <w:top w:val="single" w:color="auto" w:sz="4" w:space="0"/>
              <w:left w:val="single" w:color="auto" w:sz="4" w:space="0"/>
              <w:right w:val="single" w:color="auto" w:sz="4" w:space="0"/>
            </w:tcBorders>
            <w:vAlign w:val="center"/>
          </w:tcPr>
          <w:p w14:paraId="7A0058B5">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履约能力分（10分）</w:t>
            </w:r>
          </w:p>
        </w:tc>
        <w:tc>
          <w:tcPr>
            <w:tcW w:w="7701" w:type="dxa"/>
            <w:gridSpan w:val="2"/>
            <w:tcBorders>
              <w:top w:val="single" w:color="auto" w:sz="4" w:space="0"/>
              <w:left w:val="single" w:color="auto" w:sz="4" w:space="0"/>
              <w:right w:val="single" w:color="auto" w:sz="4" w:space="0"/>
            </w:tcBorders>
            <w:vAlign w:val="center"/>
          </w:tcPr>
          <w:p w14:paraId="7A580047">
            <w:pPr>
              <w:pStyle w:val="25"/>
              <w:spacing w:line="400" w:lineRule="exact"/>
              <w:rPr>
                <w:rFonts w:hAnsi="宋体" w:cs="宋体"/>
                <w:color w:val="auto"/>
                <w:sz w:val="21"/>
                <w:highlight w:val="none"/>
              </w:rPr>
            </w:pPr>
            <w:r>
              <w:rPr>
                <w:rFonts w:hint="eastAsia"/>
                <w:color w:val="auto"/>
                <w:sz w:val="21"/>
                <w:highlight w:val="none"/>
              </w:rPr>
              <w:t>投标人自2023年1月1日以来的具有同类项目业绩的（业绩以中标、成交通知书或合同为准，并能清晰反映项目名称、服务内容，同一个编号的项目有两个或两个以上的分标中标的只算1个业绩，并加盖投标人电子签章，否则不予认可），每提供1个业绩得2分，最多得10分。</w:t>
            </w:r>
          </w:p>
        </w:tc>
      </w:tr>
      <w:tr w14:paraId="23A2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789267BB">
            <w:pPr>
              <w:rPr>
                <w:rFonts w:ascii="宋体" w:hAnsi="宋体" w:cs="宋体"/>
                <w:b/>
                <w:color w:val="auto"/>
                <w:szCs w:val="21"/>
                <w:highlight w:val="none"/>
              </w:rPr>
            </w:pPr>
            <w:r>
              <w:rPr>
                <w:rFonts w:hint="eastAsia" w:ascii="宋体" w:hAnsi="宋体" w:cs="宋体"/>
                <w:b/>
                <w:bCs/>
                <w:color w:val="auto"/>
                <w:szCs w:val="21"/>
                <w:highlight w:val="none"/>
              </w:rPr>
              <w:t>7.总得分为以上各项评审因素得分合计。</w:t>
            </w:r>
          </w:p>
        </w:tc>
      </w:tr>
    </w:tbl>
    <w:p w14:paraId="280C525C">
      <w:pPr>
        <w:rPr>
          <w:rFonts w:ascii="宋体" w:hAnsi="宋体" w:cs="宋体"/>
          <w:b/>
          <w:color w:val="auto"/>
          <w:highlight w:val="none"/>
        </w:rPr>
      </w:pPr>
    </w:p>
    <w:p w14:paraId="7BC05FB2">
      <w:pPr>
        <w:pStyle w:val="4"/>
        <w:keepNext w:val="0"/>
        <w:keepLines w:val="0"/>
        <w:jc w:val="center"/>
        <w:rPr>
          <w:rFonts w:ascii="宋体" w:hAnsi="宋体" w:cs="宋体"/>
          <w:color w:val="auto"/>
          <w:sz w:val="30"/>
          <w:szCs w:val="30"/>
          <w:highlight w:val="none"/>
        </w:rPr>
      </w:pPr>
    </w:p>
    <w:p w14:paraId="1E242C6C">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6CC8EF57">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7392E113">
      <w:pPr>
        <w:pStyle w:val="25"/>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4D19B7F">
      <w:pPr>
        <w:pStyle w:val="3"/>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847523E">
      <w:pPr>
        <w:pStyle w:val="3"/>
        <w:keepNext w:val="0"/>
        <w:keepLines w:val="0"/>
        <w:jc w:val="center"/>
        <w:rPr>
          <w:rFonts w:ascii="宋体" w:hAnsi="宋体" w:eastAsia="宋体" w:cs="宋体"/>
          <w:color w:val="auto"/>
          <w:highlight w:val="none"/>
        </w:rPr>
      </w:pPr>
    </w:p>
    <w:p w14:paraId="432AFF12">
      <w:pPr>
        <w:rPr>
          <w:rFonts w:ascii="宋体" w:hAnsi="宋体" w:cs="宋体"/>
          <w:color w:val="auto"/>
          <w:highlight w:val="none"/>
        </w:rPr>
      </w:pPr>
    </w:p>
    <w:p w14:paraId="63883A9E">
      <w:pPr>
        <w:pStyle w:val="18"/>
        <w:rPr>
          <w:rFonts w:ascii="宋体" w:hAnsi="宋体" w:cs="宋体"/>
          <w:color w:val="auto"/>
          <w:highlight w:val="none"/>
        </w:rPr>
      </w:pPr>
    </w:p>
    <w:p w14:paraId="7C3D9A82">
      <w:pPr>
        <w:pStyle w:val="18"/>
        <w:rPr>
          <w:rFonts w:ascii="宋体" w:hAnsi="宋体" w:cs="宋体"/>
          <w:color w:val="auto"/>
          <w:highlight w:val="none"/>
        </w:rPr>
      </w:pPr>
    </w:p>
    <w:p w14:paraId="625D68A2">
      <w:pPr>
        <w:pStyle w:val="18"/>
        <w:rPr>
          <w:rFonts w:ascii="宋体" w:hAnsi="宋体" w:cs="宋体"/>
          <w:color w:val="auto"/>
          <w:highlight w:val="none"/>
        </w:rPr>
      </w:pPr>
    </w:p>
    <w:p w14:paraId="3483EEFC">
      <w:pPr>
        <w:pStyle w:val="18"/>
        <w:rPr>
          <w:rFonts w:ascii="宋体" w:hAnsi="宋体" w:cs="宋体"/>
          <w:color w:val="auto"/>
          <w:highlight w:val="none"/>
        </w:rPr>
      </w:pPr>
    </w:p>
    <w:p w14:paraId="4474151C">
      <w:pPr>
        <w:pStyle w:val="3"/>
        <w:keepNext w:val="0"/>
        <w:keepLines w:val="0"/>
        <w:jc w:val="center"/>
        <w:rPr>
          <w:rFonts w:ascii="宋体" w:hAnsi="宋体" w:eastAsia="宋体" w:cs="宋体"/>
          <w:color w:val="auto"/>
          <w:highlight w:val="none"/>
        </w:rPr>
      </w:pPr>
    </w:p>
    <w:p w14:paraId="345AABAA">
      <w:pPr>
        <w:rPr>
          <w:rFonts w:ascii="宋体" w:hAnsi="宋体" w:cs="宋体"/>
          <w:color w:val="auto"/>
          <w:highlight w:val="none"/>
        </w:rPr>
      </w:pPr>
    </w:p>
    <w:p w14:paraId="15786018">
      <w:pPr>
        <w:pStyle w:val="3"/>
        <w:keepNext w:val="0"/>
        <w:keepLines w:val="0"/>
        <w:jc w:val="center"/>
        <w:rPr>
          <w:rFonts w:ascii="宋体" w:hAnsi="宋体" w:eastAsia="宋体" w:cs="宋体"/>
          <w:color w:val="auto"/>
          <w:highlight w:val="none"/>
        </w:rPr>
      </w:pPr>
    </w:p>
    <w:p w14:paraId="460B2933">
      <w:pPr>
        <w:pStyle w:val="2"/>
        <w:jc w:val="center"/>
        <w:rPr>
          <w:rFonts w:ascii="宋体" w:hAnsi="宋体" w:cs="宋体"/>
          <w:color w:val="auto"/>
          <w:highlight w:val="none"/>
        </w:rPr>
      </w:pPr>
      <w:bookmarkStart w:id="139" w:name="_Toc30209"/>
      <w:bookmarkStart w:id="140" w:name="_Toc74320804"/>
      <w:r>
        <w:rPr>
          <w:rFonts w:hint="eastAsia" w:ascii="宋体" w:hAnsi="宋体" w:cs="宋体"/>
          <w:color w:val="auto"/>
          <w:highlight w:val="none"/>
        </w:rPr>
        <w:t>第五章 拟签订的合同文本</w:t>
      </w:r>
      <w:bookmarkEnd w:id="139"/>
      <w:bookmarkEnd w:id="140"/>
    </w:p>
    <w:p w14:paraId="35385103">
      <w:pPr>
        <w:snapToGrid w:val="0"/>
        <w:jc w:val="center"/>
        <w:rPr>
          <w:rFonts w:ascii="宋体" w:hAnsi="宋体" w:cs="宋体"/>
          <w:bCs/>
          <w:color w:val="auto"/>
          <w:sz w:val="32"/>
          <w:szCs w:val="32"/>
          <w:highlight w:val="none"/>
        </w:rPr>
      </w:pPr>
    </w:p>
    <w:p w14:paraId="4C889E81">
      <w:pPr>
        <w:snapToGrid w:val="0"/>
        <w:jc w:val="center"/>
        <w:rPr>
          <w:rFonts w:ascii="宋体" w:hAnsi="宋体" w:cs="宋体"/>
          <w:bCs/>
          <w:color w:val="auto"/>
          <w:sz w:val="32"/>
          <w:szCs w:val="32"/>
          <w:highlight w:val="none"/>
        </w:rPr>
      </w:pPr>
    </w:p>
    <w:p w14:paraId="3035A078">
      <w:pPr>
        <w:snapToGrid w:val="0"/>
        <w:jc w:val="center"/>
        <w:rPr>
          <w:rFonts w:ascii="宋体" w:hAnsi="宋体" w:cs="宋体"/>
          <w:bCs/>
          <w:color w:val="auto"/>
          <w:sz w:val="32"/>
          <w:szCs w:val="32"/>
          <w:highlight w:val="none"/>
        </w:rPr>
      </w:pPr>
    </w:p>
    <w:p w14:paraId="1459DAC3">
      <w:pPr>
        <w:snapToGrid w:val="0"/>
        <w:jc w:val="center"/>
        <w:rPr>
          <w:rFonts w:ascii="宋体" w:hAnsi="宋体" w:cs="宋体"/>
          <w:bCs/>
          <w:color w:val="auto"/>
          <w:sz w:val="32"/>
          <w:szCs w:val="32"/>
          <w:highlight w:val="none"/>
        </w:rPr>
      </w:pPr>
    </w:p>
    <w:p w14:paraId="562A2309">
      <w:pPr>
        <w:snapToGrid w:val="0"/>
        <w:jc w:val="center"/>
        <w:rPr>
          <w:rFonts w:ascii="宋体" w:hAnsi="宋体" w:cs="宋体"/>
          <w:bCs/>
          <w:color w:val="auto"/>
          <w:sz w:val="32"/>
          <w:szCs w:val="32"/>
          <w:highlight w:val="none"/>
        </w:rPr>
      </w:pPr>
    </w:p>
    <w:p w14:paraId="298EF2F4">
      <w:pPr>
        <w:snapToGrid w:val="0"/>
        <w:jc w:val="center"/>
        <w:rPr>
          <w:rFonts w:ascii="宋体" w:hAnsi="宋体" w:cs="宋体"/>
          <w:bCs/>
          <w:color w:val="auto"/>
          <w:sz w:val="32"/>
          <w:szCs w:val="32"/>
          <w:highlight w:val="none"/>
        </w:rPr>
      </w:pPr>
    </w:p>
    <w:p w14:paraId="6C0B3695">
      <w:pPr>
        <w:snapToGrid w:val="0"/>
        <w:jc w:val="center"/>
        <w:rPr>
          <w:rFonts w:ascii="宋体" w:hAnsi="宋体" w:cs="宋体"/>
          <w:bCs/>
          <w:color w:val="auto"/>
          <w:sz w:val="32"/>
          <w:szCs w:val="32"/>
          <w:highlight w:val="none"/>
        </w:rPr>
      </w:pPr>
    </w:p>
    <w:p w14:paraId="0539D7F6">
      <w:pPr>
        <w:snapToGrid w:val="0"/>
        <w:jc w:val="center"/>
        <w:rPr>
          <w:rFonts w:ascii="宋体" w:hAnsi="宋体" w:cs="宋体"/>
          <w:bCs/>
          <w:color w:val="auto"/>
          <w:sz w:val="32"/>
          <w:szCs w:val="32"/>
          <w:highlight w:val="none"/>
        </w:rPr>
      </w:pPr>
    </w:p>
    <w:p w14:paraId="171EA627">
      <w:pPr>
        <w:snapToGrid w:val="0"/>
        <w:jc w:val="center"/>
        <w:rPr>
          <w:rFonts w:ascii="宋体" w:hAnsi="宋体" w:cs="宋体"/>
          <w:bCs/>
          <w:color w:val="auto"/>
          <w:sz w:val="32"/>
          <w:szCs w:val="32"/>
          <w:highlight w:val="none"/>
        </w:rPr>
      </w:pPr>
    </w:p>
    <w:p w14:paraId="0DD8D8F9">
      <w:pPr>
        <w:snapToGrid w:val="0"/>
        <w:jc w:val="center"/>
        <w:rPr>
          <w:rFonts w:ascii="宋体" w:hAnsi="宋体" w:cs="宋体"/>
          <w:bCs/>
          <w:color w:val="auto"/>
          <w:sz w:val="32"/>
          <w:szCs w:val="32"/>
          <w:highlight w:val="none"/>
        </w:rPr>
      </w:pPr>
    </w:p>
    <w:p w14:paraId="530881C7">
      <w:pPr>
        <w:snapToGrid w:val="0"/>
        <w:jc w:val="center"/>
        <w:rPr>
          <w:rFonts w:ascii="宋体" w:hAnsi="宋体" w:cs="宋体"/>
          <w:bCs/>
          <w:color w:val="auto"/>
          <w:sz w:val="32"/>
          <w:szCs w:val="32"/>
          <w:highlight w:val="none"/>
        </w:rPr>
      </w:pPr>
    </w:p>
    <w:p w14:paraId="0867876A">
      <w:pPr>
        <w:snapToGrid w:val="0"/>
        <w:jc w:val="center"/>
        <w:rPr>
          <w:rFonts w:ascii="宋体" w:hAnsi="宋体" w:cs="宋体"/>
          <w:bCs/>
          <w:color w:val="auto"/>
          <w:sz w:val="32"/>
          <w:szCs w:val="32"/>
          <w:highlight w:val="none"/>
        </w:rPr>
      </w:pPr>
    </w:p>
    <w:p w14:paraId="06C29200">
      <w:pPr>
        <w:snapToGrid w:val="0"/>
        <w:jc w:val="center"/>
        <w:rPr>
          <w:rFonts w:ascii="宋体" w:hAnsi="宋体" w:cs="宋体"/>
          <w:bCs/>
          <w:color w:val="auto"/>
          <w:sz w:val="32"/>
          <w:szCs w:val="32"/>
          <w:highlight w:val="none"/>
        </w:rPr>
      </w:pPr>
    </w:p>
    <w:p w14:paraId="7167CF15">
      <w:pPr>
        <w:snapToGrid w:val="0"/>
        <w:spacing w:line="360" w:lineRule="auto"/>
        <w:ind w:firstLine="420" w:firstLineChars="200"/>
        <w:rPr>
          <w:rFonts w:ascii="宋体" w:hAnsi="宋体" w:cs="宋体"/>
          <w:color w:val="auto"/>
          <w:szCs w:val="21"/>
          <w:highlight w:val="none"/>
        </w:rPr>
      </w:pPr>
    </w:p>
    <w:p w14:paraId="3680449A">
      <w:pPr>
        <w:rPr>
          <w:rFonts w:ascii="宋体" w:hAnsi="宋体" w:cs="宋体"/>
          <w:color w:val="auto"/>
          <w:szCs w:val="21"/>
          <w:highlight w:val="none"/>
        </w:rPr>
      </w:pPr>
    </w:p>
    <w:p w14:paraId="71D4980A">
      <w:pPr>
        <w:spacing w:line="500" w:lineRule="exact"/>
        <w:jc w:val="center"/>
        <w:rPr>
          <w:rFonts w:ascii="宋体" w:hAnsi="宋体"/>
          <w:b/>
          <w:color w:val="auto"/>
          <w:sz w:val="48"/>
          <w:szCs w:val="48"/>
          <w:highlight w:val="none"/>
        </w:rPr>
      </w:pPr>
      <w:bookmarkStart w:id="141" w:name="_Hlk55381736"/>
      <w:r>
        <w:rPr>
          <w:rFonts w:hint="eastAsia" w:ascii="宋体" w:hAnsi="宋体"/>
          <w:b/>
          <w:color w:val="auto"/>
          <w:sz w:val="48"/>
          <w:szCs w:val="48"/>
          <w:highlight w:val="none"/>
        </w:rPr>
        <w:t>采购合同</w:t>
      </w:r>
    </w:p>
    <w:p w14:paraId="03D9BE82">
      <w:pPr>
        <w:spacing w:line="400" w:lineRule="exact"/>
        <w:jc w:val="center"/>
        <w:rPr>
          <w:rFonts w:ascii="宋体" w:hAnsi="宋体"/>
          <w:b/>
          <w:color w:val="auto"/>
          <w:sz w:val="24"/>
          <w:highlight w:val="none"/>
        </w:rPr>
      </w:pPr>
      <w:r>
        <w:rPr>
          <w:rFonts w:hint="eastAsia" w:ascii="宋体" w:hAnsi="宋体"/>
          <w:b/>
          <w:color w:val="auto"/>
          <w:sz w:val="24"/>
          <w:highlight w:val="none"/>
        </w:rPr>
        <w:t xml:space="preserve">                                                合同编号：</w:t>
      </w:r>
    </w:p>
    <w:p w14:paraId="536E32E7">
      <w:pPr>
        <w:snapToGrid w:val="0"/>
        <w:spacing w:line="400" w:lineRule="exact"/>
        <w:rPr>
          <w:rFonts w:ascii="宋体" w:hAnsi="宋体" w:cs="宋体"/>
          <w:color w:val="auto"/>
          <w:szCs w:val="21"/>
          <w:highlight w:val="none"/>
          <w:lang w:bidi="ar"/>
        </w:rPr>
      </w:pPr>
    </w:p>
    <w:p w14:paraId="45A3B22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采购人（甲方）：</w:t>
      </w:r>
      <w:r>
        <w:rPr>
          <w:rFonts w:hint="eastAsia" w:ascii="宋体" w:hAnsi="宋体" w:cs="宋体"/>
          <w:color w:val="auto"/>
          <w:szCs w:val="21"/>
          <w:highlight w:val="none"/>
          <w:u w:val="single"/>
          <w:lang w:bidi="ar"/>
        </w:rPr>
        <w:t>桂林医科大学第一附属医院</w:t>
      </w:r>
      <w:r>
        <w:rPr>
          <w:rFonts w:hint="eastAsia" w:ascii="宋体" w:hAnsi="宋体" w:cs="宋体"/>
          <w:color w:val="auto"/>
          <w:szCs w:val="21"/>
          <w:highlight w:val="none"/>
          <w:lang w:bidi="ar"/>
        </w:rPr>
        <w:t xml:space="preserve">               </w:t>
      </w:r>
    </w:p>
    <w:p w14:paraId="33F6E4D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供应商（乙方）：</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w:t>
      </w:r>
    </w:p>
    <w:p w14:paraId="21B55E4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u w:val="single"/>
          <w:lang w:bidi="ar"/>
        </w:rPr>
        <w:t>乐群院区医辅人员服务</w:t>
      </w:r>
      <w:r>
        <w:rPr>
          <w:rFonts w:hint="eastAsia" w:ascii="宋体" w:hAnsi="宋体" w:cs="宋体"/>
          <w:color w:val="auto"/>
          <w:szCs w:val="21"/>
          <w:highlight w:val="none"/>
          <w:lang w:bidi="ar"/>
        </w:rPr>
        <w:t xml:space="preserve"> </w:t>
      </w:r>
    </w:p>
    <w:p w14:paraId="45ED90CC">
      <w:pPr>
        <w:snapToGrid w:val="0"/>
        <w:spacing w:line="400" w:lineRule="exact"/>
        <w:rPr>
          <w:rFonts w:ascii="宋体" w:hAnsi="宋体"/>
          <w:color w:val="auto"/>
          <w:szCs w:val="21"/>
          <w:highlight w:val="none"/>
          <w:u w:val="single"/>
        </w:rPr>
      </w:pPr>
      <w:r>
        <w:rPr>
          <w:rFonts w:hint="eastAsia" w:ascii="宋体" w:hAnsi="宋体" w:cs="宋体"/>
          <w:color w:val="auto"/>
          <w:szCs w:val="21"/>
          <w:highlight w:val="none"/>
          <w:lang w:bidi="ar"/>
        </w:rPr>
        <w:t>项目编号：</w:t>
      </w:r>
      <w:r>
        <w:rPr>
          <w:rFonts w:hint="eastAsia" w:ascii="宋体" w:hAnsi="宋体" w:cs="宋体"/>
          <w:color w:val="auto"/>
          <w:szCs w:val="21"/>
          <w:highlight w:val="none"/>
          <w:u w:val="single"/>
          <w:lang w:bidi="ar"/>
        </w:rPr>
        <w:t xml:space="preserve">GXZC2026-G3-001489-YZLZ  </w:t>
      </w:r>
      <w:r>
        <w:rPr>
          <w:rFonts w:hint="eastAsia" w:ascii="宋体" w:hAnsi="宋体" w:cs="宋体"/>
          <w:color w:val="auto"/>
          <w:szCs w:val="21"/>
          <w:highlight w:val="none"/>
          <w:lang w:bidi="ar"/>
        </w:rPr>
        <w:t xml:space="preserve">            采购计划编号：</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p>
    <w:p w14:paraId="45D8A9E4">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lang w:bidi="ar"/>
        </w:rPr>
        <w:t>签订地点：</w:t>
      </w:r>
      <w:r>
        <w:rPr>
          <w:rFonts w:hint="eastAsia" w:ascii="宋体" w:hAnsi="宋体" w:cs="宋体"/>
          <w:color w:val="auto"/>
          <w:szCs w:val="21"/>
          <w:highlight w:val="none"/>
          <w:u w:val="single"/>
          <w:lang w:bidi="ar"/>
        </w:rPr>
        <w:t xml:space="preserve">广西桂林市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签订时间：</w:t>
      </w:r>
      <w:r>
        <w:rPr>
          <w:rFonts w:hint="eastAsia" w:ascii="宋体" w:hAnsi="宋体" w:cs="宋体"/>
          <w:color w:val="auto"/>
          <w:szCs w:val="21"/>
          <w:highlight w:val="none"/>
          <w:u w:val="single"/>
          <w:lang w:bidi="ar"/>
        </w:rPr>
        <w:t xml:space="preserve">                     </w:t>
      </w:r>
    </w:p>
    <w:p w14:paraId="23FA6A1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根据《中华人民共和国政府采购法》、《中华人民共和国政府采购法实施条例》、《</w:t>
      </w:r>
      <w:r>
        <w:rPr>
          <w:rFonts w:hint="eastAsia" w:ascii="宋体" w:hAnsi="宋体" w:cs="宋体"/>
          <w:color w:val="auto"/>
          <w:szCs w:val="21"/>
          <w:highlight w:val="none"/>
          <w:shd w:val="clear" w:color="auto" w:fill="FFFFFF"/>
          <w:lang w:bidi="ar"/>
        </w:rPr>
        <w:t>中华人民共和国民法典</w:t>
      </w:r>
      <w:r>
        <w:rPr>
          <w:rFonts w:hint="eastAsia" w:ascii="宋体" w:hAnsi="宋体" w:cs="宋体"/>
          <w:color w:val="auto"/>
          <w:szCs w:val="21"/>
          <w:highlight w:val="none"/>
          <w:lang w:bidi="ar"/>
        </w:rPr>
        <w:t>》等法律、法规规定，按照招标文件规定的条款和乙方承诺，甲、乙双方签订本合同。</w:t>
      </w:r>
    </w:p>
    <w:p w14:paraId="58C5D604">
      <w:pPr>
        <w:numPr>
          <w:ilvl w:val="0"/>
          <w:numId w:val="7"/>
        </w:num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合同标的及合同金额</w:t>
      </w:r>
    </w:p>
    <w:p w14:paraId="38B03E7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1.合同标的及金额</w:t>
      </w:r>
    </w:p>
    <w:tbl>
      <w:tblPr>
        <w:tblStyle w:val="48"/>
        <w:tblW w:w="849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75"/>
        <w:gridCol w:w="1372"/>
        <w:gridCol w:w="1324"/>
        <w:gridCol w:w="994"/>
        <w:gridCol w:w="1827"/>
      </w:tblGrid>
      <w:tr w14:paraId="2441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1205" w:type="dxa"/>
            <w:tcBorders>
              <w:top w:val="single" w:color="auto" w:sz="4" w:space="0"/>
              <w:left w:val="single" w:color="auto" w:sz="4" w:space="0"/>
              <w:bottom w:val="single" w:color="auto" w:sz="4" w:space="0"/>
              <w:right w:val="single" w:color="auto" w:sz="4" w:space="0"/>
              <w:tl2br w:val="nil"/>
              <w:tr2bl w:val="nil"/>
            </w:tcBorders>
            <w:vAlign w:val="center"/>
          </w:tcPr>
          <w:p w14:paraId="5C59C52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1775" w:type="dxa"/>
            <w:tcBorders>
              <w:top w:val="single" w:color="auto" w:sz="4" w:space="0"/>
              <w:left w:val="nil"/>
              <w:bottom w:val="single" w:color="auto" w:sz="4" w:space="0"/>
              <w:right w:val="single" w:color="auto" w:sz="4" w:space="0"/>
              <w:tl2br w:val="nil"/>
              <w:tr2bl w:val="nil"/>
            </w:tcBorders>
            <w:vAlign w:val="center"/>
          </w:tcPr>
          <w:p w14:paraId="7AED6C84">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标的名称</w:t>
            </w:r>
          </w:p>
        </w:tc>
        <w:tc>
          <w:tcPr>
            <w:tcW w:w="1372" w:type="dxa"/>
            <w:tcBorders>
              <w:top w:val="single" w:color="auto" w:sz="4" w:space="0"/>
              <w:left w:val="nil"/>
              <w:bottom w:val="single" w:color="auto" w:sz="4" w:space="0"/>
              <w:right w:val="single" w:color="auto" w:sz="4" w:space="0"/>
              <w:tl2br w:val="nil"/>
              <w:tr2bl w:val="nil"/>
            </w:tcBorders>
            <w:vAlign w:val="center"/>
          </w:tcPr>
          <w:p w14:paraId="0168EDC2">
            <w:pPr>
              <w:jc w:val="center"/>
              <w:rPr>
                <w:rFonts w:ascii="宋体" w:hAnsi="宋体"/>
                <w:color w:val="auto"/>
                <w:highlight w:val="none"/>
              </w:rPr>
            </w:pPr>
            <w:r>
              <w:rPr>
                <w:rFonts w:hint="eastAsia" w:ascii="宋体" w:hAnsi="宋体"/>
                <w:color w:val="auto"/>
                <w:highlight w:val="none"/>
              </w:rPr>
              <w:t>人数（人）</w:t>
            </w:r>
          </w:p>
          <w:p w14:paraId="3175CADF">
            <w:pPr>
              <w:jc w:val="center"/>
              <w:rPr>
                <w:rFonts w:ascii="宋体" w:hAnsi="宋体" w:cs="宋体"/>
                <w:color w:val="auto"/>
                <w:szCs w:val="21"/>
                <w:highlight w:val="none"/>
              </w:rPr>
            </w:pPr>
            <w:r>
              <w:rPr>
                <w:rFonts w:hint="eastAsia" w:ascii="宋体" w:hAnsi="宋体"/>
                <w:color w:val="auto"/>
                <w:highlight w:val="none"/>
              </w:rPr>
              <w:t>（预估）①</w:t>
            </w:r>
          </w:p>
        </w:tc>
        <w:tc>
          <w:tcPr>
            <w:tcW w:w="1324" w:type="dxa"/>
            <w:tcBorders>
              <w:top w:val="single" w:color="auto" w:sz="4" w:space="0"/>
              <w:left w:val="nil"/>
              <w:bottom w:val="single" w:color="auto" w:sz="4" w:space="0"/>
              <w:right w:val="single" w:color="auto" w:sz="4" w:space="0"/>
              <w:tl2br w:val="nil"/>
              <w:tr2bl w:val="nil"/>
            </w:tcBorders>
            <w:vAlign w:val="center"/>
          </w:tcPr>
          <w:p w14:paraId="0EF4AAFA">
            <w:pPr>
              <w:jc w:val="center"/>
              <w:rPr>
                <w:rFonts w:ascii="宋体" w:hAnsi="宋体" w:cs="宋体"/>
                <w:color w:val="auto"/>
                <w:szCs w:val="21"/>
                <w:highlight w:val="none"/>
              </w:rPr>
            </w:pPr>
            <w:r>
              <w:rPr>
                <w:rFonts w:hint="eastAsia" w:ascii="宋体" w:hAnsi="宋体"/>
                <w:color w:val="auto"/>
                <w:highlight w:val="none"/>
              </w:rPr>
              <w:t>单价（元/月/人）②</w:t>
            </w:r>
          </w:p>
        </w:tc>
        <w:tc>
          <w:tcPr>
            <w:tcW w:w="994" w:type="dxa"/>
            <w:tcBorders>
              <w:top w:val="single" w:color="auto" w:sz="4" w:space="0"/>
              <w:left w:val="nil"/>
              <w:bottom w:val="single" w:color="auto" w:sz="4" w:space="0"/>
              <w:right w:val="single" w:color="auto" w:sz="4" w:space="0"/>
              <w:tl2br w:val="nil"/>
              <w:tr2bl w:val="nil"/>
            </w:tcBorders>
            <w:vAlign w:val="center"/>
          </w:tcPr>
          <w:p w14:paraId="5B4FEF41">
            <w:pPr>
              <w:jc w:val="center"/>
              <w:rPr>
                <w:rFonts w:ascii="宋体" w:hAnsi="宋体" w:cs="宋体"/>
                <w:color w:val="auto"/>
                <w:szCs w:val="21"/>
                <w:highlight w:val="none"/>
              </w:rPr>
            </w:pPr>
            <w:r>
              <w:rPr>
                <w:rFonts w:hint="eastAsia" w:ascii="宋体" w:hAnsi="宋体"/>
                <w:color w:val="auto"/>
                <w:highlight w:val="none"/>
              </w:rPr>
              <w:t>服务时间（月）③</w:t>
            </w:r>
          </w:p>
        </w:tc>
        <w:tc>
          <w:tcPr>
            <w:tcW w:w="1827" w:type="dxa"/>
            <w:tcBorders>
              <w:top w:val="single" w:color="auto" w:sz="4" w:space="0"/>
              <w:left w:val="nil"/>
              <w:bottom w:val="single" w:color="auto" w:sz="4" w:space="0"/>
              <w:right w:val="single" w:color="auto" w:sz="4" w:space="0"/>
              <w:tl2br w:val="nil"/>
              <w:tr2bl w:val="nil"/>
            </w:tcBorders>
            <w:vAlign w:val="center"/>
          </w:tcPr>
          <w:p w14:paraId="249A7C2D">
            <w:pPr>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lang w:bidi="ar"/>
              </w:rPr>
              <w:t>合计金额</w:t>
            </w:r>
            <w:r>
              <w:rPr>
                <w:rFonts w:hint="eastAsia" w:ascii="宋体" w:hAnsi="宋体" w:cs="宋体"/>
                <w:color w:val="auto"/>
                <w:szCs w:val="21"/>
                <w:highlight w:val="none"/>
                <w:lang w:bidi="ar"/>
              </w:rPr>
              <w:t>（元）</w:t>
            </w:r>
          </w:p>
          <w:p w14:paraId="559A873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＝①×②×③</w:t>
            </w:r>
          </w:p>
        </w:tc>
      </w:tr>
      <w:tr w14:paraId="55B5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205" w:type="dxa"/>
            <w:tcBorders>
              <w:top w:val="single" w:color="auto" w:sz="4" w:space="0"/>
              <w:left w:val="single" w:color="auto" w:sz="4" w:space="0"/>
              <w:bottom w:val="single" w:color="auto" w:sz="4" w:space="0"/>
              <w:right w:val="single" w:color="auto" w:sz="4" w:space="0"/>
              <w:tl2br w:val="nil"/>
              <w:tr2bl w:val="nil"/>
            </w:tcBorders>
            <w:vAlign w:val="center"/>
          </w:tcPr>
          <w:p w14:paraId="72D4D2D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75" w:type="dxa"/>
            <w:tcBorders>
              <w:top w:val="single" w:color="auto" w:sz="4" w:space="0"/>
              <w:left w:val="nil"/>
              <w:bottom w:val="single" w:color="auto" w:sz="4" w:space="0"/>
              <w:right w:val="single" w:color="auto" w:sz="4" w:space="0"/>
              <w:tl2br w:val="nil"/>
              <w:tr2bl w:val="nil"/>
            </w:tcBorders>
            <w:vAlign w:val="center"/>
          </w:tcPr>
          <w:p w14:paraId="69AAB21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乐群院区医辅人员服务</w:t>
            </w:r>
          </w:p>
        </w:tc>
        <w:tc>
          <w:tcPr>
            <w:tcW w:w="1372" w:type="dxa"/>
            <w:tcBorders>
              <w:top w:val="single" w:color="auto" w:sz="4" w:space="0"/>
              <w:left w:val="nil"/>
              <w:bottom w:val="single" w:color="auto" w:sz="4" w:space="0"/>
              <w:right w:val="single" w:color="auto" w:sz="4" w:space="0"/>
              <w:tl2br w:val="nil"/>
              <w:tr2bl w:val="nil"/>
            </w:tcBorders>
            <w:vAlign w:val="center"/>
          </w:tcPr>
          <w:p w14:paraId="547E162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324" w:type="dxa"/>
            <w:tcBorders>
              <w:top w:val="single" w:color="auto" w:sz="4" w:space="0"/>
              <w:left w:val="nil"/>
              <w:bottom w:val="single" w:color="auto" w:sz="4" w:space="0"/>
              <w:right w:val="single" w:color="auto" w:sz="4" w:space="0"/>
              <w:tl2br w:val="nil"/>
              <w:tr2bl w:val="nil"/>
            </w:tcBorders>
            <w:vAlign w:val="center"/>
          </w:tcPr>
          <w:p w14:paraId="0424F086">
            <w:pPr>
              <w:snapToGrid w:val="0"/>
              <w:spacing w:line="360" w:lineRule="exact"/>
              <w:jc w:val="center"/>
              <w:rPr>
                <w:rFonts w:ascii="宋体" w:hAnsi="宋体" w:cs="宋体"/>
                <w:color w:val="auto"/>
                <w:szCs w:val="21"/>
                <w:highlight w:val="none"/>
              </w:rPr>
            </w:pPr>
          </w:p>
        </w:tc>
        <w:tc>
          <w:tcPr>
            <w:tcW w:w="994" w:type="dxa"/>
            <w:tcBorders>
              <w:top w:val="single" w:color="auto" w:sz="4" w:space="0"/>
              <w:left w:val="nil"/>
              <w:bottom w:val="single" w:color="auto" w:sz="4" w:space="0"/>
              <w:right w:val="single" w:color="auto" w:sz="4" w:space="0"/>
              <w:tl2br w:val="nil"/>
              <w:tr2bl w:val="nil"/>
            </w:tcBorders>
            <w:vAlign w:val="center"/>
          </w:tcPr>
          <w:p w14:paraId="182BFF0D">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27" w:type="dxa"/>
            <w:tcBorders>
              <w:top w:val="single" w:color="auto" w:sz="4" w:space="0"/>
              <w:left w:val="nil"/>
              <w:bottom w:val="single" w:color="auto" w:sz="4" w:space="0"/>
              <w:right w:val="single" w:color="auto" w:sz="4" w:space="0"/>
              <w:tl2br w:val="nil"/>
              <w:tr2bl w:val="nil"/>
            </w:tcBorders>
            <w:vAlign w:val="center"/>
          </w:tcPr>
          <w:p w14:paraId="6AE45C4E">
            <w:pPr>
              <w:snapToGrid w:val="0"/>
              <w:spacing w:line="360" w:lineRule="exact"/>
              <w:jc w:val="center"/>
              <w:rPr>
                <w:rFonts w:ascii="宋体" w:hAnsi="宋体" w:cs="宋体"/>
                <w:color w:val="auto"/>
                <w:szCs w:val="21"/>
                <w:highlight w:val="none"/>
              </w:rPr>
            </w:pPr>
          </w:p>
        </w:tc>
      </w:tr>
    </w:tbl>
    <w:p w14:paraId="414D271C">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bidi="ar"/>
        </w:rPr>
        <w:t>2.</w:t>
      </w:r>
      <w:r>
        <w:rPr>
          <w:rFonts w:hint="eastAsia" w:ascii="宋体" w:hAnsi="宋体"/>
          <w:color w:val="auto"/>
          <w:szCs w:val="21"/>
          <w:highlight w:val="none"/>
        </w:rPr>
        <w:t>本项目结算金额以实际提供的服务人员数量及单价为准</w:t>
      </w:r>
      <w:r>
        <w:rPr>
          <w:rFonts w:hint="eastAsia" w:ascii="宋体" w:hAnsi="宋体" w:cs="宋体"/>
          <w:color w:val="auto"/>
          <w:szCs w:val="21"/>
          <w:highlight w:val="none"/>
          <w:lang w:bidi="ar"/>
        </w:rPr>
        <w:t>，即：每月服务费=实际提供服务人员数量×每名服务人员每月服务费（未满勤服务人员服务费=每名服务人员每月服务费/当月应出勤天数×实际出勤天数）-考核扣除费用。</w:t>
      </w:r>
    </w:p>
    <w:p w14:paraId="47E2452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合同合计金额包含人员费用（含员工基本工资、绩效考核、社会保险费、福利费、夜班费、周末及法定假日加班费、服装费等）、体检费、外勤运送订单管理系统软件及相关配套设备、标本箱、提篮、防雨设备及其他设备设施费、通讯费、差旅费、物料、低值易耗品费（含医院用含氯消毒剂等）、固定资产折旧费（项目用电脑、对讲机、工具设备等）、人员培训费、管理费、水电费、合理利润、风险费、法定税费等与本项目相关的所有费用。对于本文件中未列明，而乙方认为必需的费用，也需列入总报价。在合同实施时，甲方将不予支付因合同履行需要发生一方没有列入的项目费用，该部分费用由乙方自担，并认为此项目的费用已包括在总报价中。</w:t>
      </w:r>
    </w:p>
    <w:p w14:paraId="4E848752">
      <w:p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第二条 服务期限及地点</w:t>
      </w:r>
    </w:p>
    <w:p w14:paraId="4D48229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1.服务期限：2年（自签订合同且正式开展服务之日起2年）</w:t>
      </w:r>
    </w:p>
    <w:p w14:paraId="6362DCF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2.服务地点：广西桂林市甲方医院内指定地点。</w:t>
      </w:r>
    </w:p>
    <w:p w14:paraId="62C46DE3">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第三条 采购服务范围及内容</w:t>
      </w:r>
    </w:p>
    <w:p w14:paraId="24B87C1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1.外勤：提供乐群院区、乐群校区、东城院区等医院管辖范围内所有区域护送病人、送资料、送单据、送标本、送药、送物资、送维修及气体运送等各种外勤服务及项目管理。</w:t>
      </w:r>
    </w:p>
    <w:p w14:paraId="547DB4B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2.内勤：乐群院区、乐群校区、东城院区等医院管辖范围及漓东院区部分科室内勤服务（具体工作内容视各科室而定）及项目管理。</w:t>
      </w:r>
    </w:p>
    <w:p w14:paraId="758B481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3.护工：乐群院区及漓东院区部分科室住院病人护工服务及项目管理。</w:t>
      </w:r>
    </w:p>
    <w:p w14:paraId="7B5A8D1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4.完成医院及科室交办的其他事情。</w:t>
      </w:r>
    </w:p>
    <w:p w14:paraId="5BE3EEFE">
      <w:pPr>
        <w:snapToGrid w:val="0"/>
        <w:spacing w:line="400" w:lineRule="exact"/>
        <w:rPr>
          <w:rFonts w:ascii="宋体" w:hAnsi="宋体" w:cs="宋体"/>
          <w:b/>
          <w:color w:val="auto"/>
          <w:szCs w:val="21"/>
          <w:highlight w:val="none"/>
          <w:lang w:bidi="ar"/>
        </w:rPr>
      </w:pPr>
      <w:r>
        <w:rPr>
          <w:rFonts w:hint="eastAsia" w:ascii="宋体" w:hAnsi="宋体" w:cs="宋体"/>
          <w:b/>
          <w:color w:val="auto"/>
          <w:szCs w:val="21"/>
          <w:highlight w:val="none"/>
          <w:lang w:bidi="ar"/>
        </w:rPr>
        <w:t>第四条 服务人员及系统配置</w:t>
      </w:r>
    </w:p>
    <w:p w14:paraId="52546A4D">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人员配置及要求：根据甲方目前科室设置及实际需求，乙方需提供服务人员103人（其中，外勤42人、内勤41人、护工20人），此人数为估算人数，乙方根据甲方实际需要提供服务人员及中标单价进行服务费结算。所提供的员工须具有初中及以上学历（护理专业毕业优先），要求年龄不超过50岁（以身份证登记为准），如工作能力突出，经科室认可，可适当放宽年龄，但合同期内≥55岁员工人数不超过总人数的20%。</w:t>
      </w:r>
      <w:r>
        <w:rPr>
          <w:rFonts w:hint="eastAsia" w:ascii="宋体" w:hAnsi="宋体" w:cs="宋体"/>
          <w:color w:val="auto"/>
          <w:highlight w:val="none"/>
        </w:rPr>
        <w:t>护工上岗前应具备相应职业技能证书(即:医疗护理员职业技能等级证书或病患陪护专项职业能力证书)，经过考核合格后方可从事相关工作</w:t>
      </w:r>
      <w:r>
        <w:rPr>
          <w:rFonts w:hint="eastAsia" w:ascii="宋体" w:hAnsi="宋体" w:cs="宋体"/>
          <w:color w:val="auto"/>
          <w:szCs w:val="21"/>
          <w:highlight w:val="none"/>
          <w:lang w:bidi="ar"/>
        </w:rPr>
        <w:t>。所有员工要求身心健康（员工入职前必须进行体检，不能聘用患有传染性疾病的人员，体检报告交甲方后勤管理科存档）。如有变动，双方另行协商人员配置。</w:t>
      </w:r>
    </w:p>
    <w:p w14:paraId="0B7EF89F">
      <w:pPr>
        <w:spacing w:line="360" w:lineRule="exact"/>
        <w:jc w:val="left"/>
        <w:rPr>
          <w:rFonts w:ascii="宋体" w:hAnsi="宋体" w:cs="宋体"/>
          <w:color w:val="auto"/>
          <w:highlight w:val="none"/>
        </w:rPr>
      </w:pPr>
      <w:r>
        <w:rPr>
          <w:rFonts w:hint="eastAsia" w:ascii="宋体" w:hAnsi="宋体" w:cs="宋体"/>
          <w:color w:val="auto"/>
          <w:szCs w:val="21"/>
          <w:highlight w:val="none"/>
          <w:lang w:bidi="ar"/>
        </w:rPr>
        <w:t>2.配备外勤运送订单管理系统软件及相关配套设备，配套设备必须保证每个科室均能正常下单使用（配套设备包括但不限于平板、流量卡等）。</w:t>
      </w:r>
      <w:r>
        <w:rPr>
          <w:rFonts w:hint="eastAsia"/>
          <w:color w:val="auto"/>
          <w:highlight w:val="none"/>
        </w:rPr>
        <w:t>甲方各部门相关医辅人员分配情况详见“附表一：</w:t>
      </w:r>
      <w:r>
        <w:rPr>
          <w:rFonts w:hint="eastAsia" w:ascii="宋体" w:hAnsi="宋体" w:cs="宋体"/>
          <w:color w:val="auto"/>
          <w:highlight w:val="none"/>
        </w:rPr>
        <w:t>乐群院区医辅人员需求分配表”。</w:t>
      </w:r>
    </w:p>
    <w:p w14:paraId="2114ADC7">
      <w:pPr>
        <w:snapToGrid w:val="0"/>
        <w:spacing w:line="400" w:lineRule="exact"/>
        <w:ind w:firstLine="2310" w:firstLineChars="1100"/>
        <w:rPr>
          <w:rFonts w:ascii="宋体" w:hAnsi="宋体" w:cs="宋体"/>
          <w:color w:val="auto"/>
          <w:szCs w:val="21"/>
          <w:highlight w:val="none"/>
          <w:lang w:bidi="ar"/>
        </w:rPr>
      </w:pPr>
      <w:r>
        <w:rPr>
          <w:rFonts w:hint="eastAsia"/>
          <w:color w:val="auto"/>
          <w:highlight w:val="none"/>
        </w:rPr>
        <w:t xml:space="preserve">附表一  </w:t>
      </w:r>
      <w:r>
        <w:rPr>
          <w:rFonts w:hint="eastAsia" w:ascii="宋体" w:hAnsi="宋体" w:cs="宋体"/>
          <w:color w:val="auto"/>
          <w:highlight w:val="none"/>
        </w:rPr>
        <w:t>乐群院区医辅人员需求分配表</w:t>
      </w:r>
    </w:p>
    <w:tbl>
      <w:tblPr>
        <w:tblStyle w:val="48"/>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836"/>
        <w:gridCol w:w="4196"/>
        <w:gridCol w:w="1271"/>
      </w:tblGrid>
      <w:tr w14:paraId="3858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68" w:type="dxa"/>
            <w:vAlign w:val="center"/>
          </w:tcPr>
          <w:p w14:paraId="315B5FBE">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岗位</w:t>
            </w:r>
          </w:p>
        </w:tc>
        <w:tc>
          <w:tcPr>
            <w:tcW w:w="1836" w:type="dxa"/>
            <w:vAlign w:val="center"/>
          </w:tcPr>
          <w:p w14:paraId="1974DB8F">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人数</w:t>
            </w:r>
          </w:p>
        </w:tc>
        <w:tc>
          <w:tcPr>
            <w:tcW w:w="4196" w:type="dxa"/>
            <w:vAlign w:val="center"/>
          </w:tcPr>
          <w:p w14:paraId="3317C721">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服务部门</w:t>
            </w:r>
          </w:p>
        </w:tc>
        <w:tc>
          <w:tcPr>
            <w:tcW w:w="1271" w:type="dxa"/>
            <w:vAlign w:val="center"/>
          </w:tcPr>
          <w:p w14:paraId="323F1016">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备注</w:t>
            </w:r>
          </w:p>
        </w:tc>
      </w:tr>
      <w:tr w14:paraId="5D60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68" w:type="dxa"/>
            <w:vAlign w:val="center"/>
          </w:tcPr>
          <w:p w14:paraId="44A2C32B">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外勤</w:t>
            </w:r>
          </w:p>
        </w:tc>
        <w:tc>
          <w:tcPr>
            <w:tcW w:w="1836" w:type="dxa"/>
            <w:vAlign w:val="center"/>
          </w:tcPr>
          <w:p w14:paraId="33261B7E">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42（含公司管理人员1人）</w:t>
            </w:r>
          </w:p>
        </w:tc>
        <w:tc>
          <w:tcPr>
            <w:tcW w:w="4196" w:type="dxa"/>
            <w:vAlign w:val="center"/>
          </w:tcPr>
          <w:p w14:paraId="57F98691">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全院</w:t>
            </w:r>
          </w:p>
        </w:tc>
        <w:tc>
          <w:tcPr>
            <w:tcW w:w="1271" w:type="dxa"/>
            <w:vAlign w:val="center"/>
          </w:tcPr>
          <w:p w14:paraId="1AAC41B1">
            <w:pPr>
              <w:snapToGrid w:val="0"/>
              <w:spacing w:line="400" w:lineRule="exact"/>
              <w:ind w:firstLine="420" w:firstLineChars="200"/>
              <w:jc w:val="center"/>
              <w:rPr>
                <w:rFonts w:ascii="宋体" w:hAnsi="宋体" w:cs="宋体"/>
                <w:color w:val="auto"/>
                <w:szCs w:val="21"/>
                <w:highlight w:val="none"/>
                <w:lang w:bidi="ar"/>
              </w:rPr>
            </w:pPr>
          </w:p>
        </w:tc>
      </w:tr>
      <w:tr w14:paraId="1FA6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568" w:type="dxa"/>
            <w:vAlign w:val="center"/>
          </w:tcPr>
          <w:p w14:paraId="6BA5ADB7">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内勤</w:t>
            </w:r>
          </w:p>
        </w:tc>
        <w:tc>
          <w:tcPr>
            <w:tcW w:w="1836" w:type="dxa"/>
            <w:vAlign w:val="center"/>
          </w:tcPr>
          <w:p w14:paraId="4E0635F3">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41</w:t>
            </w:r>
          </w:p>
        </w:tc>
        <w:tc>
          <w:tcPr>
            <w:tcW w:w="4196" w:type="dxa"/>
            <w:vAlign w:val="center"/>
          </w:tcPr>
          <w:p w14:paraId="5F50777A">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遗传与精准医学实验室2人；输血科1人；消化内科1人；检验科1人；血液净化中心1人；其他科室35人</w:t>
            </w:r>
          </w:p>
        </w:tc>
        <w:tc>
          <w:tcPr>
            <w:tcW w:w="1271" w:type="dxa"/>
            <w:vAlign w:val="center"/>
          </w:tcPr>
          <w:p w14:paraId="2D04791C">
            <w:pPr>
              <w:snapToGrid w:val="0"/>
              <w:spacing w:line="400" w:lineRule="exact"/>
              <w:ind w:firstLine="420" w:firstLineChars="200"/>
              <w:jc w:val="center"/>
              <w:rPr>
                <w:rFonts w:ascii="宋体" w:hAnsi="宋体" w:cs="宋体"/>
                <w:color w:val="auto"/>
                <w:szCs w:val="21"/>
                <w:highlight w:val="none"/>
                <w:lang w:bidi="ar"/>
              </w:rPr>
            </w:pPr>
          </w:p>
        </w:tc>
      </w:tr>
      <w:tr w14:paraId="047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8" w:type="dxa"/>
            <w:vAlign w:val="center"/>
          </w:tcPr>
          <w:p w14:paraId="62384048">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护工</w:t>
            </w:r>
          </w:p>
        </w:tc>
        <w:tc>
          <w:tcPr>
            <w:tcW w:w="1836" w:type="dxa"/>
            <w:vAlign w:val="center"/>
          </w:tcPr>
          <w:p w14:paraId="2306F109">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20</w:t>
            </w:r>
          </w:p>
        </w:tc>
        <w:tc>
          <w:tcPr>
            <w:tcW w:w="4196" w:type="dxa"/>
            <w:vAlign w:val="center"/>
          </w:tcPr>
          <w:p w14:paraId="5C59A8CE">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呼吸与危重症医学科4人；心血管内科一病区1人；急诊科1人；其他科室14人</w:t>
            </w:r>
          </w:p>
        </w:tc>
        <w:tc>
          <w:tcPr>
            <w:tcW w:w="1271" w:type="dxa"/>
            <w:vAlign w:val="center"/>
          </w:tcPr>
          <w:p w14:paraId="76ADCC10">
            <w:pPr>
              <w:snapToGrid w:val="0"/>
              <w:spacing w:line="400" w:lineRule="exact"/>
              <w:ind w:firstLine="420" w:firstLineChars="200"/>
              <w:jc w:val="center"/>
              <w:rPr>
                <w:rFonts w:ascii="宋体" w:hAnsi="宋体" w:cs="宋体"/>
                <w:color w:val="auto"/>
                <w:szCs w:val="21"/>
                <w:highlight w:val="none"/>
                <w:lang w:bidi="ar"/>
              </w:rPr>
            </w:pPr>
          </w:p>
        </w:tc>
      </w:tr>
      <w:tr w14:paraId="06CC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68" w:type="dxa"/>
            <w:vAlign w:val="center"/>
          </w:tcPr>
          <w:p w14:paraId="67626D3C">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合计</w:t>
            </w:r>
          </w:p>
        </w:tc>
        <w:tc>
          <w:tcPr>
            <w:tcW w:w="1836" w:type="dxa"/>
            <w:vAlign w:val="center"/>
          </w:tcPr>
          <w:p w14:paraId="4605858A">
            <w:pPr>
              <w:snapToGrid w:val="0"/>
              <w:spacing w:line="40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103</w:t>
            </w:r>
          </w:p>
        </w:tc>
        <w:tc>
          <w:tcPr>
            <w:tcW w:w="4196" w:type="dxa"/>
            <w:vAlign w:val="center"/>
          </w:tcPr>
          <w:p w14:paraId="5CE0EACE">
            <w:pPr>
              <w:snapToGrid w:val="0"/>
              <w:spacing w:line="400" w:lineRule="exact"/>
              <w:ind w:firstLine="420" w:firstLineChars="200"/>
              <w:jc w:val="left"/>
              <w:rPr>
                <w:rFonts w:ascii="宋体" w:hAnsi="宋体" w:cs="宋体"/>
                <w:color w:val="auto"/>
                <w:szCs w:val="21"/>
                <w:highlight w:val="none"/>
                <w:lang w:bidi="ar"/>
              </w:rPr>
            </w:pPr>
          </w:p>
        </w:tc>
        <w:tc>
          <w:tcPr>
            <w:tcW w:w="1271" w:type="dxa"/>
            <w:vAlign w:val="center"/>
          </w:tcPr>
          <w:p w14:paraId="3B9CBB5A">
            <w:pPr>
              <w:snapToGrid w:val="0"/>
              <w:spacing w:line="400" w:lineRule="exact"/>
              <w:ind w:firstLine="420" w:firstLineChars="200"/>
              <w:jc w:val="center"/>
              <w:rPr>
                <w:rFonts w:ascii="宋体" w:hAnsi="宋体" w:cs="宋体"/>
                <w:color w:val="auto"/>
                <w:szCs w:val="21"/>
                <w:highlight w:val="none"/>
                <w:lang w:bidi="ar"/>
              </w:rPr>
            </w:pPr>
          </w:p>
        </w:tc>
      </w:tr>
    </w:tbl>
    <w:p w14:paraId="624190B8">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备注：以上配置人员数量103人为估算人数，乙方根据甲方实际需求提供服务人员，每月按实际配置人数×合同单价进行服务费结算。如业务需要调整，双方另行协商调整人员配置。</w:t>
      </w:r>
    </w:p>
    <w:p w14:paraId="0859DACF">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第五条 项目服务要求：</w:t>
      </w:r>
      <w:r>
        <w:rPr>
          <w:rFonts w:hint="eastAsia" w:ascii="宋体" w:hAnsi="宋体" w:cs="宋体"/>
          <w:color w:val="auto"/>
          <w:szCs w:val="21"/>
          <w:highlight w:val="none"/>
        </w:rPr>
        <w:t>乙方必须按照招标文件“采购需求”中的所有要求向甲方提供服务。</w:t>
      </w:r>
    </w:p>
    <w:p w14:paraId="7A2BE341">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第六条 服务考核方法</w:t>
      </w:r>
    </w:p>
    <w:p w14:paraId="00BA2D5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1.考核方式及结果使用</w:t>
      </w:r>
    </w:p>
    <w:p w14:paraId="0169949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每月通过现场检查、巡查、满意度及服务对象反馈等，由甲方后勤管理部、服务科室对服务质量进行考核，所扣服务费相加等于当月应扣除的服务质量费，在当月服务费中扣除。</w:t>
      </w:r>
      <w:r>
        <w:rPr>
          <w:rFonts w:hint="eastAsia" w:ascii="宋体" w:hAnsi="宋体" w:cs="宋体"/>
          <w:bCs/>
          <w:color w:val="auto"/>
          <w:szCs w:val="21"/>
          <w:highlight w:val="none"/>
        </w:rPr>
        <w:t>后勤管理部每月以考核项目逐项打分形式对医辅人员的工作质量情况进行管理（具体内容详见“附表二 主管部门对医辅人员服务质量考核表”），</w:t>
      </w:r>
      <w:r>
        <w:rPr>
          <w:rFonts w:hint="eastAsia" w:ascii="宋体" w:hAnsi="宋体" w:cs="宋体"/>
          <w:color w:val="auto"/>
          <w:szCs w:val="21"/>
          <w:highlight w:val="none"/>
          <w:lang w:bidi="ar"/>
        </w:rPr>
        <w:t>每扣1分，扣罚服务费50元，如连续3个月考核低于70分，甲方有权依法解除合同，所有损失由乙方承担；</w:t>
      </w:r>
      <w:r>
        <w:rPr>
          <w:rFonts w:hint="eastAsia" w:ascii="宋体" w:hAnsi="宋体" w:cs="宋体"/>
          <w:bCs/>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color w:val="auto"/>
          <w:szCs w:val="21"/>
          <w:highlight w:val="none"/>
          <w:lang w:bidi="ar"/>
        </w:rPr>
        <w:t>，考核总分100分，考核结果95分及以上为合格，低于95分，每少1分扣5元。如违反合同条款项目，按相应条款处理。</w:t>
      </w:r>
    </w:p>
    <w:p w14:paraId="4A76D4C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2.其他考核内容</w:t>
      </w:r>
    </w:p>
    <w:p w14:paraId="4BCDACC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乙方驻院管理人员正常上班期间如需离院需向医院主管部门报备，乙方不得频繁更换驻院管理人员，合同期间总更换频次≤2次，如超过扣罚500元/人次。如管理人员有变动，及时将变动后的管理人员联系方式告知各科室，确保科室与管理人员能及时联络。</w:t>
      </w:r>
    </w:p>
    <w:p w14:paraId="2C6AD8D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2.2乙方按甲方实际需求人数配备及调整服务人数，如不按实际需求配备人数，按缺岗人数扣发乙方管理服务费。从合同生效开始，乙方根据甲方实际工作需求提供服务人员，初次提供时，第1个月为乙方招聘人员时间，如人员配备不足不收取违约金，但甲方只按实际出勤人数支付服务人员费用；第2个月按每缺一人收取违约金200元/天/人计算，在当月服务费中扣除；第3个月仍未配足需求人数的，乙方有权依法解除合同。其他合同履行时间，投标人须根据采购人要求及时增加服务人员（总提供服务人数不超过合同约定总人数），从通知投标人开始，10个工作日为投标人招聘人员时间，如人员不足不收取违约金，按实际出勤人数支付服务费，10个工作日后每缺一人收取违约金200元/天/人计算，在当月服务费中扣除。</w:t>
      </w:r>
    </w:p>
    <w:p w14:paraId="1A0C8113">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2.3乙方按甲方要求（年龄、学历、资质证书等）配备员工，以身份证、证书登记为准，如配备员工资质等不符合要求，甲方有权将该岗位视为缺岗，扣发该岗位员工当月服务费。</w:t>
      </w:r>
    </w:p>
    <w:p w14:paraId="6CC083C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2.4乙方所有员工应身心健康（入职前必须进行体检，不能聘用患有传染性疾病的人员，体检报告交甲方后勤管理科存档）；员工上岗前须经过岗前培训，经甲方认定能胜任岗位工作，方能独立上岗；所有员工只能服务甲方，不允许兼职。如未达到前述要求或违反，扣罚服务费100元/人/天。</w:t>
      </w:r>
    </w:p>
    <w:p w14:paraId="308B526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2.5乙方每月向甲方支付管理费200元，在当月服务费中扣除。同时，按自来水公司水费价格和供电局电费价格标准，每月按时结清应承担的水费、电费（投标人用房水电费自付，根据实际使用量结算）。</w:t>
      </w:r>
    </w:p>
    <w:p w14:paraId="6BE480B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2.6乙方及其员工须履行保密义务，如违反保密义务，甲方有权书面通知乙方解除服务合同，且无需支付合同解除后的任何后续费用。同时，乙方必须退还甲方已付出的所有服务费用，并赔偿由此给甲方造成的全部损失。</w:t>
      </w:r>
    </w:p>
    <w:p w14:paraId="382A199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2.7乙方员工不得在甲方场地内聚集闹事。第一次，视情节轻重罚款500～1000元；第二次罚款5000元；第三次罚款10000元，甲方有权依法解除合同。</w:t>
      </w:r>
    </w:p>
    <w:p w14:paraId="422553B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2.8乙方员工要维护甲方一切公共设施，如有挪用、失窃、人为损坏，则照价赔偿；行为严重者，移交司法机关处理。注意节约水、电、气，乙方员工不得在更衣室、休息室等非允许的范围内使用电炉、热得快等电器及煮饭。发现一次，视情节轻重，罚款200～500元。如发生安全事故，负责赔偿由此造成的所有损失，并根据情节轻重及事情影响程度扣罚500～5000元/次。</w:t>
      </w:r>
    </w:p>
    <w:p w14:paraId="2D091F05">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2.9乙方员工不得向患者及家属提供虚假用药信息或推销任何产品；不得私自变卖、分解医疗废物；严格执行保护患者隐私的相关法律内容及医院保护患者隐私的相关制度和规定，不得谈论、泄露患者、亡者隐私及其他医院明确规定不得违反的事项。如发现此类情况，第一次罚款1000元；第二次罚款5000元；第三次罚款10000元，乙方有权依法解除合同。所产生的不良影响由乙方负责最大程度挽回，并承担由此造成的赔偿及法律责任。遗失病历每份罚款5000元。</w:t>
      </w:r>
    </w:p>
    <w:p w14:paraId="51F7DB9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2.10甲方遇突发事件、重大抢救或各种检查，乙方必须积极配合，保持值班电话24小时畅通。如严重影响甲方诊疗工作，第一次罚款1000元；第二次罚款5000元；第三次罚款10000元，甲方有权依法解除合同。 </w:t>
      </w:r>
    </w:p>
    <w:p w14:paraId="2CB0AC8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2.11因乙方管理不到位、员工违规、言辞不当或工作不当等原因，导致不良影响、安全事故、媒体曝光或院外机构点名批评的，均由乙方自行承担责任，负责赔偿由此造成的所有损失。甲方根据情节轻重予以500-10000元的处罚或按事件实际情况扣罚，并由乙方负责最大程度消除所导致的负面影响。</w:t>
      </w:r>
    </w:p>
    <w:p w14:paraId="10D70A5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2.12因乙方管理不当，造成院内交叉感染及其他院感事件的，将依纪依法依规追究投标人及相关人员责任。如给甲方造成不良影响的，视情节轻重予以500-10000元的处罚。</w:t>
      </w:r>
    </w:p>
    <w:p w14:paraId="24B3680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2.13按国家、广西等管理机构相关规定对工人进行体检。如违反相关规定，视情节轻重予以500-10000元的处罚，造成不良影响及伤害的，由乙方承担。</w:t>
      </w:r>
    </w:p>
    <w:p w14:paraId="11AB44B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2.14本合同期限未满，双方不得提前终止合同。一方如无故提前终止合同，应提前3个月通知对方并协商；如不提前3个月通知对方，则需支付对方相当于本合同所签订的服务费2个月总和的违约金。</w:t>
      </w:r>
    </w:p>
    <w:p w14:paraId="7276F3D8">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2.15签订合同后30个工作日内，乙方向甲方提供所有拟投入员工真实合法的身份证件、从业经验（劳动合同、业绩证明等）、学历、职业资格或职称、健康证、无违法记录等材料，并将上述材料报甲方的管理部门备案。员工上岗前提供的证明材料不符合服务内容及要求的，属于违约，甲方有权追究相关法律责任，一切后果由乙方承担。</w:t>
      </w:r>
    </w:p>
    <w:p w14:paraId="5875927D">
      <w:pPr>
        <w:snapToGrid w:val="0"/>
        <w:spacing w:line="40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第七条 甲方的权利、责任</w:t>
      </w:r>
    </w:p>
    <w:p w14:paraId="3181AA5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1.为保障乙方工作正常有序开展，甲方为乙方提供必要的办公、值班、水电等工作条件和便利，乙方使用区域所产生的水、电、管理费用由乙方承担。</w:t>
      </w:r>
    </w:p>
    <w:p w14:paraId="567098C8">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2.甲方有权审核乙方员工资质等。</w:t>
      </w:r>
    </w:p>
    <w:p w14:paraId="38A20DF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3.甲方有权要求修改不合理的工作职责和流程。</w:t>
      </w:r>
    </w:p>
    <w:p w14:paraId="3BFDB5D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4.甲方有权监督检查乙方的日常服务质量。</w:t>
      </w:r>
      <w:r>
        <w:rPr>
          <w:rFonts w:hint="eastAsia" w:ascii="宋体" w:hAnsi="宋体" w:cs="宋体"/>
          <w:bCs/>
          <w:color w:val="auto"/>
          <w:szCs w:val="21"/>
          <w:highlight w:val="none"/>
        </w:rPr>
        <w:t>后勤管理部每月以考核项目逐项打分形式对医辅人员的工作质量情况进行管理（具体内容详见“附表二 主管部门对医辅人员服务质量考核表”），</w:t>
      </w:r>
      <w:r>
        <w:rPr>
          <w:rFonts w:hint="eastAsia" w:ascii="宋体" w:hAnsi="宋体" w:cs="宋体"/>
          <w:color w:val="auto"/>
          <w:szCs w:val="21"/>
          <w:highlight w:val="none"/>
          <w:lang w:bidi="ar"/>
        </w:rPr>
        <w:t>考核应扣的服务质量费在当月服务费用中扣除，如连续3个月考核低于70分，甲方有权依法解除合同，所有损失由乙方承担。</w:t>
      </w:r>
      <w:r>
        <w:rPr>
          <w:rFonts w:hint="eastAsia" w:ascii="宋体" w:hAnsi="宋体" w:cs="宋体"/>
          <w:bCs/>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color w:val="auto"/>
          <w:szCs w:val="21"/>
          <w:highlight w:val="none"/>
          <w:lang w:bidi="ar"/>
        </w:rPr>
        <w:t>，考核应扣的服务质量费在当月服务费用中扣除。</w:t>
      </w:r>
    </w:p>
    <w:p w14:paraId="0F36949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乙方员工有以下情形之一的，甲方有权要求乙方辞退该员工：乙方应按甲方要求在一周内招聘新员工上岗；如乙方不能按时更换不合格人员，甲方有权扣除相应服务费。甲方要求乙方撤换不合适的员工时，乙方应无条件接受。</w:t>
      </w:r>
    </w:p>
    <w:p w14:paraId="3BEE116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（1）员工违反法律法规、规章或采购人有关规章制度，情节严重者。</w:t>
      </w:r>
    </w:p>
    <w:p w14:paraId="371EAC5B">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（2）员工服务态度差，服务质量差，屡教不改或引起医护人员、患者不满的。</w:t>
      </w:r>
    </w:p>
    <w:p w14:paraId="2EC6F64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（3）员工失职、失误或不按岗位要求及作业流程进行操作，造成差错、事故及意外伤害，对患者、家属及采购人造成一定影响的。</w:t>
      </w:r>
    </w:p>
    <w:p w14:paraId="21E2C5C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（4）员工被依法追究刑事责任的。</w:t>
      </w:r>
    </w:p>
    <w:p w14:paraId="13C94D4A">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第八条 权利保证</w:t>
      </w:r>
    </w:p>
    <w:p w14:paraId="2CA6D0F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1.甲方在履行合同过程中提供给乙方的全部文件和其他含有数据和信息的资料，其知识产权属于甲方。</w:t>
      </w:r>
    </w:p>
    <w:p w14:paraId="16AC9A8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2.乙方应保证所提供的服务在使用时不会侵犯任何第三方的知识产权或者其他权利。如合同服务涉及知识产权，则乙方保证甲方在使用过程中免于受到第三方提出的有关知识产权侵权的主张、索赔或诉讼的伤害。</w:t>
      </w:r>
    </w:p>
    <w:p w14:paraId="76B2243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2B23F14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4.乙方应按招标文件规定或投标文件承诺的时间向甲方提供服务及有关资料。</w:t>
      </w:r>
    </w:p>
    <w:p w14:paraId="1CECEE1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5.未经甲方书面同意，乙方不得将由甲方提供的有关合同或任何合同条款、计划或资料提供给与履行本合同无关的任何其他人。即使向履行本合同有关的人员提供，也应注意保密并限于履行合同的必需范围。</w:t>
      </w:r>
    </w:p>
    <w:p w14:paraId="4877B1E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6.乙方保证所提供的服务及所涉及的相关产品所有权完全属于乙方且无任何抵押、质押、查封等产权瑕疵。</w:t>
      </w:r>
    </w:p>
    <w:p w14:paraId="32F04C2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第九条 </w:t>
      </w:r>
      <w:r>
        <w:rPr>
          <w:rFonts w:hint="eastAsia" w:ascii="宋体" w:hAnsi="宋体" w:cs="宋体"/>
          <w:b/>
          <w:color w:val="auto"/>
          <w:szCs w:val="21"/>
          <w:highlight w:val="none"/>
        </w:rPr>
        <w:t>服务标准及验收标准</w:t>
      </w:r>
    </w:p>
    <w:p w14:paraId="47A5285D">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1.服务项目应执行相关国家标准、行业标准、地方标准或者其他标准、规范。</w:t>
      </w:r>
    </w:p>
    <w:p w14:paraId="260A4F3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2.本项目所有服务均应严格按招标文件中“采购需求”的要求执行，甲方对乙方响应和承诺的服务内容等有关标准进行考核。乙方每月应积极针对考核存在的问题进行整改，并向甲方汇报整改情况。</w:t>
      </w:r>
    </w:p>
    <w:p w14:paraId="748E3CE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3.甲方</w:t>
      </w:r>
      <w:r>
        <w:rPr>
          <w:rFonts w:hint="eastAsia" w:ascii="宋体" w:hAnsi="宋体" w:cs="宋体"/>
          <w:bCs/>
          <w:color w:val="auto"/>
          <w:szCs w:val="21"/>
          <w:highlight w:val="none"/>
        </w:rPr>
        <w:t>后勤管理部每月以考核项目逐项打分形式对医辅人员的工作质量情况进行管理（具体内容详见“附表二 主管部门对医辅人员服务质量考核表”），</w:t>
      </w:r>
      <w:r>
        <w:rPr>
          <w:rFonts w:hint="eastAsia" w:ascii="宋体" w:hAnsi="宋体" w:cs="宋体"/>
          <w:color w:val="auto"/>
          <w:szCs w:val="21"/>
          <w:highlight w:val="none"/>
          <w:lang w:bidi="ar"/>
        </w:rPr>
        <w:t>如连续3个月考核低于70分，甲方有权终止合同，所有损失由乙方承担。</w:t>
      </w:r>
      <w:r>
        <w:rPr>
          <w:rFonts w:hint="eastAsia" w:ascii="宋体" w:hAnsi="宋体" w:cs="宋体"/>
          <w:bCs/>
          <w:color w:val="auto"/>
          <w:szCs w:val="21"/>
          <w:highlight w:val="none"/>
        </w:rPr>
        <w:t>服务科室每月以考核项目逐项打分形式对固定本科室内勤/护工工作质量进行管理（具体内容详见“附表三 科室对内勤/护工服务质量考核表”，每月5日前将考核结果交后勤管理部汇总）</w:t>
      </w:r>
      <w:r>
        <w:rPr>
          <w:rFonts w:hint="eastAsia" w:ascii="宋体" w:hAnsi="宋体" w:cs="宋体"/>
          <w:color w:val="auto"/>
          <w:szCs w:val="21"/>
          <w:highlight w:val="none"/>
          <w:lang w:bidi="ar"/>
        </w:rPr>
        <w:t>，考核应扣服务质量费在当月服务费用中扣除。</w:t>
      </w:r>
    </w:p>
    <w:p w14:paraId="0FC4870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合同履行过程中，甲方将同时按照招标文件及乙方投标文件承诺的条款进行验收，如所提供相关服务不符合要求，由乙方在规定时间内进行整改（乙方每月应积极针对考核存在的问题进行整改，并向甲方汇报整改情况）。给甲方造成的损失等费用均由乙方承担。拒不按要求整改（或经多次整改未能改善），或发现乙方在投标文件中有弄虚作假的行为，或在投标文件中有针对技术商务条款有虚假响应情况的，甲方追究乙方的责任，由此带来的一切损失由乙方自行承担。</w:t>
      </w:r>
    </w:p>
    <w:p w14:paraId="017BCD5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5.其他未尽事宜应严格按照《关于印发广西壮族自治区政府采购项目履约验收管理办法的通知》[桂财采〔2015〕22 号]以及《财政部关于进一步加强政府采购需求和履约验收管理的指导意见》[财库〔2016〕205 号]规定执行。</w:t>
      </w:r>
    </w:p>
    <w:p w14:paraId="0580466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6.验收过程中，若出现需要第三方机构介入验收的，所产生的费用均由乙方承担。报价时应考虑相关费用。</w:t>
      </w:r>
    </w:p>
    <w:p w14:paraId="25191304">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第十条 履约保证金</w:t>
      </w:r>
    </w:p>
    <w:p w14:paraId="4DFB57A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履约保证金金额：</w:t>
      </w:r>
      <w:r>
        <w:rPr>
          <w:rFonts w:hint="eastAsia" w:ascii="宋体" w:hAnsi="宋体" w:cs="宋体"/>
          <w:color w:val="auto"/>
          <w:szCs w:val="21"/>
          <w:highlight w:val="none"/>
        </w:rPr>
        <w:t>按人民币</w:t>
      </w:r>
      <w:r>
        <w:rPr>
          <w:rFonts w:hint="eastAsia" w:ascii="宋体" w:hAnsi="宋体" w:cs="宋体"/>
          <w:b/>
          <w:bCs/>
          <w:color w:val="auto"/>
          <w:szCs w:val="21"/>
          <w:highlight w:val="none"/>
        </w:rPr>
        <w:t>捌万元整（￥80000.00）</w:t>
      </w:r>
      <w:r>
        <w:rPr>
          <w:rFonts w:hint="eastAsia" w:ascii="宋体" w:hAnsi="宋体" w:cs="宋体"/>
          <w:color w:val="auto"/>
          <w:szCs w:val="21"/>
          <w:highlight w:val="none"/>
        </w:rPr>
        <w:t>。</w:t>
      </w:r>
      <w:r>
        <w:rPr>
          <w:rFonts w:hint="eastAsia" w:ascii="宋体" w:hAnsi="宋体" w:cs="宋体"/>
          <w:color w:val="auto"/>
          <w:szCs w:val="21"/>
          <w:highlight w:val="none"/>
          <w:lang w:bidi="ar"/>
        </w:rPr>
        <w:t>乙方必须在合同签订前向甲方足额缴纳履约保证金。</w:t>
      </w:r>
    </w:p>
    <w:p w14:paraId="3E5D878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履约保证金递交方式：银行转账、支票、汇票、本票或者金融、担保机构出具的保函（包含电子保函）等非现金方式。</w:t>
      </w:r>
    </w:p>
    <w:p w14:paraId="25243116">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履约保证金退付方式、时间及条件：</w:t>
      </w:r>
    </w:p>
    <w:p w14:paraId="787BEEEF">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（1）乙方若不能完全履行合同，履约保证金不返还；乙方若完全履行合同，服务期满后且不存在违约情形的，乙方凭履约保证金缴款凭证、退付意见书到甲方财务部门办理无息退还手续。</w:t>
      </w:r>
    </w:p>
    <w:p w14:paraId="458A2DC7">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（2）在履约保证金退还日期前，若乙方的开户名称、开户银行、账号有变动的，请以书面形式通知履约保证金收取单位，否则由此产生的后果由乙方自负。</w:t>
      </w:r>
    </w:p>
    <w:p w14:paraId="610AF4F2">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（3）乙方在签订合同后存在违约情形的，履约保证金不予退还。履约保证金不足以赔偿损失的，按实际损失赔偿。</w:t>
      </w:r>
    </w:p>
    <w:p w14:paraId="7C63D6F4">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履约保证金指定账户：</w:t>
      </w:r>
    </w:p>
    <w:p w14:paraId="1D3A563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开户名称：桂林医科大学第一附属医院</w:t>
      </w:r>
    </w:p>
    <w:p w14:paraId="6209398A">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开户银行：中国建设银行股份有限公司桂林叠彩支行</w:t>
      </w:r>
    </w:p>
    <w:p w14:paraId="16F155A0">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账号：4500 1635 4100 5050 1922</w:t>
      </w:r>
    </w:p>
    <w:p w14:paraId="436EA395">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第十一条  </w:t>
      </w:r>
      <w:r>
        <w:rPr>
          <w:rFonts w:hint="eastAsia" w:ascii="宋体" w:hAnsi="宋体" w:cs="宋体"/>
          <w:b/>
          <w:color w:val="auto"/>
          <w:szCs w:val="21"/>
          <w:highlight w:val="none"/>
        </w:rPr>
        <w:t>付款方式</w:t>
      </w:r>
    </w:p>
    <w:p w14:paraId="0686576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服务总费用实行按月支付，即：每月30日以前（遇休息日或法定节假日则顺延），乙方将经甲方考核后产生的实际足额服务费发票交给甲方，否则，甲方有权拒绝付费且不承担任何责任。甲方以转账方式将服务费转至乙方指定账户。</w:t>
      </w:r>
    </w:p>
    <w:p w14:paraId="6AD4072C">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票据要求：乙方必须按照甲方要求提供真实、有效、合法的正式税务发票。一旦发现乙方提供虚假税务发票，除须向甲方补开合法的税务发票外，须赔偿甲方发票票面金额一倍的违约金，且甲方有权依法解除合同，乙方不得提出异议，因终止合同而产生的一切损失均由乙方承担。</w:t>
      </w:r>
    </w:p>
    <w:p w14:paraId="63240D6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本项目采购需求中所列项目服务人员数量为估算数量，结算时以实际提供的服务人员数量及单价为准，即：每月服务费=实际提供服务人员数量×每名服务人员每月服务费（未满勤服务人员服务费=每名服务人员每月服务费/当月应出勤天数×实际出勤天数）-考核扣除费用，实际结算金额不超过本项目最高投标限价。在服务期限内，合同单价不因最低工资标准或社会保险等费用而调整。</w:t>
      </w:r>
    </w:p>
    <w:p w14:paraId="79223FBD">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 xml:space="preserve">第十二条  </w:t>
      </w:r>
      <w:r>
        <w:rPr>
          <w:rFonts w:hint="eastAsia" w:ascii="宋体" w:hAnsi="宋体" w:cs="宋体"/>
          <w:b/>
          <w:color w:val="auto"/>
          <w:szCs w:val="21"/>
          <w:highlight w:val="none"/>
        </w:rPr>
        <w:t>保险</w:t>
      </w:r>
    </w:p>
    <w:p w14:paraId="31F43F61">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若乙方为本项目标的及标的涉及的相关材料、设备、人员、运输等购买保险的，相关费用由乙方自行承担。</w:t>
      </w:r>
    </w:p>
    <w:p w14:paraId="023040B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第十三条 违约责任</w:t>
      </w:r>
    </w:p>
    <w:p w14:paraId="102E4841">
      <w:pPr>
        <w:adjustRightInd w:val="0"/>
        <w:snapToGrid w:val="0"/>
        <w:spacing w:line="4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1.双方应本着友好合作的态度履行各自合同义务，一方延期履约或者履约不符合合同要求，守约方有权利要求违约方继续履约、承担违约责任，并可以要求违约方赔偿其因此受到的直接损失和间接损失，其中间接损失包括但不限于设备停机导致的诊疗收入损失、替代设备租赁费用等经营性损失以及律师费、公证费、交通费、鉴定费、保全费、保全保险费等维权成本。</w:t>
      </w:r>
    </w:p>
    <w:p w14:paraId="5A968E73">
      <w:pPr>
        <w:adjustRightInd w:val="0"/>
        <w:snapToGrid w:val="0"/>
        <w:spacing w:line="4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2.乙方未按照本合同约定提供服务、服务不符合本合同约定标准的，乙方每次按当月服务费总费用的5%向甲方支付违约金，甲方有权直接从应付款中予以扣除；经甲方催告，乙方拒不整改或无法在甲方规定期限内完成整改的，或者出现了招标文件“采购需求”中列明的违约情形的，甲方有权单方解除本合同，乙方应当按照本项目预算金额的5%向甲方支付违约金。</w:t>
      </w:r>
    </w:p>
    <w:p w14:paraId="5CE3C265">
      <w:pPr>
        <w:adjustRightInd w:val="0"/>
        <w:snapToGrid w:val="0"/>
        <w:spacing w:line="400" w:lineRule="exact"/>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3.如果乙方违反本协议约定，乙方除承担违约责任外还要赔偿甲方因此受到的直接损失和间接损失。如果乙方经催告仍不履行维保职责，甲方有权自行或委托第三方替代履行，相关费用由乙方承担，且不影响甲方对原违约金的主张。</w:t>
      </w:r>
    </w:p>
    <w:p w14:paraId="28A576C2">
      <w:pPr>
        <w:adjustRightInd w:val="0"/>
        <w:snapToGrid w:val="0"/>
        <w:spacing w:line="400" w:lineRule="exact"/>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4.乙方提供的服务如侵犯了第三方合法权益而引发的任何纠纷或诉讼，均由乙方负责交涉并承担全部责任。如导致甲方涉诉的，因此发生的费用和遭受的损失均应由乙方承担，包括但不限于支付给第三方的赔偿金、补偿金、因消除负面影响或舆情产生的全部费用、因涉纠纷发生的律师费、诉讼费、保全费、保全担保保险费、差旅费等。</w:t>
      </w:r>
    </w:p>
    <w:p w14:paraId="6EC9B0B0">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第十四条  不可抗力事件处理</w:t>
      </w:r>
    </w:p>
    <w:p w14:paraId="4A8C435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1.在合同有效期内，任何一方因不可抗力事件导致不能履行合同，则合同履行期可延长，其延长期与不可抗力影响期相同。</w:t>
      </w:r>
    </w:p>
    <w:p w14:paraId="01FFBCD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2.不可抗力事件发生后，应立即通知对方，并寄送有关权威机构出具的证明。</w:t>
      </w:r>
    </w:p>
    <w:p w14:paraId="4AFD51D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3.不可抗力事件延续120天以上，双方应通过友好协商，确定是否继续履行合同。</w:t>
      </w:r>
    </w:p>
    <w:p w14:paraId="733959A1">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第十五条  合同争议解决</w:t>
      </w:r>
    </w:p>
    <w:p w14:paraId="7A3072F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1.因服务质量问题发生争议的，应邀请国家认可的质量检测机构对服务质量进行鉴定。鉴定费由乙方承担。</w:t>
      </w:r>
    </w:p>
    <w:p w14:paraId="2FB85DB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2.因履行本合同引起的或与本合同有关的争议，甲乙双方应首先通过友好协商解决，如果协商不能解决，可向甲方所在地具有管辖权的人民法院提起诉讼。</w:t>
      </w:r>
    </w:p>
    <w:p w14:paraId="4EEF9DBA">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第十六条  合同生效及其他</w:t>
      </w:r>
    </w:p>
    <w:p w14:paraId="5982D28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1.合同经双方法定代表人或委托代理人签字并加盖单位公章后生效（委托代理人签字的需后附法定代表人授权委托书，格式自拟）。</w:t>
      </w:r>
    </w:p>
    <w:p w14:paraId="0AD30C0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2.合同执行中涉及采购资金和采购内容修改或补充的，双方签订书面补充协议报财政部门备案，方可作为主合同不可分割的一部分。</w:t>
      </w:r>
    </w:p>
    <w:p w14:paraId="5D80A4C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3.本合同未尽事宜，遵照《</w:t>
      </w:r>
      <w:r>
        <w:rPr>
          <w:rFonts w:hint="eastAsia" w:ascii="宋体" w:hAnsi="宋体" w:cs="宋体"/>
          <w:color w:val="auto"/>
          <w:szCs w:val="21"/>
          <w:highlight w:val="none"/>
          <w:shd w:val="clear" w:color="auto" w:fill="FFFFFF"/>
          <w:lang w:bidi="ar"/>
        </w:rPr>
        <w:t>中华人民共和国民法典</w:t>
      </w:r>
      <w:r>
        <w:rPr>
          <w:rFonts w:hint="eastAsia" w:ascii="宋体" w:hAnsi="宋体" w:cs="宋体"/>
          <w:color w:val="auto"/>
          <w:szCs w:val="21"/>
          <w:highlight w:val="none"/>
          <w:lang w:bidi="ar"/>
        </w:rPr>
        <w:t>》有关条文执行。</w:t>
      </w:r>
    </w:p>
    <w:p w14:paraId="2B3F6B3F">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第十七条  合同的变更、终止与转让</w:t>
      </w:r>
    </w:p>
    <w:p w14:paraId="3B0225C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1.除《中华人民共和国政府采购法》第五十条规定的情形外，本合同一经签订，甲乙双方不得擅自变更、中止或终止合同。</w:t>
      </w:r>
    </w:p>
    <w:p w14:paraId="5C6F3D1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2.乙方不得擅自转让其应履行的合同义务。</w:t>
      </w:r>
    </w:p>
    <w:p w14:paraId="3287B5B5">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lang w:bidi="ar"/>
        </w:rPr>
        <w:t>第十八条  签订本合同依据</w:t>
      </w:r>
    </w:p>
    <w:p w14:paraId="1B52C17D">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1.合同主要条款； </w:t>
      </w:r>
    </w:p>
    <w:p w14:paraId="50D59EFE">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2.投标函、开标一览表；</w:t>
      </w:r>
    </w:p>
    <w:p w14:paraId="2E415429">
      <w:pPr>
        <w:snapToGrid w:val="0"/>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 xml:space="preserve">3.商务要求承诺响应表、服务内容及要求响应表； </w:t>
      </w:r>
    </w:p>
    <w:p w14:paraId="1B46733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4.中标通知书。</w:t>
      </w:r>
    </w:p>
    <w:p w14:paraId="78BF32BC">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第十九条  </w:t>
      </w:r>
      <w:r>
        <w:rPr>
          <w:rFonts w:hint="eastAsia" w:ascii="宋体" w:hAnsi="宋体" w:cs="宋体"/>
          <w:color w:val="auto"/>
          <w:szCs w:val="21"/>
          <w:highlight w:val="none"/>
          <w:lang w:bidi="ar"/>
        </w:rPr>
        <w:t>本合同一式四份，甲方执三份，乙方执一份。本合同经甲乙双方签字盖章后生效，补充协议含售后服务承诺书等，与本合同具有同等法律效力。如甲乙双方合同条款内容不一致，以甲方存档的文本为正本。</w:t>
      </w:r>
    </w:p>
    <w:p w14:paraId="5A0A5F1D">
      <w:pPr>
        <w:snapToGrid w:val="0"/>
        <w:spacing w:line="400" w:lineRule="exact"/>
        <w:rPr>
          <w:rFonts w:ascii="宋体" w:hAnsi="宋体" w:cs="宋体"/>
          <w:color w:val="auto"/>
          <w:szCs w:val="21"/>
          <w:highlight w:val="none"/>
          <w:lang w:bidi="ar"/>
        </w:rPr>
      </w:pPr>
      <w:r>
        <w:rPr>
          <w:rFonts w:hint="eastAsia" w:ascii="宋体" w:hAnsi="宋体" w:cs="宋体"/>
          <w:b/>
          <w:color w:val="auto"/>
          <w:szCs w:val="21"/>
          <w:highlight w:val="none"/>
          <w:lang w:bidi="ar"/>
        </w:rPr>
        <w:t xml:space="preserve">第二十条  </w:t>
      </w:r>
      <w:r>
        <w:rPr>
          <w:rFonts w:hint="eastAsia" w:ascii="宋体" w:hAnsi="宋体" w:cs="宋体"/>
          <w:color w:val="auto"/>
          <w:szCs w:val="21"/>
          <w:highlight w:val="none"/>
          <w:lang w:bidi="ar"/>
        </w:rPr>
        <w:t>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5AEFCF73">
      <w:pPr>
        <w:snapToGrid w:val="0"/>
        <w:spacing w:line="400" w:lineRule="exact"/>
        <w:rPr>
          <w:rFonts w:ascii="宋体" w:hAnsi="宋体" w:cs="宋体"/>
          <w:color w:val="auto"/>
          <w:szCs w:val="21"/>
          <w:highlight w:val="none"/>
          <w:lang w:bidi="ar"/>
        </w:rPr>
      </w:pPr>
    </w:p>
    <w:p w14:paraId="3CF6488B">
      <w:pPr>
        <w:snapToGrid w:val="0"/>
        <w:spacing w:line="400" w:lineRule="exact"/>
        <w:rPr>
          <w:rFonts w:ascii="宋体" w:hAnsi="宋体" w:cs="宋体"/>
          <w:color w:val="auto"/>
          <w:szCs w:val="21"/>
          <w:highlight w:val="none"/>
        </w:rPr>
      </w:pPr>
      <w:r>
        <w:rPr>
          <w:rFonts w:hint="eastAsia" w:ascii="宋体" w:hAnsi="宋体" w:cs="宋体"/>
          <w:b/>
          <w:color w:val="auto"/>
          <w:szCs w:val="21"/>
          <w:highlight w:val="none"/>
          <w:lang w:bidi="ar"/>
        </w:rPr>
        <w:t>第二十一条</w:t>
      </w:r>
      <w:r>
        <w:rPr>
          <w:rFonts w:hint="eastAsia" w:ascii="宋体" w:hAnsi="宋体" w:cs="宋体"/>
          <w:color w:val="auto"/>
          <w:szCs w:val="21"/>
          <w:highlight w:val="none"/>
          <w:lang w:bidi="ar"/>
        </w:rPr>
        <w:t xml:space="preserve"> 本合同如有未尽事宜，甲乙双方另行协商。</w:t>
      </w:r>
    </w:p>
    <w:p w14:paraId="4F49C733">
      <w:pPr>
        <w:snapToGrid w:val="0"/>
        <w:spacing w:line="340" w:lineRule="exact"/>
        <w:rPr>
          <w:rFonts w:ascii="宋体" w:hAnsi="宋体" w:cs="宋体"/>
          <w:color w:val="auto"/>
          <w:szCs w:val="21"/>
          <w:highlight w:val="none"/>
        </w:rPr>
      </w:pPr>
      <w:r>
        <w:rPr>
          <w:rFonts w:hint="eastAsia" w:ascii="宋体" w:hAnsi="宋体" w:cs="宋体"/>
          <w:color w:val="auto"/>
          <w:szCs w:val="21"/>
          <w:highlight w:val="none"/>
          <w:lang w:bidi="ar"/>
        </w:rPr>
        <w:t xml:space="preserve"> </w:t>
      </w:r>
    </w:p>
    <w:tbl>
      <w:tblPr>
        <w:tblStyle w:val="48"/>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AC4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C6BCD0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 xml:space="preserve">甲方（章）           </w:t>
            </w:r>
          </w:p>
          <w:p w14:paraId="2EA5C67C">
            <w:pPr>
              <w:snapToGrid w:val="0"/>
              <w:spacing w:line="360" w:lineRule="exact"/>
              <w:rPr>
                <w:rFonts w:ascii="宋体" w:hAnsi="宋体" w:cs="宋体"/>
                <w:color w:val="auto"/>
                <w:szCs w:val="21"/>
                <w:highlight w:val="none"/>
              </w:rPr>
            </w:pPr>
          </w:p>
          <w:p w14:paraId="28BC5253">
            <w:pPr>
              <w:snapToGrid w:val="0"/>
              <w:spacing w:line="360" w:lineRule="exact"/>
              <w:ind w:firstLine="630" w:firstLineChars="300"/>
              <w:jc w:val="right"/>
              <w:rPr>
                <w:rFonts w:ascii="宋体" w:hAnsi="宋体" w:cs="宋体"/>
                <w:color w:val="auto"/>
                <w:szCs w:val="21"/>
                <w:highlight w:val="none"/>
              </w:rPr>
            </w:pPr>
            <w:r>
              <w:rPr>
                <w:rFonts w:hint="eastAsia" w:ascii="宋体" w:hAnsi="宋体" w:cs="宋体"/>
                <w:color w:val="auto"/>
                <w:szCs w:val="21"/>
                <w:highlight w:val="none"/>
                <w:lang w:bidi="ar"/>
              </w:rPr>
              <w:t>年   月   日</w:t>
            </w:r>
          </w:p>
        </w:tc>
        <w:tc>
          <w:tcPr>
            <w:tcW w:w="4517" w:type="dxa"/>
            <w:tcBorders>
              <w:top w:val="single" w:color="auto" w:sz="4" w:space="0"/>
              <w:left w:val="nil"/>
              <w:bottom w:val="single" w:color="auto" w:sz="4" w:space="0"/>
              <w:right w:val="single" w:color="auto" w:sz="4" w:space="0"/>
              <w:tl2br w:val="nil"/>
              <w:tr2bl w:val="nil"/>
            </w:tcBorders>
            <w:vAlign w:val="center"/>
          </w:tcPr>
          <w:p w14:paraId="5BAEF45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 xml:space="preserve">乙方（章）              </w:t>
            </w:r>
          </w:p>
          <w:p w14:paraId="61E1BF85">
            <w:pPr>
              <w:snapToGrid w:val="0"/>
              <w:spacing w:line="360" w:lineRule="exact"/>
              <w:rPr>
                <w:rFonts w:ascii="宋体" w:hAnsi="宋体" w:cs="宋体"/>
                <w:color w:val="auto"/>
                <w:szCs w:val="21"/>
                <w:highlight w:val="none"/>
              </w:rPr>
            </w:pPr>
          </w:p>
          <w:p w14:paraId="2C7D3772">
            <w:pPr>
              <w:snapToGrid w:val="0"/>
              <w:spacing w:line="360" w:lineRule="exact"/>
              <w:jc w:val="right"/>
              <w:rPr>
                <w:rFonts w:ascii="宋体" w:hAnsi="宋体" w:cs="宋体"/>
                <w:color w:val="auto"/>
                <w:szCs w:val="21"/>
                <w:highlight w:val="none"/>
              </w:rPr>
            </w:pPr>
            <w:r>
              <w:rPr>
                <w:rFonts w:hint="eastAsia" w:ascii="宋体" w:hAnsi="宋体" w:cs="宋体"/>
                <w:color w:val="auto"/>
                <w:szCs w:val="21"/>
                <w:highlight w:val="none"/>
                <w:lang w:bidi="ar"/>
              </w:rPr>
              <w:t xml:space="preserve">       年   月   日</w:t>
            </w:r>
          </w:p>
        </w:tc>
      </w:tr>
      <w:tr w14:paraId="46EB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4CEBCD5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单位地址：</w:t>
            </w:r>
          </w:p>
        </w:tc>
        <w:tc>
          <w:tcPr>
            <w:tcW w:w="4517" w:type="dxa"/>
            <w:tcBorders>
              <w:top w:val="single" w:color="auto" w:sz="4" w:space="0"/>
              <w:left w:val="nil"/>
              <w:bottom w:val="single" w:color="auto" w:sz="4" w:space="0"/>
              <w:right w:val="single" w:color="auto" w:sz="4" w:space="0"/>
              <w:tl2br w:val="nil"/>
              <w:tr2bl w:val="nil"/>
            </w:tcBorders>
            <w:vAlign w:val="center"/>
          </w:tcPr>
          <w:p w14:paraId="0D31B4A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单位地址：</w:t>
            </w:r>
          </w:p>
        </w:tc>
      </w:tr>
      <w:tr w14:paraId="3290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7A125B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法定代表人：</w:t>
            </w:r>
          </w:p>
        </w:tc>
        <w:tc>
          <w:tcPr>
            <w:tcW w:w="4517" w:type="dxa"/>
            <w:tcBorders>
              <w:top w:val="single" w:color="auto" w:sz="4" w:space="0"/>
              <w:left w:val="nil"/>
              <w:bottom w:val="single" w:color="auto" w:sz="4" w:space="0"/>
              <w:right w:val="single" w:color="auto" w:sz="4" w:space="0"/>
              <w:tl2br w:val="nil"/>
              <w:tr2bl w:val="nil"/>
            </w:tcBorders>
            <w:vAlign w:val="center"/>
          </w:tcPr>
          <w:p w14:paraId="5C2FD87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法定代表人：</w:t>
            </w:r>
          </w:p>
        </w:tc>
      </w:tr>
      <w:tr w14:paraId="4095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7997DF6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委托代理人：</w:t>
            </w:r>
          </w:p>
        </w:tc>
        <w:tc>
          <w:tcPr>
            <w:tcW w:w="4517" w:type="dxa"/>
            <w:tcBorders>
              <w:top w:val="single" w:color="auto" w:sz="4" w:space="0"/>
              <w:left w:val="nil"/>
              <w:bottom w:val="single" w:color="auto" w:sz="4" w:space="0"/>
              <w:right w:val="single" w:color="auto" w:sz="4" w:space="0"/>
              <w:tl2br w:val="nil"/>
              <w:tr2bl w:val="nil"/>
            </w:tcBorders>
            <w:vAlign w:val="center"/>
          </w:tcPr>
          <w:p w14:paraId="5263252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委托代理人：</w:t>
            </w:r>
          </w:p>
        </w:tc>
      </w:tr>
      <w:tr w14:paraId="43FF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4DA5FE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电话：</w:t>
            </w:r>
          </w:p>
        </w:tc>
        <w:tc>
          <w:tcPr>
            <w:tcW w:w="4517" w:type="dxa"/>
            <w:tcBorders>
              <w:top w:val="single" w:color="auto" w:sz="4" w:space="0"/>
              <w:left w:val="nil"/>
              <w:bottom w:val="single" w:color="auto" w:sz="4" w:space="0"/>
              <w:right w:val="single" w:color="auto" w:sz="4" w:space="0"/>
              <w:tl2br w:val="nil"/>
              <w:tr2bl w:val="nil"/>
            </w:tcBorders>
            <w:vAlign w:val="center"/>
          </w:tcPr>
          <w:p w14:paraId="589E17A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电话：</w:t>
            </w:r>
          </w:p>
        </w:tc>
      </w:tr>
      <w:tr w14:paraId="70F6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32E952F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电子邮箱：</w:t>
            </w:r>
          </w:p>
        </w:tc>
        <w:tc>
          <w:tcPr>
            <w:tcW w:w="4517" w:type="dxa"/>
            <w:tcBorders>
              <w:top w:val="single" w:color="auto" w:sz="4" w:space="0"/>
              <w:left w:val="nil"/>
              <w:bottom w:val="single" w:color="auto" w:sz="4" w:space="0"/>
              <w:right w:val="single" w:color="auto" w:sz="4" w:space="0"/>
              <w:tl2br w:val="nil"/>
              <w:tr2bl w:val="nil"/>
            </w:tcBorders>
            <w:vAlign w:val="center"/>
          </w:tcPr>
          <w:p w14:paraId="3C219FA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电子邮箱：</w:t>
            </w:r>
          </w:p>
        </w:tc>
      </w:tr>
      <w:tr w14:paraId="7FEA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47D0747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开户银行：</w:t>
            </w:r>
          </w:p>
        </w:tc>
        <w:tc>
          <w:tcPr>
            <w:tcW w:w="4517" w:type="dxa"/>
            <w:tcBorders>
              <w:top w:val="single" w:color="auto" w:sz="4" w:space="0"/>
              <w:left w:val="nil"/>
              <w:bottom w:val="single" w:color="auto" w:sz="4" w:space="0"/>
              <w:right w:val="single" w:color="auto" w:sz="4" w:space="0"/>
              <w:tl2br w:val="nil"/>
              <w:tr2bl w:val="nil"/>
            </w:tcBorders>
            <w:vAlign w:val="center"/>
          </w:tcPr>
          <w:p w14:paraId="2311E0D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开户银行：</w:t>
            </w:r>
          </w:p>
        </w:tc>
      </w:tr>
      <w:tr w14:paraId="5714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C7DA66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账号：</w:t>
            </w:r>
          </w:p>
        </w:tc>
        <w:tc>
          <w:tcPr>
            <w:tcW w:w="4517" w:type="dxa"/>
            <w:tcBorders>
              <w:top w:val="single" w:color="auto" w:sz="4" w:space="0"/>
              <w:left w:val="nil"/>
              <w:bottom w:val="single" w:color="auto" w:sz="4" w:space="0"/>
              <w:right w:val="single" w:color="auto" w:sz="4" w:space="0"/>
              <w:tl2br w:val="nil"/>
              <w:tr2bl w:val="nil"/>
            </w:tcBorders>
            <w:vAlign w:val="center"/>
          </w:tcPr>
          <w:p w14:paraId="5B6544F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账号：</w:t>
            </w:r>
          </w:p>
        </w:tc>
      </w:tr>
      <w:tr w14:paraId="6984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437FDDB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邮政编码：</w:t>
            </w:r>
          </w:p>
        </w:tc>
        <w:tc>
          <w:tcPr>
            <w:tcW w:w="4517" w:type="dxa"/>
            <w:tcBorders>
              <w:top w:val="single" w:color="auto" w:sz="4" w:space="0"/>
              <w:left w:val="nil"/>
              <w:bottom w:val="single" w:color="auto" w:sz="4" w:space="0"/>
              <w:right w:val="single" w:color="auto" w:sz="4" w:space="0"/>
              <w:tl2br w:val="nil"/>
              <w:tr2bl w:val="nil"/>
            </w:tcBorders>
            <w:vAlign w:val="center"/>
          </w:tcPr>
          <w:p w14:paraId="1B6AC14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lang w:bidi="ar"/>
              </w:rPr>
              <w:t>邮政编码：</w:t>
            </w:r>
          </w:p>
        </w:tc>
      </w:tr>
    </w:tbl>
    <w:p w14:paraId="1FBE7DD6">
      <w:pPr>
        <w:rPr>
          <w:rFonts w:ascii="宋体" w:hAnsi="宋体" w:cs="宋体"/>
          <w:bCs/>
          <w:color w:val="auto"/>
          <w:sz w:val="24"/>
          <w:highlight w:val="none"/>
        </w:rPr>
      </w:pPr>
    </w:p>
    <w:bookmarkEnd w:id="141"/>
    <w:p w14:paraId="69EE4418">
      <w:pPr>
        <w:rPr>
          <w:rFonts w:ascii="宋体" w:hAnsi="宋体" w:cs="宋体"/>
          <w:bCs/>
          <w:color w:val="auto"/>
          <w:sz w:val="32"/>
          <w:szCs w:val="32"/>
          <w:highlight w:val="none"/>
        </w:rPr>
      </w:pPr>
    </w:p>
    <w:p w14:paraId="70B15514">
      <w:pPr>
        <w:rPr>
          <w:rFonts w:ascii="宋体" w:hAnsi="宋体" w:cs="宋体"/>
          <w:bCs/>
          <w:color w:val="auto"/>
          <w:sz w:val="32"/>
          <w:szCs w:val="32"/>
          <w:highlight w:val="none"/>
        </w:rPr>
      </w:pPr>
    </w:p>
    <w:p w14:paraId="5786BED9">
      <w:pPr>
        <w:rPr>
          <w:rFonts w:ascii="宋体" w:hAnsi="宋体" w:cs="宋体"/>
          <w:bCs/>
          <w:color w:val="auto"/>
          <w:sz w:val="32"/>
          <w:szCs w:val="32"/>
          <w:highlight w:val="none"/>
        </w:rPr>
      </w:pPr>
    </w:p>
    <w:p w14:paraId="74B74640">
      <w:pPr>
        <w:spacing w:line="400" w:lineRule="exact"/>
        <w:jc w:val="center"/>
        <w:rPr>
          <w:rFonts w:ascii="宋体" w:hAnsi="宋体"/>
          <w:b/>
          <w:color w:val="auto"/>
          <w:sz w:val="24"/>
          <w:highlight w:val="none"/>
        </w:rPr>
      </w:pPr>
    </w:p>
    <w:p w14:paraId="360EF6EB">
      <w:pPr>
        <w:spacing w:line="400" w:lineRule="exact"/>
        <w:jc w:val="center"/>
        <w:rPr>
          <w:rFonts w:ascii="宋体" w:hAnsi="宋体"/>
          <w:b/>
          <w:color w:val="auto"/>
          <w:sz w:val="24"/>
          <w:highlight w:val="none"/>
        </w:rPr>
      </w:pPr>
    </w:p>
    <w:p w14:paraId="77235DF9">
      <w:pPr>
        <w:spacing w:line="400" w:lineRule="exact"/>
        <w:jc w:val="center"/>
        <w:rPr>
          <w:rFonts w:ascii="宋体" w:hAnsi="宋体"/>
          <w:b/>
          <w:color w:val="auto"/>
          <w:sz w:val="24"/>
          <w:highlight w:val="none"/>
        </w:rPr>
      </w:pPr>
      <w:r>
        <w:rPr>
          <w:rFonts w:hint="eastAsia" w:ascii="宋体" w:hAnsi="宋体"/>
          <w:b/>
          <w:color w:val="auto"/>
          <w:sz w:val="24"/>
          <w:highlight w:val="none"/>
        </w:rPr>
        <w:t>医疗卫生机构医药产品廉洁购销合同</w:t>
      </w:r>
    </w:p>
    <w:p w14:paraId="22D91A09">
      <w:pPr>
        <w:spacing w:line="400" w:lineRule="exact"/>
        <w:ind w:firstLine="1205" w:firstLineChars="500"/>
        <w:rPr>
          <w:rFonts w:ascii="宋体" w:hAnsi="宋体"/>
          <w:b/>
          <w:color w:val="auto"/>
          <w:sz w:val="24"/>
          <w:highlight w:val="none"/>
        </w:rPr>
      </w:pPr>
      <w:r>
        <w:rPr>
          <w:rFonts w:hint="eastAsia" w:ascii="宋体" w:hAnsi="宋体"/>
          <w:b/>
          <w:color w:val="auto"/>
          <w:sz w:val="24"/>
          <w:highlight w:val="none"/>
        </w:rPr>
        <w:t>（含设备、耗材、后勤物资、基建工程、行业服务等）</w:t>
      </w:r>
    </w:p>
    <w:p w14:paraId="7DC8996B">
      <w:pPr>
        <w:spacing w:line="400" w:lineRule="exact"/>
        <w:rPr>
          <w:rFonts w:ascii="宋体" w:hAnsi="宋体" w:cs="宋体"/>
          <w:b/>
          <w:color w:val="auto"/>
          <w:szCs w:val="21"/>
          <w:highlight w:val="none"/>
        </w:rPr>
      </w:pPr>
      <w:r>
        <w:rPr>
          <w:rFonts w:hint="eastAsia" w:ascii="宋体" w:hAnsi="宋体" w:cs="宋体"/>
          <w:b/>
          <w:color w:val="auto"/>
          <w:szCs w:val="21"/>
          <w:highlight w:val="none"/>
        </w:rPr>
        <w:t>甲方（医疗卫生机构）：桂林医科大学第一附属医院</w:t>
      </w:r>
    </w:p>
    <w:p w14:paraId="13B28906">
      <w:pPr>
        <w:spacing w:line="400" w:lineRule="exact"/>
        <w:rPr>
          <w:rFonts w:ascii="宋体" w:hAnsi="宋体" w:cs="宋体"/>
          <w:b/>
          <w:color w:val="auto"/>
          <w:szCs w:val="21"/>
          <w:highlight w:val="none"/>
        </w:rPr>
      </w:pPr>
      <w:r>
        <w:rPr>
          <w:rFonts w:hint="eastAsia" w:ascii="宋体" w:hAnsi="宋体" w:cs="宋体"/>
          <w:b/>
          <w:color w:val="auto"/>
          <w:szCs w:val="21"/>
          <w:highlight w:val="none"/>
        </w:rPr>
        <w:t>乙方（医药生产经营企业及其代理人）：XXXXXXX</w:t>
      </w:r>
    </w:p>
    <w:p w14:paraId="433F551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为进一步加强医疗卫生行风建设，规范医疗卫生机构医药购销行为，有效防范商业贿赂行为，营造公平交易、诚实守信的购销环境，经甲、乙双方协商，同意签订本合同，并共同遵守：</w:t>
      </w:r>
    </w:p>
    <w:p w14:paraId="6FAF3541">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一、甲乙双方按照《中华人民共和国民法典》及医药产品购销合同约定购销药品、医用设备、医用耗材试剂等医药产品。</w:t>
      </w:r>
    </w:p>
    <w:p w14:paraId="2F9AF4C7">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二、甲方应当严格执行医药产品购销合同验收、入库制度，对采购医药产品及发票进行查验，不得违反有关规定合同外采购、违价采购或从非规定渠道采购。</w:t>
      </w:r>
    </w:p>
    <w:p w14:paraId="66AD3B00">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EBD5E7F">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四、严禁甲方工作人员利用任何途径和方式，为乙方统计医师个人及临床科室有关医药产品用量信息，或为乙方统计提供便利。</w:t>
      </w:r>
    </w:p>
    <w:p w14:paraId="61DEEC67">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五、乙方不得以回扣、宴请等方式影响甲方工作人员采购或使用医药产品的选择权，不得在学术活动中提供旅游、超标准支付食宿费用。</w:t>
      </w:r>
    </w:p>
    <w:p w14:paraId="40200316">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六、乙方指定</w:t>
      </w:r>
      <w:r>
        <w:rPr>
          <w:rFonts w:hint="eastAsia" w:ascii="宋体" w:hAnsi="宋体" w:cs="宋体"/>
          <w:color w:val="auto"/>
          <w:szCs w:val="21"/>
          <w:highlight w:val="none"/>
          <w:u w:val="single"/>
        </w:rPr>
        <w:t xml:space="preserve">    姓名</w:t>
      </w:r>
      <w:r>
        <w:rPr>
          <w:rFonts w:hint="eastAsia" w:ascii="宋体" w:hAnsi="宋体" w:cs="宋体"/>
          <w:b/>
          <w:color w:val="auto"/>
          <w:szCs w:val="21"/>
          <w:highlight w:val="none"/>
        </w:rPr>
        <w:t>XXXXXXX</w:t>
      </w:r>
      <w:r>
        <w:rPr>
          <w:rFonts w:hint="eastAsia" w:ascii="宋体" w:hAnsi="宋体" w:cs="宋体"/>
          <w:color w:val="auto"/>
          <w:szCs w:val="21"/>
          <w:highlight w:val="none"/>
          <w:u w:val="single"/>
        </w:rPr>
        <w:t xml:space="preserve">  联系电话  </w:t>
      </w:r>
      <w:r>
        <w:rPr>
          <w:rFonts w:hint="eastAsia" w:ascii="宋体" w:hAnsi="宋体" w:cs="宋体"/>
          <w:b/>
          <w:color w:val="auto"/>
          <w:szCs w:val="21"/>
          <w:highlight w:val="none"/>
        </w:rPr>
        <w:t>XXXXXXX</w:t>
      </w:r>
      <w:r>
        <w:rPr>
          <w:rFonts w:hint="eastAsia" w:ascii="宋体" w:hAnsi="宋体" w:cs="宋体"/>
          <w:color w:val="auto"/>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7232A67">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0B1E68DE">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八、本合同作为医药产品购销合同的重要组成部分，与购销合同一并执行，具有同等的法律效力。</w:t>
      </w:r>
    </w:p>
    <w:p w14:paraId="28A9D003">
      <w:pPr>
        <w:spacing w:line="380" w:lineRule="exact"/>
        <w:ind w:firstLine="430" w:firstLineChars="205"/>
        <w:rPr>
          <w:rFonts w:ascii="宋体" w:hAnsi="宋体" w:cs="宋体"/>
          <w:color w:val="auto"/>
          <w:szCs w:val="21"/>
          <w:highlight w:val="none"/>
        </w:rPr>
      </w:pPr>
      <w:r>
        <w:rPr>
          <w:rFonts w:hint="eastAsia" w:ascii="宋体" w:hAnsi="宋体" w:cs="宋体"/>
          <w:color w:val="auto"/>
          <w:szCs w:val="21"/>
          <w:highlight w:val="none"/>
        </w:rPr>
        <w:t>九、本合同一式肆份，甲方执叁份，乙方执壹份，并从签订之日起生效。</w:t>
      </w:r>
    </w:p>
    <w:p w14:paraId="159DC1E2">
      <w:pPr>
        <w:spacing w:line="400" w:lineRule="exact"/>
        <w:rPr>
          <w:rFonts w:ascii="宋体" w:hAnsi="宋体" w:cs="宋体"/>
          <w:color w:val="auto"/>
          <w:szCs w:val="21"/>
          <w:highlight w:val="none"/>
        </w:rPr>
      </w:pPr>
    </w:p>
    <w:p w14:paraId="6023B6D1">
      <w:pPr>
        <w:spacing w:line="400" w:lineRule="exact"/>
        <w:rPr>
          <w:rFonts w:ascii="宋体" w:hAnsi="宋体" w:cs="宋体"/>
          <w:b/>
          <w:color w:val="auto"/>
          <w:szCs w:val="21"/>
          <w:highlight w:val="none"/>
        </w:rPr>
      </w:pPr>
      <w:r>
        <w:rPr>
          <w:rFonts w:hint="eastAsia" w:ascii="宋体" w:hAnsi="宋体" w:cs="宋体"/>
          <w:b/>
          <w:color w:val="auto"/>
          <w:szCs w:val="21"/>
          <w:highlight w:val="none"/>
        </w:rPr>
        <w:t>甲方（盖章）：桂林医科大学第一附属医院    乙方（盖章）：XXXXXXX</w:t>
      </w:r>
    </w:p>
    <w:p w14:paraId="55296736">
      <w:pPr>
        <w:spacing w:line="400" w:lineRule="exact"/>
        <w:rPr>
          <w:rFonts w:ascii="宋体" w:hAnsi="宋体" w:cs="宋体"/>
          <w:b/>
          <w:color w:val="auto"/>
          <w:szCs w:val="21"/>
          <w:highlight w:val="none"/>
        </w:rPr>
      </w:pPr>
      <w:r>
        <w:rPr>
          <w:rFonts w:hint="eastAsia" w:ascii="宋体" w:hAnsi="宋体" w:cs="宋体"/>
          <w:b/>
          <w:color w:val="auto"/>
          <w:szCs w:val="21"/>
          <w:highlight w:val="none"/>
        </w:rPr>
        <w:t>法定代表人（负责人）：                    法定代表人（负责人）：</w:t>
      </w:r>
    </w:p>
    <w:p w14:paraId="3069630D">
      <w:pPr>
        <w:spacing w:line="400" w:lineRule="exact"/>
        <w:rPr>
          <w:rFonts w:ascii="宋体" w:hAnsi="宋体" w:cs="宋体"/>
          <w:b/>
          <w:color w:val="auto"/>
          <w:szCs w:val="21"/>
          <w:highlight w:val="none"/>
          <w:u w:val="single"/>
        </w:rPr>
      </w:pPr>
      <w:r>
        <w:rPr>
          <w:rFonts w:hint="eastAsia" w:ascii="宋体" w:hAnsi="宋体" w:cs="宋体"/>
          <w:b/>
          <w:color w:val="auto"/>
          <w:szCs w:val="21"/>
          <w:highlight w:val="none"/>
        </w:rPr>
        <w:t>经办人签名：                              经办人签名：</w:t>
      </w:r>
    </w:p>
    <w:p w14:paraId="5609BACB">
      <w:pPr>
        <w:spacing w:line="400" w:lineRule="exact"/>
        <w:rPr>
          <w:rFonts w:ascii="宋体" w:hAnsi="宋体" w:cs="宋体"/>
          <w:b/>
          <w:color w:val="auto"/>
          <w:szCs w:val="21"/>
          <w:highlight w:val="none"/>
        </w:rPr>
      </w:pPr>
      <w:r>
        <w:rPr>
          <w:rFonts w:hint="eastAsia" w:ascii="宋体" w:hAnsi="宋体" w:cs="宋体"/>
          <w:b/>
          <w:color w:val="auto"/>
          <w:szCs w:val="21"/>
          <w:highlight w:val="none"/>
        </w:rPr>
        <w:t>签订日期：202    年   月   日             签订日期：202    年   月   日</w:t>
      </w:r>
    </w:p>
    <w:p w14:paraId="4E4FEC1D">
      <w:pPr>
        <w:rPr>
          <w:rFonts w:ascii="宋体" w:hAnsi="宋体" w:cs="宋体"/>
          <w:bCs/>
          <w:color w:val="auto"/>
          <w:sz w:val="32"/>
          <w:szCs w:val="32"/>
          <w:highlight w:val="none"/>
        </w:rPr>
      </w:pPr>
    </w:p>
    <w:p w14:paraId="6B2203BA">
      <w:pPr>
        <w:rPr>
          <w:rFonts w:ascii="宋体" w:hAnsi="宋体" w:cs="宋体"/>
          <w:bCs/>
          <w:color w:val="auto"/>
          <w:sz w:val="32"/>
          <w:szCs w:val="32"/>
          <w:highlight w:val="none"/>
        </w:rPr>
      </w:pPr>
    </w:p>
    <w:p w14:paraId="12F5E5B1">
      <w:pPr>
        <w:rPr>
          <w:rFonts w:ascii="宋体" w:hAnsi="宋体" w:cs="宋体"/>
          <w:bCs/>
          <w:color w:val="auto"/>
          <w:sz w:val="32"/>
          <w:szCs w:val="32"/>
          <w:highlight w:val="none"/>
        </w:rPr>
      </w:pPr>
    </w:p>
    <w:p w14:paraId="7E797929">
      <w:pPr>
        <w:rPr>
          <w:rFonts w:ascii="宋体" w:hAnsi="宋体" w:cs="宋体"/>
          <w:bCs/>
          <w:color w:val="auto"/>
          <w:sz w:val="32"/>
          <w:szCs w:val="32"/>
          <w:highlight w:val="none"/>
        </w:rPr>
      </w:pPr>
    </w:p>
    <w:p w14:paraId="152A0D23">
      <w:pPr>
        <w:pStyle w:val="2"/>
        <w:jc w:val="center"/>
        <w:rPr>
          <w:rFonts w:ascii="宋体" w:hAnsi="宋体" w:cs="宋体"/>
          <w:color w:val="auto"/>
          <w:highlight w:val="none"/>
        </w:rPr>
      </w:pPr>
      <w:bookmarkStart w:id="142" w:name="_Toc74320805"/>
    </w:p>
    <w:p w14:paraId="0946B948">
      <w:pPr>
        <w:pStyle w:val="2"/>
        <w:jc w:val="center"/>
        <w:rPr>
          <w:rFonts w:ascii="宋体" w:hAnsi="宋体" w:cs="宋体"/>
          <w:color w:val="auto"/>
          <w:highlight w:val="none"/>
        </w:rPr>
      </w:pPr>
    </w:p>
    <w:p w14:paraId="793EB028">
      <w:pPr>
        <w:pStyle w:val="2"/>
        <w:jc w:val="center"/>
        <w:rPr>
          <w:rFonts w:ascii="宋体" w:hAnsi="宋体" w:cs="宋体"/>
          <w:color w:val="auto"/>
          <w:highlight w:val="none"/>
        </w:rPr>
      </w:pPr>
      <w:bookmarkStart w:id="143" w:name="_Toc18832"/>
      <w:r>
        <w:rPr>
          <w:rFonts w:hint="eastAsia" w:ascii="宋体" w:hAnsi="宋体" w:cs="宋体"/>
          <w:color w:val="auto"/>
          <w:highlight w:val="none"/>
        </w:rPr>
        <w:t>第六章  投标文件格式</w:t>
      </w:r>
      <w:bookmarkEnd w:id="142"/>
      <w:bookmarkEnd w:id="143"/>
    </w:p>
    <w:p w14:paraId="74F8E6CA">
      <w:pPr>
        <w:snapToGrid w:val="0"/>
        <w:spacing w:before="50" w:after="50"/>
        <w:outlineLvl w:val="1"/>
        <w:rPr>
          <w:rFonts w:ascii="宋体" w:hAnsi="宋体" w:cs="宋体"/>
          <w:color w:val="auto"/>
          <w:sz w:val="32"/>
          <w:szCs w:val="20"/>
          <w:highlight w:val="none"/>
        </w:rPr>
      </w:pPr>
    </w:p>
    <w:p w14:paraId="0BBAC1C1">
      <w:pPr>
        <w:snapToGrid w:val="0"/>
        <w:spacing w:before="50" w:after="50"/>
        <w:outlineLvl w:val="1"/>
        <w:rPr>
          <w:rFonts w:ascii="宋体" w:hAnsi="宋体" w:cs="宋体"/>
          <w:color w:val="auto"/>
          <w:sz w:val="32"/>
          <w:szCs w:val="20"/>
          <w:highlight w:val="none"/>
        </w:rPr>
      </w:pPr>
    </w:p>
    <w:p w14:paraId="16A7D205">
      <w:pPr>
        <w:pStyle w:val="22"/>
        <w:rPr>
          <w:color w:val="auto"/>
          <w:highlight w:val="none"/>
        </w:rPr>
      </w:pPr>
    </w:p>
    <w:p w14:paraId="3F30D98A">
      <w:pPr>
        <w:snapToGrid w:val="0"/>
        <w:spacing w:before="50" w:after="50"/>
        <w:outlineLvl w:val="1"/>
        <w:rPr>
          <w:rFonts w:ascii="宋体" w:hAnsi="宋体" w:cs="宋体"/>
          <w:color w:val="auto"/>
          <w:sz w:val="32"/>
          <w:szCs w:val="20"/>
          <w:highlight w:val="none"/>
        </w:rPr>
      </w:pPr>
    </w:p>
    <w:p w14:paraId="50166729">
      <w:pPr>
        <w:snapToGrid w:val="0"/>
        <w:spacing w:before="50" w:after="50"/>
        <w:outlineLvl w:val="1"/>
        <w:rPr>
          <w:rFonts w:ascii="宋体" w:hAnsi="宋体" w:cs="宋体"/>
          <w:color w:val="auto"/>
          <w:sz w:val="32"/>
          <w:szCs w:val="20"/>
          <w:highlight w:val="none"/>
        </w:rPr>
      </w:pPr>
    </w:p>
    <w:p w14:paraId="06807C8B">
      <w:pPr>
        <w:snapToGrid w:val="0"/>
        <w:spacing w:before="50" w:after="50"/>
        <w:outlineLvl w:val="1"/>
        <w:rPr>
          <w:rFonts w:ascii="宋体" w:hAnsi="宋体" w:cs="宋体"/>
          <w:color w:val="auto"/>
          <w:sz w:val="32"/>
          <w:szCs w:val="20"/>
          <w:highlight w:val="none"/>
        </w:rPr>
      </w:pPr>
    </w:p>
    <w:p w14:paraId="0A36A283">
      <w:pPr>
        <w:snapToGrid w:val="0"/>
        <w:spacing w:before="50" w:after="50"/>
        <w:outlineLvl w:val="1"/>
        <w:rPr>
          <w:rFonts w:ascii="宋体" w:hAnsi="宋体" w:cs="宋体"/>
          <w:color w:val="auto"/>
          <w:sz w:val="32"/>
          <w:szCs w:val="20"/>
          <w:highlight w:val="none"/>
        </w:rPr>
      </w:pPr>
    </w:p>
    <w:p w14:paraId="6D05300A">
      <w:pPr>
        <w:snapToGrid w:val="0"/>
        <w:spacing w:before="50" w:after="50"/>
        <w:outlineLvl w:val="1"/>
        <w:rPr>
          <w:rFonts w:ascii="宋体" w:hAnsi="宋体" w:cs="宋体"/>
          <w:color w:val="auto"/>
          <w:sz w:val="32"/>
          <w:szCs w:val="20"/>
          <w:highlight w:val="none"/>
        </w:rPr>
      </w:pPr>
    </w:p>
    <w:p w14:paraId="7B10CF2A">
      <w:pPr>
        <w:snapToGrid w:val="0"/>
        <w:spacing w:before="50" w:after="50"/>
        <w:outlineLvl w:val="1"/>
        <w:rPr>
          <w:rFonts w:ascii="宋体" w:hAnsi="宋体" w:cs="宋体"/>
          <w:color w:val="auto"/>
          <w:sz w:val="32"/>
          <w:szCs w:val="20"/>
          <w:highlight w:val="none"/>
        </w:rPr>
      </w:pPr>
    </w:p>
    <w:p w14:paraId="4EE86EE0">
      <w:pPr>
        <w:snapToGrid w:val="0"/>
        <w:spacing w:before="50" w:after="50"/>
        <w:outlineLvl w:val="1"/>
        <w:rPr>
          <w:rFonts w:ascii="宋体" w:hAnsi="宋体" w:cs="宋体"/>
          <w:color w:val="auto"/>
          <w:sz w:val="32"/>
          <w:szCs w:val="20"/>
          <w:highlight w:val="none"/>
        </w:rPr>
      </w:pPr>
    </w:p>
    <w:p w14:paraId="45F26184">
      <w:pPr>
        <w:snapToGrid w:val="0"/>
        <w:spacing w:before="50" w:after="50"/>
        <w:outlineLvl w:val="1"/>
        <w:rPr>
          <w:rFonts w:ascii="宋体" w:hAnsi="宋体" w:cs="宋体"/>
          <w:color w:val="auto"/>
          <w:sz w:val="32"/>
          <w:szCs w:val="20"/>
          <w:highlight w:val="none"/>
        </w:rPr>
      </w:pPr>
    </w:p>
    <w:p w14:paraId="7E93CC22">
      <w:pPr>
        <w:snapToGrid w:val="0"/>
        <w:spacing w:before="50" w:after="50"/>
        <w:outlineLvl w:val="1"/>
        <w:rPr>
          <w:rFonts w:ascii="宋体" w:hAnsi="宋体" w:cs="宋体"/>
          <w:color w:val="auto"/>
          <w:sz w:val="32"/>
          <w:szCs w:val="20"/>
          <w:highlight w:val="none"/>
        </w:rPr>
      </w:pPr>
    </w:p>
    <w:p w14:paraId="070B23A0">
      <w:pPr>
        <w:snapToGrid w:val="0"/>
        <w:spacing w:before="50" w:after="50"/>
        <w:outlineLvl w:val="1"/>
        <w:rPr>
          <w:rFonts w:ascii="宋体" w:hAnsi="宋体" w:cs="宋体"/>
          <w:color w:val="auto"/>
          <w:sz w:val="32"/>
          <w:szCs w:val="20"/>
          <w:highlight w:val="none"/>
        </w:rPr>
      </w:pPr>
    </w:p>
    <w:p w14:paraId="51625A8F">
      <w:pPr>
        <w:snapToGrid w:val="0"/>
        <w:spacing w:before="50" w:after="50"/>
        <w:outlineLvl w:val="1"/>
        <w:rPr>
          <w:rFonts w:ascii="宋体" w:hAnsi="宋体" w:cs="宋体"/>
          <w:color w:val="auto"/>
          <w:sz w:val="32"/>
          <w:szCs w:val="20"/>
          <w:highlight w:val="none"/>
        </w:rPr>
      </w:pPr>
    </w:p>
    <w:p w14:paraId="45390AF2">
      <w:pPr>
        <w:snapToGrid w:val="0"/>
        <w:spacing w:before="50" w:after="50"/>
        <w:outlineLvl w:val="1"/>
        <w:rPr>
          <w:rFonts w:ascii="宋体" w:hAnsi="宋体" w:cs="宋体"/>
          <w:color w:val="auto"/>
          <w:highlight w:val="none"/>
        </w:rPr>
      </w:pPr>
    </w:p>
    <w:p w14:paraId="3865CE71">
      <w:pPr>
        <w:rPr>
          <w:rFonts w:ascii="宋体" w:hAnsi="宋体" w:cs="宋体"/>
          <w:b/>
          <w:color w:val="auto"/>
          <w:sz w:val="28"/>
          <w:szCs w:val="28"/>
          <w:highlight w:val="none"/>
        </w:rPr>
      </w:pPr>
      <w:bookmarkStart w:id="144" w:name="_Toc19686836"/>
      <w:bookmarkStart w:id="145" w:name="_Toc254970698"/>
      <w:bookmarkStart w:id="146" w:name="_Toc254970557"/>
      <w:r>
        <w:rPr>
          <w:rFonts w:hint="eastAsia" w:ascii="宋体" w:hAnsi="宋体" w:cs="宋体"/>
          <w:b/>
          <w:color w:val="auto"/>
          <w:sz w:val="28"/>
          <w:szCs w:val="28"/>
          <w:highlight w:val="none"/>
        </w:rPr>
        <w:t>一、报价文件格式</w:t>
      </w:r>
      <w:bookmarkEnd w:id="144"/>
    </w:p>
    <w:p w14:paraId="34AD8770">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0031AAFC">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0C792A1E">
      <w:pPr>
        <w:snapToGrid w:val="0"/>
        <w:spacing w:before="120" w:beforeLines="50" w:after="50" w:line="400" w:lineRule="exact"/>
        <w:jc w:val="left"/>
        <w:rPr>
          <w:rFonts w:ascii="宋体" w:hAnsi="宋体" w:cs="宋体"/>
          <w:bCs/>
          <w:color w:val="auto"/>
          <w:sz w:val="48"/>
          <w:szCs w:val="48"/>
          <w:highlight w:val="none"/>
        </w:rPr>
      </w:pPr>
    </w:p>
    <w:p w14:paraId="1F516697">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10D97EB9">
      <w:pPr>
        <w:snapToGrid w:val="0"/>
        <w:spacing w:before="120" w:beforeLines="50" w:after="50" w:line="400" w:lineRule="exact"/>
        <w:rPr>
          <w:rFonts w:ascii="宋体" w:hAnsi="宋体" w:cs="宋体"/>
          <w:bCs/>
          <w:color w:val="auto"/>
          <w:sz w:val="24"/>
          <w:szCs w:val="20"/>
          <w:highlight w:val="none"/>
        </w:rPr>
      </w:pPr>
    </w:p>
    <w:p w14:paraId="02DF3B91">
      <w:pPr>
        <w:snapToGrid w:val="0"/>
        <w:spacing w:before="120" w:beforeLines="50" w:after="50" w:line="400" w:lineRule="exact"/>
        <w:rPr>
          <w:rFonts w:ascii="宋体" w:hAnsi="宋体" w:cs="宋体"/>
          <w:bCs/>
          <w:color w:val="auto"/>
          <w:sz w:val="24"/>
          <w:szCs w:val="20"/>
          <w:highlight w:val="none"/>
        </w:rPr>
      </w:pPr>
    </w:p>
    <w:p w14:paraId="48FCD5EC">
      <w:pPr>
        <w:snapToGrid w:val="0"/>
        <w:spacing w:before="120" w:beforeLines="50" w:after="50" w:line="400" w:lineRule="exact"/>
        <w:rPr>
          <w:rFonts w:ascii="宋体" w:hAnsi="宋体" w:cs="宋体"/>
          <w:bCs/>
          <w:color w:val="auto"/>
          <w:sz w:val="24"/>
          <w:szCs w:val="20"/>
          <w:highlight w:val="none"/>
        </w:rPr>
      </w:pPr>
    </w:p>
    <w:p w14:paraId="26A78F53">
      <w:pPr>
        <w:snapToGrid w:val="0"/>
        <w:spacing w:before="120" w:beforeLines="50" w:after="50" w:line="400" w:lineRule="exact"/>
        <w:rPr>
          <w:rFonts w:ascii="宋体" w:hAnsi="宋体" w:cs="宋体"/>
          <w:bCs/>
          <w:color w:val="auto"/>
          <w:sz w:val="24"/>
          <w:szCs w:val="20"/>
          <w:highlight w:val="none"/>
        </w:rPr>
      </w:pPr>
    </w:p>
    <w:p w14:paraId="0532280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035D227">
      <w:pPr>
        <w:snapToGrid w:val="0"/>
        <w:spacing w:before="120" w:beforeLines="50" w:after="50" w:line="400" w:lineRule="exact"/>
        <w:ind w:firstLine="360" w:firstLineChars="150"/>
        <w:rPr>
          <w:rFonts w:ascii="宋体" w:hAnsi="宋体" w:cs="宋体"/>
          <w:bCs/>
          <w:color w:val="auto"/>
          <w:sz w:val="24"/>
          <w:highlight w:val="none"/>
        </w:rPr>
      </w:pPr>
    </w:p>
    <w:p w14:paraId="5BCC24E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41B123DD">
      <w:pPr>
        <w:snapToGrid w:val="0"/>
        <w:spacing w:before="120" w:beforeLines="50" w:after="50" w:line="400" w:lineRule="exact"/>
        <w:ind w:firstLine="360" w:firstLineChars="150"/>
        <w:rPr>
          <w:rFonts w:ascii="宋体" w:hAnsi="宋体" w:cs="宋体"/>
          <w:bCs/>
          <w:color w:val="auto"/>
          <w:sz w:val="24"/>
          <w:highlight w:val="none"/>
        </w:rPr>
      </w:pPr>
    </w:p>
    <w:p w14:paraId="43B99C9E">
      <w:pPr>
        <w:snapToGrid w:val="0"/>
        <w:spacing w:before="120" w:beforeLines="50" w:after="50" w:line="400" w:lineRule="exact"/>
        <w:ind w:firstLine="360" w:firstLineChars="150"/>
        <w:rPr>
          <w:rFonts w:ascii="宋体" w:hAnsi="宋体" w:cs="宋体"/>
          <w:bCs/>
          <w:color w:val="auto"/>
          <w:sz w:val="24"/>
          <w:highlight w:val="none"/>
        </w:rPr>
      </w:pPr>
    </w:p>
    <w:p w14:paraId="42BA303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7BD98200">
      <w:pPr>
        <w:snapToGrid w:val="0"/>
        <w:spacing w:before="120" w:beforeLines="50" w:after="50" w:line="400" w:lineRule="exact"/>
        <w:ind w:firstLine="360" w:firstLineChars="150"/>
        <w:rPr>
          <w:rFonts w:ascii="宋体" w:hAnsi="宋体" w:cs="宋体"/>
          <w:bCs/>
          <w:color w:val="auto"/>
          <w:sz w:val="24"/>
          <w:highlight w:val="none"/>
        </w:rPr>
      </w:pPr>
    </w:p>
    <w:p w14:paraId="625D452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F325BC2">
      <w:pPr>
        <w:pStyle w:val="6"/>
        <w:snapToGrid w:val="0"/>
        <w:spacing w:before="50" w:after="50" w:line="400" w:lineRule="exact"/>
        <w:ind w:firstLine="960" w:firstLineChars="400"/>
        <w:rPr>
          <w:rFonts w:ascii="宋体" w:hAnsi="宋体" w:cs="宋体"/>
          <w:bCs/>
          <w:color w:val="auto"/>
          <w:sz w:val="24"/>
          <w:szCs w:val="24"/>
          <w:highlight w:val="none"/>
        </w:rPr>
      </w:pPr>
    </w:p>
    <w:p w14:paraId="39F6E79C">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5020261C">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7C62E339">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78B406DA">
      <w:pPr>
        <w:snapToGrid w:val="0"/>
        <w:spacing w:before="120" w:beforeLines="50" w:after="50"/>
        <w:rPr>
          <w:rFonts w:ascii="宋体" w:hAnsi="宋体" w:cs="宋体"/>
          <w:b/>
          <w:color w:val="auto"/>
          <w:sz w:val="24"/>
          <w:highlight w:val="none"/>
        </w:rPr>
      </w:pPr>
    </w:p>
    <w:p w14:paraId="2D77D0DB">
      <w:pPr>
        <w:snapToGrid w:val="0"/>
        <w:spacing w:before="120" w:beforeLines="50" w:after="50"/>
        <w:rPr>
          <w:rFonts w:ascii="宋体" w:hAnsi="宋体" w:cs="宋体"/>
          <w:b/>
          <w:color w:val="auto"/>
          <w:sz w:val="24"/>
          <w:highlight w:val="none"/>
        </w:rPr>
      </w:pPr>
    </w:p>
    <w:p w14:paraId="68943E8B">
      <w:pPr>
        <w:snapToGrid w:val="0"/>
        <w:spacing w:before="120" w:beforeLines="50" w:after="50"/>
        <w:rPr>
          <w:rFonts w:ascii="宋体" w:hAnsi="宋体" w:cs="宋体"/>
          <w:b/>
          <w:color w:val="auto"/>
          <w:sz w:val="24"/>
          <w:highlight w:val="none"/>
        </w:rPr>
      </w:pPr>
    </w:p>
    <w:p w14:paraId="1A30444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48B8DD5E">
      <w:pPr>
        <w:snapToGrid w:val="0"/>
        <w:spacing w:before="120" w:beforeLines="50" w:after="50"/>
        <w:ind w:left="142"/>
        <w:jc w:val="left"/>
        <w:rPr>
          <w:rFonts w:ascii="宋体" w:hAnsi="宋体" w:cs="宋体"/>
          <w:b/>
          <w:color w:val="auto"/>
          <w:sz w:val="24"/>
          <w:highlight w:val="none"/>
        </w:rPr>
      </w:pPr>
    </w:p>
    <w:p w14:paraId="77113D1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6B622C77">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3050D495">
      <w:pPr>
        <w:snapToGrid w:val="0"/>
        <w:spacing w:before="120" w:beforeLines="50" w:after="50" w:line="320" w:lineRule="exact"/>
        <w:jc w:val="center"/>
        <w:rPr>
          <w:rFonts w:ascii="宋体" w:hAnsi="宋体" w:cs="宋体"/>
          <w:b/>
          <w:color w:val="auto"/>
          <w:sz w:val="32"/>
          <w:szCs w:val="32"/>
          <w:highlight w:val="none"/>
        </w:rPr>
      </w:pPr>
    </w:p>
    <w:p w14:paraId="27F81BA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4492F4D">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（项目编号：）的招标公告，签字代表______（姓名）经正式授权并代表投标人（投标人名称）提交投标文件。</w:t>
      </w:r>
    </w:p>
    <w:p w14:paraId="36A89D2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7DA2991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1D80E13">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38A0DF85">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0EABCB62">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6FA62ED0">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555ED4F3">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p>
    <w:p w14:paraId="321C63FE">
      <w:pPr>
        <w:spacing w:line="40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0634C877">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31FB31C2">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0CB09F9E">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EE836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5D7DF9F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4EBAC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w:t>
      </w:r>
    </w:p>
    <w:p w14:paraId="2050610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46A62FDD">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70871C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0A605E2B">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2E0949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3559525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3EB8B2B1">
      <w:pPr>
        <w:pStyle w:val="25"/>
        <w:spacing w:line="360" w:lineRule="auto"/>
        <w:contextualSpacing/>
        <w:jc w:val="center"/>
        <w:rPr>
          <w:rFonts w:hAnsi="宋体" w:cs="宋体"/>
          <w:color w:val="auto"/>
          <w:sz w:val="24"/>
          <w:highlight w:val="none"/>
        </w:rPr>
      </w:pPr>
    </w:p>
    <w:p w14:paraId="4EABF708">
      <w:pPr>
        <w:pStyle w:val="25"/>
        <w:spacing w:line="360" w:lineRule="auto"/>
        <w:contextualSpacing/>
        <w:jc w:val="center"/>
        <w:rPr>
          <w:rFonts w:hAnsi="宋体" w:cs="宋体"/>
          <w:color w:val="auto"/>
          <w:sz w:val="24"/>
          <w:highlight w:val="none"/>
        </w:rPr>
      </w:pPr>
    </w:p>
    <w:p w14:paraId="3630D9BB">
      <w:pPr>
        <w:pStyle w:val="25"/>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投标人名称（电子签章）：</w:t>
      </w:r>
    </w:p>
    <w:p w14:paraId="0B1D9D06">
      <w:pPr>
        <w:pStyle w:val="25"/>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0A1DAA9A">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2F268AFF">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74AF2330">
      <w:pPr>
        <w:snapToGrid w:val="0"/>
        <w:spacing w:before="50" w:after="50" w:line="340" w:lineRule="exact"/>
        <w:jc w:val="center"/>
        <w:rPr>
          <w:rFonts w:ascii="宋体" w:hAnsi="宋体" w:cs="宋体"/>
          <w:b/>
          <w:color w:val="auto"/>
          <w:sz w:val="30"/>
          <w:szCs w:val="20"/>
          <w:highlight w:val="none"/>
        </w:rPr>
      </w:pPr>
    </w:p>
    <w:p w14:paraId="7DE5DE5F">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7690DF1D">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tbl>
      <w:tblPr>
        <w:tblStyle w:val="48"/>
        <w:tblW w:w="849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775"/>
        <w:gridCol w:w="1372"/>
        <w:gridCol w:w="1324"/>
        <w:gridCol w:w="994"/>
        <w:gridCol w:w="1827"/>
      </w:tblGrid>
      <w:tr w14:paraId="5A99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5" w:hRule="atLeast"/>
        </w:trPr>
        <w:tc>
          <w:tcPr>
            <w:tcW w:w="1205" w:type="dxa"/>
            <w:tcBorders>
              <w:top w:val="single" w:color="auto" w:sz="4" w:space="0"/>
              <w:left w:val="single" w:color="auto" w:sz="4" w:space="0"/>
              <w:bottom w:val="single" w:color="auto" w:sz="4" w:space="0"/>
              <w:right w:val="single" w:color="auto" w:sz="4" w:space="0"/>
              <w:tl2br w:val="nil"/>
              <w:tr2bl w:val="nil"/>
            </w:tcBorders>
            <w:vAlign w:val="center"/>
          </w:tcPr>
          <w:p w14:paraId="2ECC5E7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项号</w:t>
            </w:r>
          </w:p>
        </w:tc>
        <w:tc>
          <w:tcPr>
            <w:tcW w:w="1775" w:type="dxa"/>
            <w:tcBorders>
              <w:top w:val="single" w:color="auto" w:sz="4" w:space="0"/>
              <w:left w:val="nil"/>
              <w:bottom w:val="single" w:color="auto" w:sz="4" w:space="0"/>
              <w:right w:val="single" w:color="auto" w:sz="4" w:space="0"/>
              <w:tl2br w:val="nil"/>
              <w:tr2bl w:val="nil"/>
            </w:tcBorders>
            <w:vAlign w:val="center"/>
          </w:tcPr>
          <w:p w14:paraId="714FAEC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标的名称</w:t>
            </w:r>
          </w:p>
        </w:tc>
        <w:tc>
          <w:tcPr>
            <w:tcW w:w="1372" w:type="dxa"/>
            <w:tcBorders>
              <w:top w:val="single" w:color="auto" w:sz="4" w:space="0"/>
              <w:left w:val="nil"/>
              <w:bottom w:val="single" w:color="auto" w:sz="4" w:space="0"/>
              <w:right w:val="single" w:color="auto" w:sz="4" w:space="0"/>
              <w:tl2br w:val="nil"/>
              <w:tr2bl w:val="nil"/>
            </w:tcBorders>
            <w:vAlign w:val="center"/>
          </w:tcPr>
          <w:p w14:paraId="18EFE135">
            <w:pPr>
              <w:jc w:val="center"/>
              <w:rPr>
                <w:rFonts w:ascii="宋体" w:hAnsi="宋体"/>
                <w:color w:val="auto"/>
                <w:highlight w:val="none"/>
              </w:rPr>
            </w:pPr>
            <w:r>
              <w:rPr>
                <w:rFonts w:hint="eastAsia" w:ascii="宋体" w:hAnsi="宋体"/>
                <w:color w:val="auto"/>
                <w:highlight w:val="none"/>
              </w:rPr>
              <w:t>人数（人）</w:t>
            </w:r>
          </w:p>
          <w:p w14:paraId="459F5FA2">
            <w:pPr>
              <w:jc w:val="center"/>
              <w:rPr>
                <w:rFonts w:ascii="宋体" w:hAnsi="宋体" w:cs="宋体"/>
                <w:color w:val="auto"/>
                <w:szCs w:val="21"/>
                <w:highlight w:val="none"/>
              </w:rPr>
            </w:pPr>
            <w:r>
              <w:rPr>
                <w:rFonts w:hint="eastAsia" w:ascii="宋体" w:hAnsi="宋体"/>
                <w:color w:val="auto"/>
                <w:highlight w:val="none"/>
              </w:rPr>
              <w:t>（预估）①</w:t>
            </w:r>
          </w:p>
        </w:tc>
        <w:tc>
          <w:tcPr>
            <w:tcW w:w="1324" w:type="dxa"/>
            <w:tcBorders>
              <w:top w:val="single" w:color="auto" w:sz="4" w:space="0"/>
              <w:left w:val="nil"/>
              <w:bottom w:val="single" w:color="auto" w:sz="4" w:space="0"/>
              <w:right w:val="single" w:color="auto" w:sz="4" w:space="0"/>
              <w:tl2br w:val="nil"/>
              <w:tr2bl w:val="nil"/>
            </w:tcBorders>
            <w:vAlign w:val="center"/>
          </w:tcPr>
          <w:p w14:paraId="0E24983B">
            <w:pPr>
              <w:jc w:val="center"/>
              <w:rPr>
                <w:rFonts w:ascii="宋体" w:hAnsi="宋体" w:cs="宋体"/>
                <w:color w:val="auto"/>
                <w:szCs w:val="21"/>
                <w:highlight w:val="none"/>
              </w:rPr>
            </w:pPr>
            <w:r>
              <w:rPr>
                <w:rFonts w:hint="eastAsia" w:ascii="宋体" w:hAnsi="宋体"/>
                <w:color w:val="auto"/>
                <w:highlight w:val="none"/>
              </w:rPr>
              <w:t>单价（元/月/人）②</w:t>
            </w:r>
          </w:p>
        </w:tc>
        <w:tc>
          <w:tcPr>
            <w:tcW w:w="994" w:type="dxa"/>
            <w:tcBorders>
              <w:top w:val="single" w:color="auto" w:sz="4" w:space="0"/>
              <w:left w:val="nil"/>
              <w:bottom w:val="single" w:color="auto" w:sz="4" w:space="0"/>
              <w:right w:val="single" w:color="auto" w:sz="4" w:space="0"/>
              <w:tl2br w:val="nil"/>
              <w:tr2bl w:val="nil"/>
            </w:tcBorders>
            <w:vAlign w:val="center"/>
          </w:tcPr>
          <w:p w14:paraId="2CF0C2C3">
            <w:pPr>
              <w:jc w:val="center"/>
              <w:rPr>
                <w:rFonts w:ascii="宋体" w:hAnsi="宋体" w:cs="宋体"/>
                <w:color w:val="auto"/>
                <w:szCs w:val="21"/>
                <w:highlight w:val="none"/>
              </w:rPr>
            </w:pPr>
            <w:r>
              <w:rPr>
                <w:rFonts w:hint="eastAsia" w:ascii="宋体" w:hAnsi="宋体"/>
                <w:color w:val="auto"/>
                <w:highlight w:val="none"/>
              </w:rPr>
              <w:t>服务时间（月）③</w:t>
            </w:r>
          </w:p>
        </w:tc>
        <w:tc>
          <w:tcPr>
            <w:tcW w:w="1827" w:type="dxa"/>
            <w:tcBorders>
              <w:top w:val="single" w:color="auto" w:sz="4" w:space="0"/>
              <w:left w:val="nil"/>
              <w:bottom w:val="single" w:color="auto" w:sz="4" w:space="0"/>
              <w:right w:val="single" w:color="auto" w:sz="4" w:space="0"/>
              <w:tl2br w:val="nil"/>
              <w:tr2bl w:val="nil"/>
            </w:tcBorders>
            <w:vAlign w:val="center"/>
          </w:tcPr>
          <w:p w14:paraId="2B6C7694">
            <w:pPr>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lang w:bidi="ar"/>
              </w:rPr>
              <w:t>合计金额</w:t>
            </w:r>
            <w:r>
              <w:rPr>
                <w:rFonts w:hint="eastAsia" w:ascii="宋体" w:hAnsi="宋体" w:cs="宋体"/>
                <w:color w:val="auto"/>
                <w:szCs w:val="21"/>
                <w:highlight w:val="none"/>
                <w:lang w:bidi="ar"/>
              </w:rPr>
              <w:t>（元）</w:t>
            </w:r>
          </w:p>
          <w:p w14:paraId="7B0DC70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bidi="ar"/>
              </w:rPr>
              <w:t>＝①×②×③</w:t>
            </w:r>
          </w:p>
        </w:tc>
      </w:tr>
      <w:tr w14:paraId="48F3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05" w:type="dxa"/>
            <w:tcBorders>
              <w:top w:val="single" w:color="auto" w:sz="4" w:space="0"/>
              <w:left w:val="single" w:color="auto" w:sz="4" w:space="0"/>
              <w:bottom w:val="single" w:color="auto" w:sz="4" w:space="0"/>
              <w:right w:val="single" w:color="auto" w:sz="4" w:space="0"/>
              <w:tl2br w:val="nil"/>
              <w:tr2bl w:val="nil"/>
            </w:tcBorders>
            <w:vAlign w:val="center"/>
          </w:tcPr>
          <w:p w14:paraId="4BAD7F5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75" w:type="dxa"/>
            <w:tcBorders>
              <w:top w:val="single" w:color="auto" w:sz="4" w:space="0"/>
              <w:left w:val="nil"/>
              <w:bottom w:val="single" w:color="auto" w:sz="4" w:space="0"/>
              <w:right w:val="single" w:color="auto" w:sz="4" w:space="0"/>
              <w:tl2br w:val="nil"/>
              <w:tr2bl w:val="nil"/>
            </w:tcBorders>
            <w:vAlign w:val="center"/>
          </w:tcPr>
          <w:p w14:paraId="59FABCA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乐群院区医辅人员服务</w:t>
            </w:r>
          </w:p>
        </w:tc>
        <w:tc>
          <w:tcPr>
            <w:tcW w:w="1372" w:type="dxa"/>
            <w:tcBorders>
              <w:top w:val="single" w:color="auto" w:sz="4" w:space="0"/>
              <w:left w:val="nil"/>
              <w:bottom w:val="single" w:color="auto" w:sz="4" w:space="0"/>
              <w:right w:val="single" w:color="auto" w:sz="4" w:space="0"/>
              <w:tl2br w:val="nil"/>
              <w:tr2bl w:val="nil"/>
            </w:tcBorders>
            <w:vAlign w:val="center"/>
          </w:tcPr>
          <w:p w14:paraId="0323B47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1324" w:type="dxa"/>
            <w:tcBorders>
              <w:top w:val="single" w:color="auto" w:sz="4" w:space="0"/>
              <w:left w:val="nil"/>
              <w:bottom w:val="single" w:color="auto" w:sz="4" w:space="0"/>
              <w:right w:val="single" w:color="auto" w:sz="4" w:space="0"/>
              <w:tl2br w:val="nil"/>
              <w:tr2bl w:val="nil"/>
            </w:tcBorders>
            <w:vAlign w:val="center"/>
          </w:tcPr>
          <w:p w14:paraId="0BCF5815">
            <w:pPr>
              <w:snapToGrid w:val="0"/>
              <w:spacing w:line="360" w:lineRule="exact"/>
              <w:jc w:val="center"/>
              <w:rPr>
                <w:rFonts w:ascii="宋体" w:hAnsi="宋体" w:cs="宋体"/>
                <w:color w:val="auto"/>
                <w:szCs w:val="21"/>
                <w:highlight w:val="none"/>
              </w:rPr>
            </w:pPr>
          </w:p>
        </w:tc>
        <w:tc>
          <w:tcPr>
            <w:tcW w:w="994" w:type="dxa"/>
            <w:tcBorders>
              <w:top w:val="single" w:color="auto" w:sz="4" w:space="0"/>
              <w:left w:val="nil"/>
              <w:bottom w:val="single" w:color="auto" w:sz="4" w:space="0"/>
              <w:right w:val="single" w:color="auto" w:sz="4" w:space="0"/>
              <w:tl2br w:val="nil"/>
              <w:tr2bl w:val="nil"/>
            </w:tcBorders>
            <w:vAlign w:val="center"/>
          </w:tcPr>
          <w:p w14:paraId="2C72D41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27" w:type="dxa"/>
            <w:tcBorders>
              <w:top w:val="single" w:color="auto" w:sz="4" w:space="0"/>
              <w:left w:val="nil"/>
              <w:bottom w:val="single" w:color="auto" w:sz="4" w:space="0"/>
              <w:right w:val="single" w:color="auto" w:sz="4" w:space="0"/>
              <w:tl2br w:val="nil"/>
              <w:tr2bl w:val="nil"/>
            </w:tcBorders>
            <w:vAlign w:val="center"/>
          </w:tcPr>
          <w:p w14:paraId="4C3FDC4D">
            <w:pPr>
              <w:snapToGrid w:val="0"/>
              <w:spacing w:line="360" w:lineRule="exact"/>
              <w:jc w:val="center"/>
              <w:rPr>
                <w:rFonts w:ascii="宋体" w:hAnsi="宋体" w:cs="宋体"/>
                <w:color w:val="auto"/>
                <w:szCs w:val="21"/>
                <w:highlight w:val="none"/>
              </w:rPr>
            </w:pPr>
          </w:p>
        </w:tc>
      </w:tr>
      <w:tr w14:paraId="1019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7"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99E7C75">
            <w:pPr>
              <w:snapToGrid w:val="0"/>
              <w:spacing w:line="360" w:lineRule="exact"/>
              <w:rPr>
                <w:rFonts w:ascii="宋体" w:hAnsi="宋体" w:cs="宋体"/>
                <w:color w:val="auto"/>
                <w:szCs w:val="21"/>
                <w:highlight w:val="none"/>
              </w:rPr>
            </w:pPr>
            <w:r>
              <w:rPr>
                <w:rFonts w:hint="eastAsia" w:ascii="宋体" w:hAnsi="宋体" w:cs="宋体"/>
                <w:b/>
                <w:color w:val="auto"/>
                <w:sz w:val="24"/>
                <w:highlight w:val="none"/>
              </w:rPr>
              <w:t>投标报价：（大写）</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w:t>
            </w:r>
          </w:p>
        </w:tc>
      </w:tr>
      <w:tr w14:paraId="61C4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7"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A26BD97">
            <w:pPr>
              <w:adjustRightInd w:val="0"/>
              <w:snapToGrid w:val="0"/>
              <w:spacing w:line="440" w:lineRule="exact"/>
              <w:rPr>
                <w:rFonts w:ascii="宋体" w:hAnsi="宋体" w:cs="宋体"/>
                <w:b/>
                <w:color w:val="auto"/>
                <w:sz w:val="24"/>
                <w:highlight w:val="none"/>
              </w:rPr>
            </w:pPr>
            <w:r>
              <w:rPr>
                <w:rFonts w:hint="eastAsia" w:ascii="宋体" w:hAnsi="宋体" w:cs="宋体"/>
                <w:b/>
                <w:color w:val="auto"/>
                <w:sz w:val="24"/>
                <w:highlight w:val="none"/>
              </w:rPr>
              <w:t>注：</w:t>
            </w:r>
          </w:p>
          <w:p w14:paraId="7B4420FE">
            <w:pPr>
              <w:adjustRightInd w:val="0"/>
              <w:snapToGrid w:val="0"/>
              <w:spacing w:line="440" w:lineRule="exact"/>
              <w:rPr>
                <w:rFonts w:ascii="宋体" w:hAnsi="宋体" w:cs="宋体"/>
                <w:b/>
                <w:color w:val="auto"/>
                <w:szCs w:val="21"/>
                <w:highlight w:val="none"/>
              </w:rPr>
            </w:pPr>
            <w:r>
              <w:rPr>
                <w:rFonts w:hint="eastAsia" w:ascii="宋体" w:hAnsi="宋体" w:cs="宋体"/>
                <w:b/>
                <w:bCs/>
                <w:color w:val="auto"/>
                <w:kern w:val="0"/>
                <w:szCs w:val="21"/>
                <w:highlight w:val="none"/>
              </w:rPr>
              <w:t>1.本项目采购预算金额：人民币玖佰万元整（¥9000000.00），投标最高限价：人民币捌佰陆拾伍万贰仟元整（¥8652000.00）（即人均单价3500元/人/月×103人×24月=8652000.00），</w:t>
            </w:r>
            <w:r>
              <w:rPr>
                <w:rFonts w:hint="eastAsia" w:ascii="宋体" w:hAnsi="宋体" w:cs="宋体"/>
                <w:b/>
                <w:color w:val="auto"/>
                <w:szCs w:val="21"/>
                <w:highlight w:val="none"/>
              </w:rPr>
              <w:t>投标人投标报价超最高限价的，投标文件按无效处理。</w:t>
            </w:r>
          </w:p>
          <w:p w14:paraId="7FB2B9FD">
            <w:pPr>
              <w:tabs>
                <w:tab w:val="left" w:pos="1305"/>
              </w:tabs>
              <w:spacing w:line="440" w:lineRule="exact"/>
              <w:rPr>
                <w:rFonts w:ascii="宋体" w:hAnsi="宋体" w:cs="宋体"/>
                <w:b/>
                <w:color w:val="auto"/>
                <w:sz w:val="24"/>
                <w:highlight w:val="none"/>
              </w:rPr>
            </w:pPr>
            <w:r>
              <w:rPr>
                <w:rFonts w:hint="eastAsia" w:ascii="宋体" w:hAnsi="宋体" w:cs="宋体"/>
                <w:b/>
                <w:color w:val="auto"/>
                <w:kern w:val="0"/>
                <w:szCs w:val="21"/>
                <w:highlight w:val="none"/>
              </w:rPr>
              <w:t>2.本项目采购需求中所列项目服务人员数量为估算数量，结算时以实际提供的服务人员数量及单价为准，即：每月服务费=实际提供服务人员数量×每名服务人员每月服务费（未满勤服务人员服务费=每名服务人员每月服务费/当月应出勤天数×实际出勤天数）</w:t>
            </w:r>
            <w:r>
              <w:rPr>
                <w:rFonts w:hint="eastAsia" w:ascii="宋体" w:hAnsi="宋体" w:cs="宋体"/>
                <w:b/>
                <w:color w:val="auto"/>
                <w:kern w:val="0"/>
                <w:szCs w:val="21"/>
                <w:highlight w:val="none"/>
              </w:rPr>
              <w:t>-考核扣除费用</w:t>
            </w:r>
            <w:r>
              <w:rPr>
                <w:rFonts w:hint="eastAsia" w:ascii="宋体" w:hAnsi="宋体" w:cs="宋体"/>
                <w:b/>
                <w:color w:val="auto"/>
                <w:kern w:val="0"/>
                <w:szCs w:val="21"/>
                <w:highlight w:val="none"/>
              </w:rPr>
              <w:t>，实际结算金额不超过本项目最高投标限价。在服务期限内，中标单价不因最低工资标准或社会保险等费用而调整。</w:t>
            </w:r>
          </w:p>
          <w:p w14:paraId="069619B9">
            <w:pPr>
              <w:adjustRightInd w:val="0"/>
              <w:snapToGrid w:val="0"/>
              <w:spacing w:line="4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3.本项目投标报价为一次性报价，利润及风险由投标人自行考虑（包括物料物价上涨，桂林市人民政府调整最低工资标准后，按实际情况增加人工费及相应保险费用）。</w:t>
            </w:r>
          </w:p>
          <w:p w14:paraId="47657698">
            <w:pPr>
              <w:adjustRightInd w:val="0"/>
              <w:snapToGrid w:val="0"/>
              <w:spacing w:line="4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4.投标人必须按照《中华人民共和国民法典》的规定与员工签订劳动合同，并按照国家及省市的相关规定为投入本项目人员统一办理社会保险、人员意外伤害等各种保险，承担相关费用。</w:t>
            </w:r>
          </w:p>
          <w:p w14:paraId="1A837B64">
            <w:pPr>
              <w:adjustRightInd w:val="0"/>
              <w:snapToGrid w:val="0"/>
              <w:spacing w:line="4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5.本次报价须为人民币报价，报价应包含人员费用（含员工基本工资、绩效考核、社会保险费、福利费、夜班费、周末及法定假日加班费、服装费等）、体检费、外勤运送订单管理系统软件及相关配套设备、标本箱、提篮、防雨设备及其他设备设施费、通讯费、差旅费、物料、低值易耗品费（含医院用含氯消毒剂等）、固定资产折旧费（项目用电脑、对讲机、工具设备等）、人员培训费、管理费、水电费、合理利润、风险费、法定税费等与本项目相关的所有费用。对于本文件中未列明，而投标人认为必需的费用，也需列入总报价。在合同实施时，采购人将不予支付因合同履行需要发生一方没有列入的项目费用，该部分费用由中标供应商自担，并认为此项目的费用已包括在总报价中。</w:t>
            </w:r>
          </w:p>
          <w:p w14:paraId="41215A75">
            <w:pPr>
              <w:adjustRightInd w:val="0"/>
              <w:snapToGrid w:val="0"/>
              <w:spacing w:line="440" w:lineRule="exact"/>
              <w:rPr>
                <w:rFonts w:ascii="宋体" w:hAnsi="宋体" w:cs="宋体"/>
                <w:b/>
                <w:bCs/>
                <w:color w:val="auto"/>
                <w:kern w:val="0"/>
                <w:szCs w:val="21"/>
                <w:highlight w:val="none"/>
              </w:rPr>
            </w:pPr>
            <w:r>
              <w:rPr>
                <w:rFonts w:hint="eastAsia" w:ascii="宋体" w:hAnsi="宋体" w:cs="宋体"/>
                <w:b/>
                <w:bCs/>
                <w:color w:val="auto"/>
                <w:kern w:val="0"/>
                <w:szCs w:val="21"/>
                <w:highlight w:val="none"/>
              </w:rPr>
              <w:t>6.投标人须自行承担管理服务所需的专用工具物品、办公用品及日常易耗品费（已明确由采购人承担的除外）等相关费用。</w:t>
            </w:r>
          </w:p>
          <w:p w14:paraId="37981E02">
            <w:pPr>
              <w:tabs>
                <w:tab w:val="left" w:pos="1305"/>
              </w:tabs>
              <w:spacing w:line="440" w:lineRule="exact"/>
              <w:rPr>
                <w:rFonts w:ascii="宋体" w:hAnsi="宋体" w:cs="宋体"/>
                <w:b/>
                <w:color w:val="auto"/>
                <w:sz w:val="24"/>
                <w:highlight w:val="none"/>
              </w:rPr>
            </w:pPr>
            <w:r>
              <w:rPr>
                <w:rFonts w:hint="eastAsia" w:ascii="宋体" w:hAnsi="宋体" w:cs="宋体"/>
                <w:b/>
                <w:bCs/>
                <w:color w:val="auto"/>
                <w:kern w:val="0"/>
                <w:szCs w:val="21"/>
                <w:highlight w:val="none"/>
              </w:rPr>
              <w:t>7.其他相关费用由投标人自行承担。</w:t>
            </w:r>
          </w:p>
        </w:tc>
      </w:tr>
    </w:tbl>
    <w:p w14:paraId="3A64D9DD">
      <w:pPr>
        <w:snapToGrid w:val="0"/>
        <w:spacing w:line="280" w:lineRule="exact"/>
        <w:jc w:val="left"/>
        <w:rPr>
          <w:rFonts w:ascii="宋体" w:hAnsi="宋体" w:cs="宋体"/>
          <w:color w:val="auto"/>
          <w:sz w:val="24"/>
          <w:highlight w:val="none"/>
        </w:rPr>
      </w:pPr>
    </w:p>
    <w:p w14:paraId="4A06CB7A">
      <w:pPr>
        <w:snapToGrid w:val="0"/>
        <w:spacing w:line="280" w:lineRule="exact"/>
        <w:jc w:val="left"/>
        <w:rPr>
          <w:rFonts w:ascii="宋体" w:hAnsi="宋体" w:cs="宋体"/>
          <w:color w:val="auto"/>
          <w:sz w:val="24"/>
          <w:highlight w:val="none"/>
        </w:rPr>
      </w:pPr>
    </w:p>
    <w:p w14:paraId="01B8D925">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法定代表人或者委托代理人（签字或者电子签名）：</w:t>
      </w:r>
    </w:p>
    <w:p w14:paraId="2B6F2168">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616158C4">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6E973AB5">
      <w:pPr>
        <w:snapToGrid w:val="0"/>
        <w:spacing w:line="280" w:lineRule="exact"/>
        <w:jc w:val="left"/>
        <w:rPr>
          <w:rFonts w:ascii="宋体" w:hAnsi="宋体" w:cs="宋体"/>
          <w:color w:val="auto"/>
          <w:sz w:val="24"/>
          <w:highlight w:val="none"/>
        </w:rPr>
      </w:pPr>
    </w:p>
    <w:p w14:paraId="3AB413FC">
      <w:pPr>
        <w:snapToGrid w:val="0"/>
        <w:spacing w:line="280" w:lineRule="exact"/>
        <w:jc w:val="left"/>
        <w:rPr>
          <w:rFonts w:ascii="宋体" w:hAnsi="宋体" w:cs="宋体"/>
          <w:color w:val="auto"/>
          <w:sz w:val="24"/>
          <w:highlight w:val="none"/>
        </w:rPr>
      </w:pPr>
    </w:p>
    <w:p w14:paraId="296F897C">
      <w:pPr>
        <w:snapToGrid w:val="0"/>
        <w:spacing w:line="280" w:lineRule="exact"/>
        <w:jc w:val="left"/>
        <w:rPr>
          <w:rFonts w:ascii="宋体" w:hAnsi="宋体" w:cs="宋体"/>
          <w:color w:val="auto"/>
          <w:sz w:val="24"/>
          <w:highlight w:val="none"/>
        </w:rPr>
      </w:pPr>
    </w:p>
    <w:p w14:paraId="36FA12D8">
      <w:pPr>
        <w:snapToGrid w:val="0"/>
        <w:spacing w:line="280" w:lineRule="exact"/>
        <w:jc w:val="left"/>
        <w:rPr>
          <w:rFonts w:ascii="宋体" w:hAnsi="宋体" w:cs="宋体"/>
          <w:color w:val="auto"/>
          <w:sz w:val="24"/>
          <w:highlight w:val="none"/>
        </w:rPr>
      </w:pPr>
    </w:p>
    <w:p w14:paraId="32B1B62C">
      <w:pPr>
        <w:snapToGrid w:val="0"/>
        <w:spacing w:line="480" w:lineRule="exact"/>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66A67752">
      <w:pPr>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1.投标人的开标一览表必须加盖供应商CA电子签章并由法定代表人或者委托代理人签字或者电子签名，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1B3C6D9E">
      <w:pPr>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7845FE4B">
      <w:pPr>
        <w:snapToGrid w:val="0"/>
        <w:spacing w:line="48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3.“开标一览表”中各项内容必须如实填写完整，</w:t>
      </w:r>
      <w:r>
        <w:rPr>
          <w:rFonts w:hint="eastAsia" w:ascii="宋体" w:hAnsi="宋体" w:cs="宋体"/>
          <w:b/>
          <w:color w:val="auto"/>
          <w:sz w:val="24"/>
          <w:highlight w:val="none"/>
        </w:rPr>
        <w:t>填写有缺漏的，投标作无效标处理。</w:t>
      </w:r>
    </w:p>
    <w:p w14:paraId="3039706B">
      <w:pPr>
        <w:snapToGrid w:val="0"/>
        <w:spacing w:line="480" w:lineRule="exact"/>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4.如为联合体投标，盖章处须加盖联合体牵头人电子签章，</w:t>
      </w:r>
      <w:r>
        <w:rPr>
          <w:rFonts w:hint="eastAsia" w:ascii="宋体" w:hAnsi="宋体" w:cs="宋体"/>
          <w:b/>
          <w:color w:val="auto"/>
          <w:spacing w:val="-6"/>
          <w:sz w:val="24"/>
          <w:highlight w:val="none"/>
        </w:rPr>
        <w:t>否则其投标作无效标处理。</w:t>
      </w:r>
    </w:p>
    <w:p w14:paraId="269A8560">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47" w:name="_Toc19686837"/>
      <w:r>
        <w:rPr>
          <w:rFonts w:hint="eastAsia" w:ascii="宋体" w:hAnsi="宋体" w:cs="宋体"/>
          <w:b/>
          <w:color w:val="auto"/>
          <w:sz w:val="28"/>
          <w:szCs w:val="28"/>
          <w:highlight w:val="none"/>
        </w:rPr>
        <w:t>二、资格证明文件格式</w:t>
      </w:r>
      <w:bookmarkEnd w:id="145"/>
      <w:bookmarkEnd w:id="146"/>
      <w:bookmarkEnd w:id="147"/>
    </w:p>
    <w:p w14:paraId="10FB78D0">
      <w:pPr>
        <w:numPr>
          <w:ilvl w:val="2"/>
          <w:numId w:val="8"/>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A567B3D">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02C28511">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B778F99">
      <w:pPr>
        <w:snapToGrid w:val="0"/>
        <w:spacing w:before="120" w:beforeLines="50" w:after="50"/>
        <w:rPr>
          <w:rFonts w:ascii="宋体" w:hAnsi="宋体" w:cs="宋体"/>
          <w:bCs/>
          <w:color w:val="auto"/>
          <w:sz w:val="24"/>
          <w:szCs w:val="20"/>
          <w:highlight w:val="none"/>
        </w:rPr>
      </w:pPr>
    </w:p>
    <w:p w14:paraId="34CCEA27">
      <w:pPr>
        <w:snapToGrid w:val="0"/>
        <w:spacing w:before="120" w:beforeLines="50" w:after="50"/>
        <w:rPr>
          <w:rFonts w:ascii="宋体" w:hAnsi="宋体" w:cs="宋体"/>
          <w:bCs/>
          <w:color w:val="auto"/>
          <w:sz w:val="24"/>
          <w:szCs w:val="20"/>
          <w:highlight w:val="none"/>
        </w:rPr>
      </w:pPr>
    </w:p>
    <w:p w14:paraId="343FB79B">
      <w:pPr>
        <w:snapToGrid w:val="0"/>
        <w:spacing w:before="120" w:beforeLines="50" w:after="50"/>
        <w:rPr>
          <w:rFonts w:ascii="宋体" w:hAnsi="宋体" w:cs="宋体"/>
          <w:bCs/>
          <w:color w:val="auto"/>
          <w:sz w:val="24"/>
          <w:szCs w:val="20"/>
          <w:highlight w:val="none"/>
        </w:rPr>
      </w:pPr>
    </w:p>
    <w:p w14:paraId="0B737C32">
      <w:pPr>
        <w:snapToGrid w:val="0"/>
        <w:spacing w:before="120" w:beforeLines="50" w:after="50"/>
        <w:rPr>
          <w:rFonts w:ascii="宋体" w:hAnsi="宋体" w:cs="宋体"/>
          <w:bCs/>
          <w:color w:val="auto"/>
          <w:sz w:val="24"/>
          <w:szCs w:val="20"/>
          <w:highlight w:val="none"/>
        </w:rPr>
      </w:pPr>
    </w:p>
    <w:p w14:paraId="68703732">
      <w:pPr>
        <w:snapToGrid w:val="0"/>
        <w:spacing w:before="120" w:beforeLines="50" w:after="50"/>
        <w:rPr>
          <w:rFonts w:ascii="宋体" w:hAnsi="宋体" w:cs="宋体"/>
          <w:bCs/>
          <w:color w:val="auto"/>
          <w:sz w:val="24"/>
          <w:szCs w:val="20"/>
          <w:highlight w:val="none"/>
        </w:rPr>
      </w:pPr>
    </w:p>
    <w:p w14:paraId="3402595F">
      <w:pPr>
        <w:snapToGrid w:val="0"/>
        <w:spacing w:before="120" w:beforeLines="50" w:after="50"/>
        <w:rPr>
          <w:rFonts w:ascii="宋体" w:hAnsi="宋体" w:cs="宋体"/>
          <w:bCs/>
          <w:color w:val="auto"/>
          <w:sz w:val="24"/>
          <w:szCs w:val="20"/>
          <w:highlight w:val="none"/>
        </w:rPr>
      </w:pPr>
    </w:p>
    <w:p w14:paraId="592B740B">
      <w:pPr>
        <w:snapToGrid w:val="0"/>
        <w:spacing w:before="120" w:beforeLines="50" w:after="50"/>
        <w:rPr>
          <w:rFonts w:ascii="宋体" w:hAnsi="宋体" w:cs="宋体"/>
          <w:bCs/>
          <w:color w:val="auto"/>
          <w:sz w:val="24"/>
          <w:szCs w:val="20"/>
          <w:highlight w:val="none"/>
        </w:rPr>
      </w:pPr>
    </w:p>
    <w:p w14:paraId="730F9E5D">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393B43DB">
      <w:pPr>
        <w:snapToGrid w:val="0"/>
        <w:spacing w:before="120" w:beforeLines="50" w:after="50"/>
        <w:ind w:firstLine="540" w:firstLineChars="225"/>
        <w:rPr>
          <w:rFonts w:ascii="宋体" w:hAnsi="宋体" w:cs="宋体"/>
          <w:bCs/>
          <w:color w:val="auto"/>
          <w:sz w:val="24"/>
          <w:szCs w:val="20"/>
          <w:highlight w:val="none"/>
        </w:rPr>
      </w:pPr>
    </w:p>
    <w:p w14:paraId="31A6FBF4">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6E1C9FD9">
      <w:pPr>
        <w:snapToGrid w:val="0"/>
        <w:spacing w:before="120" w:beforeLines="50" w:after="50"/>
        <w:ind w:firstLine="540" w:firstLineChars="225"/>
        <w:rPr>
          <w:rFonts w:ascii="宋体" w:hAnsi="宋体" w:cs="宋体"/>
          <w:bCs/>
          <w:color w:val="auto"/>
          <w:sz w:val="24"/>
          <w:szCs w:val="20"/>
          <w:highlight w:val="none"/>
        </w:rPr>
      </w:pPr>
    </w:p>
    <w:p w14:paraId="5B2D2A5D">
      <w:pPr>
        <w:pStyle w:val="6"/>
        <w:snapToGrid w:val="0"/>
        <w:spacing w:before="50" w:after="50"/>
        <w:ind w:firstLine="540" w:firstLineChars="225"/>
        <w:rPr>
          <w:rFonts w:ascii="宋体" w:hAnsi="宋体" w:cs="宋体"/>
          <w:bCs/>
          <w:color w:val="auto"/>
          <w:sz w:val="24"/>
          <w:szCs w:val="24"/>
          <w:highlight w:val="none"/>
        </w:rPr>
      </w:pPr>
    </w:p>
    <w:p w14:paraId="6EBF063A">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15ED41C">
      <w:pPr>
        <w:pStyle w:val="6"/>
        <w:snapToGrid w:val="0"/>
        <w:spacing w:before="50" w:after="50"/>
        <w:ind w:firstLine="540" w:firstLineChars="225"/>
        <w:rPr>
          <w:rFonts w:ascii="宋体" w:hAnsi="宋体" w:cs="宋体"/>
          <w:bCs/>
          <w:color w:val="auto"/>
          <w:sz w:val="24"/>
          <w:szCs w:val="24"/>
          <w:highlight w:val="none"/>
        </w:rPr>
      </w:pPr>
    </w:p>
    <w:p w14:paraId="1DFC0586">
      <w:pPr>
        <w:pStyle w:val="6"/>
        <w:snapToGrid w:val="0"/>
        <w:spacing w:before="50" w:after="50"/>
        <w:ind w:firstLine="960" w:firstLineChars="400"/>
        <w:rPr>
          <w:rFonts w:ascii="宋体" w:hAnsi="宋体" w:cs="宋体"/>
          <w:bCs/>
          <w:color w:val="auto"/>
          <w:sz w:val="24"/>
          <w:szCs w:val="24"/>
          <w:highlight w:val="none"/>
        </w:rPr>
      </w:pPr>
    </w:p>
    <w:p w14:paraId="686CA6DD">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2B4A6D8A">
      <w:pPr>
        <w:snapToGrid w:val="0"/>
        <w:spacing w:before="120" w:beforeLines="50" w:after="50"/>
        <w:rPr>
          <w:rFonts w:ascii="宋体" w:hAnsi="宋体" w:cs="宋体"/>
          <w:color w:val="auto"/>
          <w:sz w:val="24"/>
          <w:szCs w:val="20"/>
          <w:highlight w:val="none"/>
        </w:rPr>
      </w:pPr>
    </w:p>
    <w:p w14:paraId="61590745">
      <w:pPr>
        <w:snapToGrid w:val="0"/>
        <w:spacing w:before="120" w:beforeLines="50" w:after="50"/>
        <w:rPr>
          <w:rFonts w:ascii="宋体" w:hAnsi="宋体" w:cs="宋体"/>
          <w:color w:val="auto"/>
          <w:sz w:val="24"/>
          <w:szCs w:val="20"/>
          <w:highlight w:val="none"/>
        </w:rPr>
      </w:pPr>
    </w:p>
    <w:p w14:paraId="2F78CE7D">
      <w:pPr>
        <w:numPr>
          <w:ilvl w:val="2"/>
          <w:numId w:val="8"/>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489664E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CA8F2EA">
      <w:pPr>
        <w:snapToGrid w:val="0"/>
        <w:spacing w:before="50" w:after="120" w:afterLines="50"/>
        <w:jc w:val="left"/>
        <w:rPr>
          <w:rFonts w:ascii="宋体" w:hAnsi="宋体" w:cs="宋体"/>
          <w:color w:val="auto"/>
          <w:sz w:val="24"/>
          <w:highlight w:val="none"/>
        </w:rPr>
      </w:pPr>
    </w:p>
    <w:p w14:paraId="087BD96C">
      <w:pPr>
        <w:snapToGrid w:val="0"/>
        <w:spacing w:before="50" w:after="120" w:afterLines="50"/>
        <w:jc w:val="left"/>
        <w:rPr>
          <w:rFonts w:ascii="宋体" w:hAnsi="宋体" w:cs="宋体"/>
          <w:color w:val="auto"/>
          <w:sz w:val="24"/>
          <w:highlight w:val="none"/>
        </w:rPr>
      </w:pPr>
    </w:p>
    <w:p w14:paraId="1250B29E">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3CE11B95">
      <w:pPr>
        <w:snapToGrid w:val="0"/>
        <w:spacing w:before="50" w:after="120" w:afterLines="50"/>
        <w:jc w:val="center"/>
        <w:rPr>
          <w:rFonts w:ascii="宋体" w:hAnsi="宋体" w:cs="宋体"/>
          <w:b/>
          <w:color w:val="auto"/>
          <w:sz w:val="28"/>
          <w:szCs w:val="28"/>
          <w:highlight w:val="none"/>
        </w:rPr>
      </w:pPr>
    </w:p>
    <w:p w14:paraId="22EC0836">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D6BB380">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403B45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D2B4F3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189EAD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303CE8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4167AA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34288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D2321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D9125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3A1A052">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A90484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C318124">
            <w:pPr>
              <w:spacing w:line="360" w:lineRule="auto"/>
              <w:jc w:val="center"/>
              <w:rPr>
                <w:rFonts w:ascii="宋体" w:hAnsi="宋体" w:cs="宋体"/>
                <w:color w:val="auto"/>
                <w:kern w:val="0"/>
                <w:sz w:val="24"/>
                <w:highlight w:val="none"/>
              </w:rPr>
            </w:pPr>
          </w:p>
        </w:tc>
      </w:tr>
      <w:tr w14:paraId="4CB40F2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02C26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E854E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60D6B2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BD44CB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A912138">
            <w:pPr>
              <w:spacing w:line="360" w:lineRule="auto"/>
              <w:jc w:val="center"/>
              <w:rPr>
                <w:rFonts w:ascii="宋体" w:hAnsi="宋体" w:cs="宋体"/>
                <w:color w:val="auto"/>
                <w:kern w:val="0"/>
                <w:sz w:val="24"/>
                <w:highlight w:val="none"/>
              </w:rPr>
            </w:pPr>
          </w:p>
        </w:tc>
      </w:tr>
      <w:tr w14:paraId="1944A52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2B517C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85E801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63E44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39DC1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BD9688">
            <w:pPr>
              <w:spacing w:line="360" w:lineRule="auto"/>
              <w:jc w:val="center"/>
              <w:rPr>
                <w:rFonts w:ascii="宋体" w:hAnsi="宋体" w:cs="宋体"/>
                <w:color w:val="auto"/>
                <w:kern w:val="0"/>
                <w:sz w:val="24"/>
                <w:highlight w:val="none"/>
              </w:rPr>
            </w:pPr>
          </w:p>
        </w:tc>
      </w:tr>
      <w:tr w14:paraId="155A763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811A3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8D7A7A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471B9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F94D1D">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10174B">
            <w:pPr>
              <w:spacing w:line="360" w:lineRule="auto"/>
              <w:jc w:val="center"/>
              <w:rPr>
                <w:rFonts w:ascii="宋体" w:hAnsi="宋体" w:cs="宋体"/>
                <w:color w:val="auto"/>
                <w:kern w:val="0"/>
                <w:sz w:val="24"/>
                <w:highlight w:val="none"/>
              </w:rPr>
            </w:pPr>
          </w:p>
        </w:tc>
      </w:tr>
    </w:tbl>
    <w:p w14:paraId="4A75A08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D9D1E2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99E12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D6091F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CCC1B3A">
      <w:pPr>
        <w:snapToGrid w:val="0"/>
        <w:spacing w:line="360" w:lineRule="auto"/>
        <w:jc w:val="left"/>
        <w:rPr>
          <w:rFonts w:ascii="宋体" w:hAnsi="宋体" w:cs="宋体"/>
          <w:color w:val="auto"/>
          <w:sz w:val="24"/>
          <w:highlight w:val="none"/>
        </w:rPr>
      </w:pPr>
    </w:p>
    <w:p w14:paraId="7D3D54E3">
      <w:pPr>
        <w:snapToGrid w:val="0"/>
        <w:spacing w:line="360" w:lineRule="auto"/>
        <w:jc w:val="left"/>
        <w:rPr>
          <w:rFonts w:ascii="宋体" w:hAnsi="宋体" w:cs="宋体"/>
          <w:color w:val="auto"/>
          <w:sz w:val="24"/>
          <w:highlight w:val="none"/>
        </w:rPr>
      </w:pPr>
    </w:p>
    <w:p w14:paraId="34EE79FB">
      <w:pPr>
        <w:snapToGrid w:val="0"/>
        <w:spacing w:line="360" w:lineRule="auto"/>
        <w:jc w:val="left"/>
        <w:rPr>
          <w:rFonts w:ascii="宋体" w:hAnsi="宋体" w:cs="宋体"/>
          <w:color w:val="auto"/>
          <w:sz w:val="24"/>
          <w:highlight w:val="none"/>
        </w:rPr>
      </w:pPr>
    </w:p>
    <w:p w14:paraId="3BCA7337">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60B2E76F">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4A658117">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33161B2F">
      <w:pPr>
        <w:snapToGrid w:val="0"/>
        <w:jc w:val="center"/>
        <w:rPr>
          <w:rFonts w:ascii="宋体" w:hAnsi="宋体" w:cs="宋体"/>
          <w:b/>
          <w:color w:val="auto"/>
          <w:sz w:val="28"/>
          <w:szCs w:val="28"/>
          <w:highlight w:val="none"/>
        </w:rPr>
      </w:pPr>
    </w:p>
    <w:p w14:paraId="721DAD04">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77837593">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4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892AAD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94283D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7C77C5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AF9A47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6265B8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896ABA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DB05DD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20D886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36BC5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AE46F82">
            <w:pPr>
              <w:spacing w:line="360" w:lineRule="auto"/>
              <w:jc w:val="center"/>
              <w:rPr>
                <w:rFonts w:ascii="宋体" w:hAnsi="宋体" w:cs="宋体"/>
                <w:color w:val="auto"/>
                <w:kern w:val="0"/>
                <w:sz w:val="24"/>
                <w:highlight w:val="none"/>
              </w:rPr>
            </w:pPr>
          </w:p>
        </w:tc>
      </w:tr>
      <w:tr w14:paraId="13FC944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445F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515E9F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BDD5A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1BABD4A">
            <w:pPr>
              <w:spacing w:line="360" w:lineRule="auto"/>
              <w:jc w:val="center"/>
              <w:rPr>
                <w:rFonts w:ascii="宋体" w:hAnsi="宋体" w:cs="宋体"/>
                <w:color w:val="auto"/>
                <w:kern w:val="0"/>
                <w:sz w:val="24"/>
                <w:highlight w:val="none"/>
              </w:rPr>
            </w:pPr>
          </w:p>
        </w:tc>
      </w:tr>
      <w:tr w14:paraId="2EAF0D1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BD0495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099A21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ECE56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B29D3CD">
            <w:pPr>
              <w:spacing w:line="360" w:lineRule="auto"/>
              <w:jc w:val="center"/>
              <w:rPr>
                <w:rFonts w:ascii="宋体" w:hAnsi="宋体" w:cs="宋体"/>
                <w:color w:val="auto"/>
                <w:kern w:val="0"/>
                <w:sz w:val="24"/>
                <w:highlight w:val="none"/>
              </w:rPr>
            </w:pPr>
          </w:p>
        </w:tc>
      </w:tr>
      <w:tr w14:paraId="25CDB46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C969B8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D9CD5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A780C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303046E">
            <w:pPr>
              <w:spacing w:line="360" w:lineRule="auto"/>
              <w:jc w:val="center"/>
              <w:rPr>
                <w:rFonts w:ascii="宋体" w:hAnsi="宋体" w:cs="宋体"/>
                <w:color w:val="auto"/>
                <w:kern w:val="0"/>
                <w:sz w:val="24"/>
                <w:highlight w:val="none"/>
              </w:rPr>
            </w:pPr>
          </w:p>
        </w:tc>
      </w:tr>
    </w:tbl>
    <w:p w14:paraId="5F8EE41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7D0570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5EA85B0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BB9C69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21041933">
      <w:pPr>
        <w:snapToGrid w:val="0"/>
        <w:spacing w:line="360" w:lineRule="auto"/>
        <w:jc w:val="left"/>
        <w:rPr>
          <w:rFonts w:ascii="宋体" w:hAnsi="宋体" w:cs="宋体"/>
          <w:color w:val="auto"/>
          <w:sz w:val="24"/>
          <w:highlight w:val="none"/>
        </w:rPr>
      </w:pPr>
    </w:p>
    <w:p w14:paraId="35476FB4">
      <w:pPr>
        <w:snapToGrid w:val="0"/>
        <w:spacing w:line="360" w:lineRule="auto"/>
        <w:jc w:val="left"/>
        <w:rPr>
          <w:rFonts w:ascii="宋体" w:hAnsi="宋体" w:cs="宋体"/>
          <w:color w:val="auto"/>
          <w:sz w:val="24"/>
          <w:highlight w:val="none"/>
        </w:rPr>
      </w:pPr>
    </w:p>
    <w:p w14:paraId="10950C62">
      <w:pPr>
        <w:snapToGrid w:val="0"/>
        <w:spacing w:line="360" w:lineRule="auto"/>
        <w:jc w:val="left"/>
        <w:rPr>
          <w:rFonts w:ascii="宋体" w:hAnsi="宋体" w:cs="宋体"/>
          <w:color w:val="auto"/>
          <w:sz w:val="24"/>
          <w:highlight w:val="none"/>
        </w:rPr>
      </w:pPr>
    </w:p>
    <w:p w14:paraId="4108C3B9">
      <w:pPr>
        <w:snapToGrid w:val="0"/>
        <w:spacing w:line="360" w:lineRule="auto"/>
        <w:jc w:val="left"/>
        <w:rPr>
          <w:rFonts w:ascii="宋体" w:hAnsi="宋体" w:cs="宋体"/>
          <w:color w:val="auto"/>
          <w:sz w:val="24"/>
          <w:highlight w:val="none"/>
        </w:rPr>
      </w:pPr>
    </w:p>
    <w:p w14:paraId="08496BEC">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03BDFCCD">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2A980390">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24CD82E8">
      <w:pPr>
        <w:snapToGrid w:val="0"/>
        <w:spacing w:before="120" w:beforeLines="50" w:after="50"/>
        <w:jc w:val="left"/>
        <w:rPr>
          <w:rFonts w:ascii="宋体" w:hAnsi="宋体" w:cs="宋体"/>
          <w:b/>
          <w:color w:val="auto"/>
          <w:sz w:val="24"/>
          <w:szCs w:val="20"/>
          <w:highlight w:val="none"/>
        </w:rPr>
      </w:pPr>
    </w:p>
    <w:p w14:paraId="7B23BEB7">
      <w:pPr>
        <w:snapToGrid w:val="0"/>
        <w:spacing w:line="360" w:lineRule="auto"/>
        <w:ind w:right="480" w:firstLine="210" w:firstLineChars="100"/>
        <w:jc w:val="left"/>
        <w:rPr>
          <w:rFonts w:ascii="宋体" w:hAnsi="宋体" w:cs="宋体"/>
          <w:color w:val="auto"/>
          <w:szCs w:val="21"/>
          <w:highlight w:val="none"/>
        </w:rPr>
      </w:pPr>
    </w:p>
    <w:p w14:paraId="25587AC7">
      <w:pPr>
        <w:snapToGrid w:val="0"/>
        <w:spacing w:before="120" w:beforeLines="50" w:after="50"/>
        <w:jc w:val="left"/>
        <w:rPr>
          <w:rFonts w:ascii="宋体" w:hAnsi="宋体" w:cs="宋体"/>
          <w:b/>
          <w:color w:val="auto"/>
          <w:sz w:val="24"/>
          <w:szCs w:val="20"/>
          <w:highlight w:val="none"/>
        </w:rPr>
      </w:pPr>
    </w:p>
    <w:p w14:paraId="4E6AE75A">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763A5756">
      <w:pPr>
        <w:snapToGrid w:val="0"/>
        <w:spacing w:before="50" w:after="120" w:afterLines="50"/>
        <w:jc w:val="left"/>
        <w:rPr>
          <w:rFonts w:ascii="宋体" w:hAnsi="宋体" w:cs="宋体"/>
          <w:color w:val="auto"/>
          <w:highlight w:val="none"/>
        </w:rPr>
      </w:pPr>
    </w:p>
    <w:p w14:paraId="373570CF">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183584B3">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58309627">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5AFD28D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D139AD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42702F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57A8A82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7C488AE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0605C7D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26D049C4">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1FAAA2B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70304CD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0801E86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4C3E2FC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8BCD100">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4EAA9456">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01098EF2">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66BD9C60">
      <w:pPr>
        <w:spacing w:line="440" w:lineRule="exact"/>
        <w:contextualSpacing/>
        <w:rPr>
          <w:rFonts w:ascii="宋体" w:hAnsi="宋体" w:cs="宋体"/>
          <w:b/>
          <w:color w:val="auto"/>
          <w:sz w:val="24"/>
          <w:highlight w:val="none"/>
        </w:rPr>
      </w:pPr>
      <w:bookmarkStart w:id="148" w:name="_Toc19686838"/>
      <w:r>
        <w:rPr>
          <w:rFonts w:hint="eastAsia" w:ascii="宋体" w:hAnsi="宋体" w:cs="宋体"/>
          <w:b/>
          <w:color w:val="auto"/>
          <w:sz w:val="24"/>
          <w:highlight w:val="none"/>
        </w:rPr>
        <w:t>注：如为联合体投标，盖章处须加盖联合体牵头人电子签章并由联合体各方法定代表人分别签字或者盖章或者电子签名，否则投标无效。</w:t>
      </w:r>
    </w:p>
    <w:p w14:paraId="1324ED24">
      <w:pPr>
        <w:snapToGrid w:val="0"/>
        <w:spacing w:before="120" w:beforeLines="50" w:after="50"/>
        <w:jc w:val="left"/>
        <w:rPr>
          <w:rFonts w:ascii="宋体" w:hAnsi="宋体" w:cs="宋体"/>
          <w:color w:val="auto"/>
          <w:highlight w:val="none"/>
        </w:rPr>
      </w:pPr>
      <w:r>
        <w:rPr>
          <w:rFonts w:hint="eastAsia" w:ascii="宋体" w:hAnsi="宋体" w:cs="宋体"/>
          <w:b/>
          <w:color w:val="auto"/>
          <w:sz w:val="28"/>
          <w:szCs w:val="28"/>
          <w:highlight w:val="none"/>
        </w:rPr>
        <w:br w:type="page"/>
      </w:r>
      <w:r>
        <w:rPr>
          <w:rFonts w:hint="eastAsia" w:ascii="宋体" w:hAnsi="宋体" w:cs="宋体"/>
          <w:b/>
          <w:color w:val="auto"/>
          <w:sz w:val="24"/>
          <w:highlight w:val="none"/>
        </w:rPr>
        <w:t>6.中小企业声明函格式</w:t>
      </w:r>
    </w:p>
    <w:p w14:paraId="0AAA29FD">
      <w:pPr>
        <w:rPr>
          <w:rFonts w:ascii="宋体" w:hAnsi="宋体" w:cs="宋体"/>
          <w:color w:val="auto"/>
          <w:highlight w:val="none"/>
        </w:rPr>
      </w:pPr>
    </w:p>
    <w:p w14:paraId="3D199352">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19358469">
      <w:pPr>
        <w:spacing w:before="2" w:line="500" w:lineRule="exact"/>
        <w:rPr>
          <w:rFonts w:ascii="宋体" w:hAnsi="宋体" w:cs="宋体"/>
          <w:b/>
          <w:bCs/>
          <w:color w:val="auto"/>
          <w:sz w:val="27"/>
          <w:szCs w:val="27"/>
          <w:highlight w:val="none"/>
        </w:rPr>
      </w:pPr>
    </w:p>
    <w:p w14:paraId="35257EE5">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本公司郑重声明，根据《政府采购促进中小企业发展管理办法》（财库﹝2020﹞46 号）的规定，本公司参加</w:t>
      </w:r>
      <w:r>
        <w:rPr>
          <w:rFonts w:hint="eastAsia" w:asciiTheme="majorEastAsia" w:hAnsiTheme="majorEastAsia" w:eastAsiaTheme="majorEastAsia" w:cstheme="majorEastAsia"/>
          <w:color w:val="auto"/>
          <w:kern w:val="0"/>
          <w:sz w:val="24"/>
          <w:highlight w:val="none"/>
          <w:u w:val="single"/>
        </w:rPr>
        <w:t>（单位名称）</w:t>
      </w:r>
      <w:r>
        <w:rPr>
          <w:rFonts w:hint="eastAsia" w:asciiTheme="majorEastAsia" w:hAnsiTheme="majorEastAsia" w:eastAsiaTheme="majorEastAsia" w:cstheme="majorEastAsia"/>
          <w:color w:val="auto"/>
          <w:kern w:val="0"/>
          <w:sz w:val="24"/>
          <w:highlight w:val="none"/>
        </w:rPr>
        <w:t>的</w:t>
      </w:r>
      <w:r>
        <w:rPr>
          <w:rFonts w:hint="eastAsia" w:asciiTheme="majorEastAsia" w:hAnsiTheme="majorEastAsia" w:eastAsiaTheme="majorEastAsia" w:cstheme="majorEastAsia"/>
          <w:color w:val="auto"/>
          <w:kern w:val="0"/>
          <w:sz w:val="24"/>
          <w:highlight w:val="none"/>
          <w:u w:val="single"/>
        </w:rPr>
        <w:t>（项目名称）</w:t>
      </w:r>
      <w:r>
        <w:rPr>
          <w:rFonts w:hint="eastAsia" w:asciiTheme="majorEastAsia" w:hAnsiTheme="majorEastAsia" w:eastAsiaTheme="majorEastAsia" w:cstheme="majorEastAsia"/>
          <w:color w:val="auto"/>
          <w:kern w:val="0"/>
          <w:sz w:val="24"/>
          <w:highlight w:val="none"/>
        </w:rPr>
        <w:t>采购活动，服务全部由符合政策要求的中小企业承接。相关企业的具体情况如下：</w:t>
      </w:r>
    </w:p>
    <w:p w14:paraId="7A81ED5B">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u w:val="single"/>
        </w:rPr>
        <w:t>（标的名称）</w:t>
      </w:r>
      <w:r>
        <w:rPr>
          <w:rFonts w:hint="eastAsia" w:asciiTheme="majorEastAsia" w:hAnsiTheme="majorEastAsia" w:eastAsiaTheme="majorEastAsia" w:cstheme="majorEastAsia"/>
          <w:color w:val="auto"/>
          <w:kern w:val="0"/>
          <w:sz w:val="24"/>
          <w:highlight w:val="none"/>
        </w:rPr>
        <w:t>，属于</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 xml:space="preserve"> 行业；承接企业为</w:t>
      </w:r>
      <w:r>
        <w:rPr>
          <w:rFonts w:hint="eastAsia" w:asciiTheme="majorEastAsia" w:hAnsiTheme="majorEastAsia" w:eastAsiaTheme="majorEastAsia" w:cstheme="majorEastAsia"/>
          <w:color w:val="auto"/>
          <w:kern w:val="0"/>
          <w:sz w:val="24"/>
          <w:highlight w:val="none"/>
          <w:u w:val="single"/>
        </w:rPr>
        <w:t>（企业名称）</w:t>
      </w:r>
      <w:r>
        <w:rPr>
          <w:rFonts w:hint="eastAsia" w:asciiTheme="majorEastAsia" w:hAnsiTheme="majorEastAsia" w:eastAsiaTheme="majorEastAsia" w:cstheme="majorEastAsia"/>
          <w:color w:val="auto"/>
          <w:kern w:val="0"/>
          <w:sz w:val="24"/>
          <w:highlight w:val="none"/>
        </w:rPr>
        <w:t>，从业人员</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人，营业收入为</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万元，资产总额为</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万元，属于</w:t>
      </w:r>
      <w:r>
        <w:rPr>
          <w:rFonts w:hint="eastAsia" w:asciiTheme="majorEastAsia" w:hAnsiTheme="majorEastAsia" w:eastAsiaTheme="majorEastAsia" w:cstheme="majorEastAsia"/>
          <w:color w:val="auto"/>
          <w:kern w:val="0"/>
          <w:sz w:val="24"/>
          <w:highlight w:val="none"/>
          <w:u w:val="single"/>
        </w:rPr>
        <w:t>（中型企业、小型企业、微型企业）</w:t>
      </w:r>
      <w:r>
        <w:rPr>
          <w:rFonts w:hint="eastAsia" w:asciiTheme="majorEastAsia" w:hAnsiTheme="majorEastAsia" w:eastAsiaTheme="majorEastAsia" w:cstheme="majorEastAsia"/>
          <w:color w:val="auto"/>
          <w:kern w:val="0"/>
          <w:sz w:val="24"/>
          <w:highlight w:val="none"/>
        </w:rPr>
        <w:t>；</w:t>
      </w:r>
    </w:p>
    <w:p w14:paraId="657BB7EA">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以上企业，不属于大企业的分支机构，不存在控股股东为大企业的情形，也不存在与大企业的负责人为同一人的情形。</w:t>
      </w:r>
    </w:p>
    <w:p w14:paraId="564B6F96">
      <w:pPr>
        <w:spacing w:line="440" w:lineRule="exact"/>
        <w:ind w:firstLine="480" w:firstLineChars="2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本企业对上述声明内容的真实性负责。如有虚假，将依法承担相应责任。</w:t>
      </w:r>
    </w:p>
    <w:p w14:paraId="2704B6B1">
      <w:pPr>
        <w:tabs>
          <w:tab w:val="left" w:pos="4860"/>
        </w:tabs>
        <w:spacing w:line="440" w:lineRule="exact"/>
        <w:ind w:right="1560" w:firstLine="480" w:firstLineChars="200"/>
        <w:jc w:val="center"/>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               </w:t>
      </w:r>
      <w:r>
        <w:rPr>
          <w:rFonts w:hint="eastAsia" w:asciiTheme="majorEastAsia" w:hAnsiTheme="majorEastAsia" w:eastAsiaTheme="majorEastAsia" w:cstheme="majorEastAsia"/>
          <w:color w:val="auto"/>
          <w:sz w:val="24"/>
          <w:highlight w:val="none"/>
        </w:rPr>
        <w:t>供应商电子签章</w:t>
      </w:r>
      <w:r>
        <w:rPr>
          <w:rFonts w:hint="eastAsia" w:asciiTheme="majorEastAsia" w:hAnsiTheme="majorEastAsia" w:eastAsiaTheme="majorEastAsia" w:cstheme="majorEastAsia"/>
          <w:color w:val="auto"/>
          <w:kern w:val="0"/>
          <w:sz w:val="24"/>
          <w:highlight w:val="none"/>
        </w:rPr>
        <w:t xml:space="preserve">： </w:t>
      </w:r>
    </w:p>
    <w:p w14:paraId="7AE17F09">
      <w:pPr>
        <w:snapToGrid w:val="0"/>
        <w:spacing w:before="120" w:beforeLines="50" w:after="50" w:line="440" w:lineRule="exact"/>
        <w:ind w:firstLine="480" w:firstLineChars="200"/>
        <w:jc w:val="left"/>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                                   日  期：</w:t>
      </w:r>
    </w:p>
    <w:p w14:paraId="37D37B33">
      <w:pPr>
        <w:spacing w:line="480" w:lineRule="exact"/>
        <w:ind w:firstLine="480" w:firstLineChars="200"/>
        <w:rPr>
          <w:rFonts w:ascii="宋体" w:hAnsi="宋体" w:cs="宋体"/>
          <w:color w:val="auto"/>
          <w:kern w:val="0"/>
          <w:sz w:val="24"/>
          <w:highlight w:val="none"/>
        </w:rPr>
      </w:pPr>
    </w:p>
    <w:p w14:paraId="472A21FA">
      <w:pPr>
        <w:pStyle w:val="18"/>
        <w:spacing w:line="360" w:lineRule="auto"/>
        <w:ind w:left="3960" w:right="1808"/>
        <w:contextualSpacing/>
        <w:rPr>
          <w:rFonts w:ascii="宋体" w:hAnsi="宋体" w:cs="宋体"/>
          <w:color w:val="auto"/>
          <w:kern w:val="24"/>
          <w:highlight w:val="none"/>
        </w:rPr>
      </w:pPr>
    </w:p>
    <w:p w14:paraId="3666547B">
      <w:pPr>
        <w:pStyle w:val="18"/>
        <w:spacing w:line="360" w:lineRule="auto"/>
        <w:ind w:left="3960" w:right="1808"/>
        <w:contextualSpacing/>
        <w:rPr>
          <w:rFonts w:ascii="宋体" w:hAnsi="宋体" w:cs="宋体"/>
          <w:color w:val="auto"/>
          <w:kern w:val="24"/>
          <w:highlight w:val="none"/>
        </w:rPr>
      </w:pPr>
    </w:p>
    <w:p w14:paraId="0EC3B24D">
      <w:pPr>
        <w:pStyle w:val="18"/>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049BEF9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7.残疾人福利性单位声明函格式</w:t>
      </w:r>
    </w:p>
    <w:p w14:paraId="6D444A5A">
      <w:pPr>
        <w:spacing w:line="588" w:lineRule="exact"/>
        <w:jc w:val="center"/>
        <w:rPr>
          <w:rFonts w:ascii="宋体" w:hAnsi="宋体" w:cs="宋体"/>
          <w:b/>
          <w:color w:val="auto"/>
          <w:spacing w:val="6"/>
          <w:sz w:val="32"/>
          <w:szCs w:val="32"/>
          <w:highlight w:val="none"/>
        </w:rPr>
      </w:pPr>
    </w:p>
    <w:p w14:paraId="6FE5433F">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4951BF19">
      <w:pPr>
        <w:spacing w:line="360" w:lineRule="auto"/>
        <w:contextualSpacing/>
        <w:rPr>
          <w:rFonts w:ascii="宋体" w:hAnsi="宋体" w:cs="宋体"/>
          <w:bCs/>
          <w:color w:val="auto"/>
          <w:spacing w:val="6"/>
          <w:sz w:val="30"/>
          <w:szCs w:val="30"/>
          <w:highlight w:val="none"/>
        </w:rPr>
      </w:pPr>
    </w:p>
    <w:p w14:paraId="601CFB9F">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52EDDEEC">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0A8DED9D">
      <w:pPr>
        <w:spacing w:line="360" w:lineRule="auto"/>
        <w:ind w:firstLine="504" w:firstLineChars="200"/>
        <w:contextualSpacing/>
        <w:rPr>
          <w:rFonts w:ascii="宋体" w:hAnsi="宋体" w:cs="宋体"/>
          <w:color w:val="auto"/>
          <w:spacing w:val="6"/>
          <w:sz w:val="24"/>
          <w:highlight w:val="none"/>
        </w:rPr>
      </w:pPr>
    </w:p>
    <w:p w14:paraId="01E14667">
      <w:pPr>
        <w:spacing w:line="360" w:lineRule="auto"/>
        <w:ind w:firstLine="504" w:firstLineChars="200"/>
        <w:contextualSpacing/>
        <w:rPr>
          <w:rFonts w:ascii="宋体" w:hAnsi="宋体" w:cs="宋体"/>
          <w:color w:val="auto"/>
          <w:spacing w:val="6"/>
          <w:sz w:val="24"/>
          <w:highlight w:val="none"/>
        </w:rPr>
      </w:pPr>
    </w:p>
    <w:p w14:paraId="3A5690E5">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260172DE">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20A078AE">
      <w:pPr>
        <w:spacing w:line="360" w:lineRule="auto"/>
        <w:contextualSpacing/>
        <w:rPr>
          <w:rFonts w:ascii="宋体" w:hAnsi="宋体" w:cs="宋体"/>
          <w:color w:val="auto"/>
          <w:sz w:val="24"/>
          <w:highlight w:val="none"/>
        </w:rPr>
      </w:pPr>
    </w:p>
    <w:p w14:paraId="4742705F">
      <w:pPr>
        <w:spacing w:line="360" w:lineRule="auto"/>
        <w:contextualSpacing/>
        <w:rPr>
          <w:rFonts w:ascii="宋体" w:hAnsi="宋体" w:cs="宋体"/>
          <w:color w:val="auto"/>
          <w:sz w:val="24"/>
          <w:highlight w:val="none"/>
        </w:rPr>
      </w:pPr>
    </w:p>
    <w:p w14:paraId="5ADDB916">
      <w:pPr>
        <w:spacing w:line="360" w:lineRule="auto"/>
        <w:contextualSpacing/>
        <w:rPr>
          <w:rFonts w:ascii="宋体" w:hAnsi="宋体" w:cs="宋体"/>
          <w:color w:val="auto"/>
          <w:sz w:val="24"/>
          <w:highlight w:val="none"/>
        </w:rPr>
      </w:pPr>
    </w:p>
    <w:p w14:paraId="0712734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9DC84E3">
      <w:pPr>
        <w:rPr>
          <w:rFonts w:ascii="宋体" w:hAnsi="宋体" w:cs="宋体"/>
          <w:b/>
          <w:color w:val="auto"/>
          <w:sz w:val="28"/>
          <w:szCs w:val="28"/>
          <w:highlight w:val="none"/>
        </w:rPr>
      </w:pPr>
    </w:p>
    <w:p w14:paraId="4BE2F778">
      <w:pPr>
        <w:rPr>
          <w:rFonts w:ascii="宋体" w:hAnsi="宋体" w:cs="宋体"/>
          <w:b/>
          <w:color w:val="auto"/>
          <w:sz w:val="28"/>
          <w:szCs w:val="28"/>
          <w:highlight w:val="none"/>
        </w:rPr>
      </w:pPr>
    </w:p>
    <w:p w14:paraId="5D3C8BDC">
      <w:pPr>
        <w:rPr>
          <w:rFonts w:ascii="宋体" w:hAnsi="宋体" w:cs="宋体"/>
          <w:b/>
          <w:color w:val="auto"/>
          <w:sz w:val="28"/>
          <w:szCs w:val="28"/>
          <w:highlight w:val="none"/>
        </w:rPr>
      </w:pPr>
    </w:p>
    <w:p w14:paraId="76CE6BE2">
      <w:pPr>
        <w:rPr>
          <w:rFonts w:ascii="宋体" w:hAnsi="宋体" w:cs="宋体"/>
          <w:b/>
          <w:color w:val="auto"/>
          <w:sz w:val="28"/>
          <w:szCs w:val="28"/>
          <w:highlight w:val="none"/>
        </w:rPr>
      </w:pPr>
    </w:p>
    <w:p w14:paraId="680DABB2">
      <w:pPr>
        <w:rPr>
          <w:rFonts w:ascii="宋体" w:hAnsi="宋体" w:cs="宋体"/>
          <w:b/>
          <w:color w:val="auto"/>
          <w:sz w:val="28"/>
          <w:szCs w:val="28"/>
          <w:highlight w:val="none"/>
        </w:rPr>
      </w:pPr>
    </w:p>
    <w:p w14:paraId="6F80A966">
      <w:pPr>
        <w:rPr>
          <w:rFonts w:ascii="宋体" w:hAnsi="宋体" w:cs="宋体"/>
          <w:b/>
          <w:color w:val="auto"/>
          <w:sz w:val="28"/>
          <w:szCs w:val="28"/>
          <w:highlight w:val="none"/>
        </w:rPr>
      </w:pPr>
    </w:p>
    <w:p w14:paraId="35EF90D0">
      <w:pPr>
        <w:rPr>
          <w:rFonts w:ascii="宋体" w:hAnsi="宋体" w:cs="宋体"/>
          <w:b/>
          <w:color w:val="auto"/>
          <w:sz w:val="28"/>
          <w:szCs w:val="28"/>
          <w:highlight w:val="none"/>
        </w:rPr>
      </w:pPr>
    </w:p>
    <w:p w14:paraId="42933EA0">
      <w:pPr>
        <w:rPr>
          <w:rFonts w:ascii="宋体" w:hAnsi="宋体" w:cs="宋体"/>
          <w:b/>
          <w:color w:val="auto"/>
          <w:sz w:val="28"/>
          <w:szCs w:val="28"/>
          <w:highlight w:val="none"/>
        </w:rPr>
      </w:pPr>
    </w:p>
    <w:p w14:paraId="25D64968">
      <w:pPr>
        <w:rPr>
          <w:rFonts w:ascii="宋体" w:hAnsi="宋体" w:cs="宋体"/>
          <w:b/>
          <w:color w:val="auto"/>
          <w:sz w:val="28"/>
          <w:szCs w:val="28"/>
          <w:highlight w:val="none"/>
        </w:rPr>
      </w:pPr>
    </w:p>
    <w:p w14:paraId="28CAE6FC">
      <w:pPr>
        <w:rPr>
          <w:rFonts w:ascii="宋体" w:hAnsi="宋体" w:cs="宋体"/>
          <w:b/>
          <w:color w:val="auto"/>
          <w:sz w:val="28"/>
          <w:szCs w:val="28"/>
          <w:highlight w:val="none"/>
        </w:rPr>
      </w:pPr>
    </w:p>
    <w:p w14:paraId="0B0C20F9">
      <w:pPr>
        <w:rPr>
          <w:rFonts w:ascii="宋体" w:hAnsi="宋体" w:cs="宋体"/>
          <w:b/>
          <w:color w:val="auto"/>
          <w:sz w:val="28"/>
          <w:szCs w:val="28"/>
          <w:highlight w:val="none"/>
        </w:rPr>
      </w:pPr>
      <w:r>
        <w:rPr>
          <w:rFonts w:hint="eastAsia" w:ascii="宋体" w:hAnsi="宋体" w:cs="宋体"/>
          <w:b/>
          <w:color w:val="auto"/>
          <w:sz w:val="28"/>
          <w:szCs w:val="28"/>
          <w:highlight w:val="none"/>
        </w:rPr>
        <w:t>三、商务文件格式</w:t>
      </w:r>
      <w:bookmarkEnd w:id="148"/>
    </w:p>
    <w:p w14:paraId="6B59B89C">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6C0C35CD">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2B78E08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57495F0C">
      <w:pPr>
        <w:snapToGrid w:val="0"/>
        <w:spacing w:before="120" w:beforeLines="50" w:after="50"/>
        <w:rPr>
          <w:rFonts w:ascii="宋体" w:hAnsi="宋体" w:cs="宋体"/>
          <w:bCs/>
          <w:color w:val="auto"/>
          <w:sz w:val="24"/>
          <w:szCs w:val="20"/>
          <w:highlight w:val="none"/>
        </w:rPr>
      </w:pPr>
    </w:p>
    <w:p w14:paraId="34D03351">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324D69BE">
      <w:pPr>
        <w:snapToGrid w:val="0"/>
        <w:spacing w:before="120" w:beforeLines="50" w:after="50"/>
        <w:ind w:firstLine="540" w:firstLineChars="225"/>
        <w:rPr>
          <w:rFonts w:ascii="宋体" w:hAnsi="宋体" w:cs="宋体"/>
          <w:bCs/>
          <w:color w:val="auto"/>
          <w:sz w:val="24"/>
          <w:szCs w:val="20"/>
          <w:highlight w:val="none"/>
        </w:rPr>
      </w:pPr>
    </w:p>
    <w:p w14:paraId="5EDE6428">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14B52CF9">
      <w:pPr>
        <w:snapToGrid w:val="0"/>
        <w:spacing w:before="120" w:beforeLines="50" w:after="50"/>
        <w:ind w:firstLine="540" w:firstLineChars="225"/>
        <w:rPr>
          <w:rFonts w:ascii="宋体" w:hAnsi="宋体" w:cs="宋体"/>
          <w:bCs/>
          <w:color w:val="auto"/>
          <w:sz w:val="24"/>
          <w:szCs w:val="20"/>
          <w:highlight w:val="none"/>
        </w:rPr>
      </w:pPr>
    </w:p>
    <w:p w14:paraId="058B0927">
      <w:pPr>
        <w:snapToGrid w:val="0"/>
        <w:spacing w:before="120" w:beforeLines="50" w:after="50"/>
        <w:ind w:firstLine="540" w:firstLineChars="225"/>
        <w:rPr>
          <w:rFonts w:ascii="宋体" w:hAnsi="宋体" w:cs="宋体"/>
          <w:bCs/>
          <w:color w:val="auto"/>
          <w:sz w:val="24"/>
          <w:szCs w:val="20"/>
          <w:highlight w:val="none"/>
        </w:rPr>
      </w:pPr>
    </w:p>
    <w:p w14:paraId="41EAD597">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910D313">
      <w:pPr>
        <w:pStyle w:val="6"/>
        <w:snapToGrid w:val="0"/>
        <w:spacing w:before="50" w:after="50"/>
        <w:ind w:firstLine="540" w:firstLineChars="225"/>
        <w:rPr>
          <w:rFonts w:ascii="宋体" w:hAnsi="宋体" w:cs="宋体"/>
          <w:bCs/>
          <w:color w:val="auto"/>
          <w:sz w:val="24"/>
          <w:szCs w:val="24"/>
          <w:highlight w:val="none"/>
        </w:rPr>
      </w:pPr>
    </w:p>
    <w:p w14:paraId="457E7C35">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06FE435">
      <w:pPr>
        <w:pStyle w:val="6"/>
        <w:snapToGrid w:val="0"/>
        <w:spacing w:before="50" w:after="50"/>
        <w:ind w:firstLine="960" w:firstLineChars="400"/>
        <w:rPr>
          <w:rFonts w:ascii="宋体" w:hAnsi="宋体" w:cs="宋体"/>
          <w:bCs/>
          <w:color w:val="auto"/>
          <w:sz w:val="24"/>
          <w:szCs w:val="24"/>
          <w:highlight w:val="none"/>
        </w:rPr>
      </w:pPr>
    </w:p>
    <w:p w14:paraId="7F928EC1">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347B8996">
      <w:pPr>
        <w:snapToGrid w:val="0"/>
        <w:spacing w:before="120" w:beforeLines="50" w:after="50"/>
        <w:rPr>
          <w:rFonts w:ascii="宋体" w:hAnsi="宋体" w:cs="宋体"/>
          <w:color w:val="auto"/>
          <w:sz w:val="24"/>
          <w:szCs w:val="20"/>
          <w:highlight w:val="none"/>
        </w:rPr>
      </w:pPr>
    </w:p>
    <w:p w14:paraId="025A028F">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5220CADD">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4F1372DA">
      <w:pPr>
        <w:snapToGrid w:val="0"/>
        <w:spacing w:before="50" w:after="120" w:afterLines="50"/>
        <w:jc w:val="left"/>
        <w:rPr>
          <w:rFonts w:ascii="宋体" w:hAnsi="宋体" w:cs="宋体"/>
          <w:color w:val="auto"/>
          <w:highlight w:val="none"/>
        </w:rPr>
      </w:pPr>
    </w:p>
    <w:p w14:paraId="3829FBA0">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3DA6E837">
      <w:pPr>
        <w:snapToGrid w:val="0"/>
        <w:spacing w:before="120" w:beforeLines="50" w:after="50"/>
        <w:jc w:val="left"/>
        <w:rPr>
          <w:rFonts w:ascii="宋体" w:hAnsi="宋体" w:cs="宋体"/>
          <w:b/>
          <w:color w:val="auto"/>
          <w:sz w:val="24"/>
          <w:highlight w:val="none"/>
        </w:rPr>
      </w:pPr>
    </w:p>
    <w:p w14:paraId="47275D92">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4C3D90D7">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70EA6A09">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6BF2C49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5B6DCA3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1DF3CB0B">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2CC132C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0AC59E3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A54488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6E6E3522">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14F94301">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398C3556">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52E6F20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00DF722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1729F3F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F81295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591CC9EF">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07BC29F">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66E61DB5">
      <w:pPr>
        <w:pStyle w:val="25"/>
        <w:spacing w:line="440" w:lineRule="exact"/>
        <w:ind w:firstLine="6840" w:firstLineChars="2850"/>
        <w:contextualSpacing/>
        <w:rPr>
          <w:rFonts w:hAnsi="宋体" w:cs="宋体"/>
          <w:color w:val="auto"/>
          <w:sz w:val="24"/>
          <w:szCs w:val="24"/>
          <w:highlight w:val="none"/>
        </w:rPr>
      </w:pPr>
    </w:p>
    <w:p w14:paraId="250EA1B1">
      <w:pPr>
        <w:pStyle w:val="25"/>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投标人名称（电子签章）</w:t>
      </w:r>
    </w:p>
    <w:p w14:paraId="3D5DBD39">
      <w:pPr>
        <w:pStyle w:val="25"/>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5030F6D8">
      <w:pPr>
        <w:snapToGrid w:val="0"/>
        <w:spacing w:before="120" w:beforeLines="50" w:after="50"/>
        <w:jc w:val="left"/>
        <w:rPr>
          <w:rFonts w:ascii="宋体" w:hAnsi="宋体" w:cs="宋体"/>
          <w:b/>
          <w:color w:val="auto"/>
          <w:sz w:val="24"/>
          <w:highlight w:val="none"/>
        </w:rPr>
      </w:pPr>
    </w:p>
    <w:p w14:paraId="017A8CB9">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557536EC">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CC8F1E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13F4D4A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328EEB2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2FE0F564">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6432C136">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0A2B243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34180AAC">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195E3C08">
      <w:pPr>
        <w:spacing w:line="500" w:lineRule="exact"/>
        <w:ind w:left="540"/>
        <w:rPr>
          <w:rFonts w:ascii="宋体" w:hAnsi="宋体" w:cs="宋体"/>
          <w:color w:val="auto"/>
          <w:sz w:val="24"/>
          <w:highlight w:val="none"/>
        </w:rPr>
      </w:pPr>
    </w:p>
    <w:p w14:paraId="4F31C6B0">
      <w:pPr>
        <w:spacing w:line="500" w:lineRule="exact"/>
        <w:ind w:left="540"/>
        <w:rPr>
          <w:rFonts w:ascii="宋体" w:hAnsi="宋体" w:cs="宋体"/>
          <w:color w:val="auto"/>
          <w:sz w:val="24"/>
          <w:highlight w:val="none"/>
        </w:rPr>
      </w:pPr>
    </w:p>
    <w:p w14:paraId="43A0283A">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2340E30">
      <w:pPr>
        <w:spacing w:line="500" w:lineRule="exact"/>
        <w:ind w:left="540"/>
        <w:rPr>
          <w:rFonts w:ascii="宋体" w:hAnsi="宋体" w:cs="宋体"/>
          <w:color w:val="auto"/>
          <w:sz w:val="24"/>
          <w:highlight w:val="none"/>
        </w:rPr>
      </w:pPr>
    </w:p>
    <w:p w14:paraId="52112E77">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投标人名称（电子签章）</w:t>
      </w:r>
    </w:p>
    <w:p w14:paraId="78305BC6">
      <w:pPr>
        <w:spacing w:line="500" w:lineRule="exact"/>
        <w:ind w:left="540"/>
        <w:jc w:val="right"/>
        <w:rPr>
          <w:rFonts w:ascii="宋体" w:hAnsi="宋体" w:cs="宋体"/>
          <w:color w:val="auto"/>
          <w:sz w:val="24"/>
          <w:highlight w:val="none"/>
        </w:rPr>
      </w:pPr>
    </w:p>
    <w:p w14:paraId="723DC53F">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46C4E7B7">
      <w:pPr>
        <w:snapToGrid w:val="0"/>
        <w:spacing w:before="120" w:beforeLines="50" w:after="50"/>
        <w:jc w:val="center"/>
        <w:rPr>
          <w:rFonts w:ascii="宋体" w:hAnsi="宋体" w:cs="宋体"/>
          <w:b/>
          <w:color w:val="auto"/>
          <w:sz w:val="24"/>
          <w:highlight w:val="none"/>
        </w:rPr>
      </w:pPr>
    </w:p>
    <w:p w14:paraId="0AFA2BA1">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3A68724A">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53F56091">
      <w:pPr>
        <w:snapToGrid w:val="0"/>
        <w:spacing w:before="120" w:beforeLines="50" w:after="50"/>
        <w:jc w:val="center"/>
        <w:rPr>
          <w:rFonts w:ascii="宋体" w:hAnsi="宋体" w:cs="宋体"/>
          <w:b/>
          <w:color w:val="auto"/>
          <w:sz w:val="44"/>
          <w:szCs w:val="44"/>
          <w:highlight w:val="none"/>
        </w:rPr>
      </w:pPr>
    </w:p>
    <w:p w14:paraId="078672CC">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4BEEA099">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1C93F908">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73C56D83">
      <w:pPr>
        <w:spacing w:line="440" w:lineRule="exact"/>
        <w:contextualSpacing/>
        <w:jc w:val="center"/>
        <w:rPr>
          <w:rFonts w:ascii="宋体" w:hAnsi="宋体" w:cs="宋体"/>
          <w:b/>
          <w:color w:val="auto"/>
          <w:sz w:val="24"/>
          <w:highlight w:val="none"/>
        </w:rPr>
      </w:pPr>
    </w:p>
    <w:p w14:paraId="780730F9">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6EEC05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505665A8">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1D86CEE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7BB2FFB">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32C8A66">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1EC63935">
      <w:pPr>
        <w:spacing w:line="440" w:lineRule="exact"/>
        <w:contextualSpacing/>
        <w:rPr>
          <w:rFonts w:ascii="宋体" w:hAnsi="宋体" w:cs="宋体"/>
          <w:color w:val="auto"/>
          <w:sz w:val="24"/>
          <w:highlight w:val="none"/>
        </w:rPr>
      </w:pPr>
    </w:p>
    <w:p w14:paraId="358D6B0A">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0D502EBC">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581D9C71">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03077318">
      <w:pPr>
        <w:spacing w:line="440" w:lineRule="exact"/>
        <w:contextualSpacing/>
        <w:rPr>
          <w:rFonts w:ascii="宋体" w:hAnsi="宋体" w:cs="宋体"/>
          <w:color w:val="auto"/>
          <w:sz w:val="24"/>
          <w:highlight w:val="none"/>
        </w:rPr>
      </w:pPr>
    </w:p>
    <w:p w14:paraId="4FD7239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0B7DBA85">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1693630">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49" w:name="_Hlk65851555"/>
      <w:bookmarkStart w:id="150" w:name="_Hlk65851620"/>
      <w:r>
        <w:rPr>
          <w:rFonts w:hint="eastAsia" w:ascii="宋体" w:hAnsi="宋体" w:cs="宋体"/>
          <w:color w:val="auto"/>
          <w:sz w:val="24"/>
          <w:highlight w:val="none"/>
        </w:rPr>
        <w:t>法定代表人必须在授权委托书上签字或者盖章或者电子签名，</w:t>
      </w:r>
      <w:bookmarkEnd w:id="149"/>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50"/>
    </w:p>
    <w:p w14:paraId="6C50C047">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70ED52E9">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5B929CDE">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2298E3F7">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5E6E431C">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71174D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03BC5CF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6C47F33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F4A12E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7C4931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B4CC642">
      <w:pPr>
        <w:spacing w:line="440" w:lineRule="exact"/>
        <w:ind w:firstLine="566" w:firstLineChars="236"/>
        <w:contextualSpacing/>
        <w:rPr>
          <w:rFonts w:ascii="宋体" w:hAnsi="宋体" w:cs="宋体"/>
          <w:color w:val="auto"/>
          <w:sz w:val="24"/>
          <w:highlight w:val="none"/>
        </w:rPr>
      </w:pPr>
    </w:p>
    <w:p w14:paraId="5B5E9C3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579C5D7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24BBB7B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083B482">
      <w:pPr>
        <w:spacing w:line="440" w:lineRule="exact"/>
        <w:ind w:firstLine="566" w:firstLineChars="236"/>
        <w:contextualSpacing/>
        <w:rPr>
          <w:rFonts w:ascii="宋体" w:hAnsi="宋体" w:cs="宋体"/>
          <w:color w:val="auto"/>
          <w:sz w:val="24"/>
          <w:highlight w:val="none"/>
        </w:rPr>
      </w:pPr>
    </w:p>
    <w:p w14:paraId="67B0AE93">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002624F5">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52647F87">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747D448B">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04BB834F">
      <w:pPr>
        <w:snapToGrid w:val="0"/>
        <w:spacing w:before="50" w:after="120" w:afterLines="50"/>
        <w:jc w:val="left"/>
        <w:rPr>
          <w:rFonts w:ascii="宋体" w:hAnsi="宋体" w:cs="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851" w:footer="992" w:gutter="0"/>
          <w:pgNumType w:start="0"/>
          <w:cols w:space="720" w:num="1"/>
          <w:titlePg/>
          <w:docGrid w:linePitch="312" w:charSpace="0"/>
        </w:sectPr>
      </w:pPr>
    </w:p>
    <w:p w14:paraId="28A91616">
      <w:pPr>
        <w:rPr>
          <w:rFonts w:ascii="宋体" w:hAnsi="宋体" w:cs="宋体"/>
          <w:color w:val="auto"/>
          <w:sz w:val="24"/>
          <w:highlight w:val="none"/>
        </w:rPr>
      </w:pPr>
    </w:p>
    <w:p w14:paraId="79C12028">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00FB9A64">
      <w:pPr>
        <w:snapToGrid w:val="0"/>
        <w:spacing w:before="50"/>
        <w:jc w:val="left"/>
        <w:rPr>
          <w:rFonts w:ascii="宋体" w:hAnsi="宋体" w:cs="宋体"/>
          <w:color w:val="auto"/>
          <w:sz w:val="24"/>
          <w:highlight w:val="none"/>
        </w:rPr>
      </w:pPr>
    </w:p>
    <w:tbl>
      <w:tblPr>
        <w:tblStyle w:val="4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3"/>
        <w:gridCol w:w="6544"/>
      </w:tblGrid>
      <w:tr w14:paraId="430A7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503" w:type="dxa"/>
            <w:tcBorders>
              <w:top w:val="single" w:color="auto" w:sz="4" w:space="0"/>
              <w:left w:val="single" w:color="auto" w:sz="4" w:space="0"/>
              <w:bottom w:val="single" w:color="auto" w:sz="4" w:space="0"/>
              <w:right w:val="single" w:color="auto" w:sz="4" w:space="0"/>
            </w:tcBorders>
            <w:vAlign w:val="center"/>
          </w:tcPr>
          <w:p w14:paraId="4F5EAB8B">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6544" w:type="dxa"/>
            <w:tcBorders>
              <w:top w:val="single" w:color="auto" w:sz="4" w:space="0"/>
              <w:left w:val="single" w:color="auto" w:sz="4" w:space="0"/>
              <w:bottom w:val="single" w:color="auto" w:sz="4" w:space="0"/>
              <w:right w:val="single" w:color="auto" w:sz="4" w:space="0"/>
            </w:tcBorders>
            <w:vAlign w:val="center"/>
          </w:tcPr>
          <w:p w14:paraId="7DE7DCB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5B58F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503" w:type="dxa"/>
            <w:tcBorders>
              <w:top w:val="single" w:color="auto" w:sz="4" w:space="0"/>
              <w:left w:val="single" w:color="auto" w:sz="4" w:space="0"/>
              <w:bottom w:val="single" w:color="auto" w:sz="4" w:space="0"/>
              <w:right w:val="single" w:color="auto" w:sz="4" w:space="0"/>
            </w:tcBorders>
            <w:vAlign w:val="center"/>
          </w:tcPr>
          <w:p w14:paraId="04B1DB33">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3632F11F">
            <w:pPr>
              <w:snapToGrid w:val="0"/>
              <w:spacing w:before="120" w:beforeLines="50"/>
              <w:jc w:val="center"/>
              <w:rPr>
                <w:rFonts w:ascii="宋体" w:hAnsi="宋体" w:cs="宋体"/>
                <w:color w:val="auto"/>
                <w:sz w:val="24"/>
                <w:highlight w:val="none"/>
              </w:rPr>
            </w:pPr>
          </w:p>
        </w:tc>
      </w:tr>
      <w:tr w14:paraId="5245E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503" w:type="dxa"/>
            <w:tcBorders>
              <w:top w:val="single" w:color="auto" w:sz="4" w:space="0"/>
              <w:left w:val="single" w:color="auto" w:sz="4" w:space="0"/>
              <w:bottom w:val="single" w:color="auto" w:sz="4" w:space="0"/>
              <w:right w:val="single" w:color="auto" w:sz="4" w:space="0"/>
            </w:tcBorders>
            <w:vAlign w:val="center"/>
          </w:tcPr>
          <w:p w14:paraId="7E3880E5">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58B5D1FE">
            <w:pPr>
              <w:snapToGrid w:val="0"/>
              <w:spacing w:before="120" w:beforeLines="50"/>
              <w:ind w:left="43"/>
              <w:jc w:val="center"/>
              <w:rPr>
                <w:rFonts w:ascii="宋体" w:hAnsi="宋体" w:cs="宋体"/>
                <w:color w:val="auto"/>
                <w:sz w:val="24"/>
                <w:highlight w:val="none"/>
              </w:rPr>
            </w:pPr>
          </w:p>
        </w:tc>
      </w:tr>
      <w:tr w14:paraId="4376F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5DBEB52B">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78392615">
            <w:pPr>
              <w:snapToGrid w:val="0"/>
              <w:spacing w:before="120" w:beforeLines="50"/>
              <w:jc w:val="center"/>
              <w:rPr>
                <w:rFonts w:ascii="宋体" w:hAnsi="宋体" w:cs="宋体"/>
                <w:color w:val="auto"/>
                <w:sz w:val="24"/>
                <w:highlight w:val="none"/>
              </w:rPr>
            </w:pPr>
          </w:p>
        </w:tc>
      </w:tr>
      <w:tr w14:paraId="6F8AA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44EDEA21">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763BCF3F">
            <w:pPr>
              <w:snapToGrid w:val="0"/>
              <w:spacing w:before="120" w:beforeLines="50"/>
              <w:jc w:val="center"/>
              <w:rPr>
                <w:rFonts w:ascii="宋体" w:hAnsi="宋体" w:cs="宋体"/>
                <w:color w:val="auto"/>
                <w:sz w:val="24"/>
                <w:highlight w:val="none"/>
              </w:rPr>
            </w:pPr>
          </w:p>
        </w:tc>
      </w:tr>
      <w:tr w14:paraId="27B0E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03" w:type="dxa"/>
            <w:tcBorders>
              <w:top w:val="single" w:color="auto" w:sz="4" w:space="0"/>
              <w:left w:val="single" w:color="auto" w:sz="4" w:space="0"/>
              <w:bottom w:val="single" w:color="auto" w:sz="4" w:space="0"/>
              <w:right w:val="single" w:color="auto" w:sz="4" w:space="0"/>
            </w:tcBorders>
            <w:vAlign w:val="center"/>
          </w:tcPr>
          <w:p w14:paraId="36248853">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328EB48A">
            <w:pPr>
              <w:snapToGrid w:val="0"/>
              <w:spacing w:before="120" w:beforeLines="50"/>
              <w:jc w:val="center"/>
              <w:rPr>
                <w:rFonts w:ascii="宋体" w:hAnsi="宋体" w:cs="宋体"/>
                <w:color w:val="auto"/>
                <w:sz w:val="24"/>
                <w:highlight w:val="none"/>
              </w:rPr>
            </w:pPr>
          </w:p>
        </w:tc>
      </w:tr>
      <w:tr w14:paraId="408D6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03" w:type="dxa"/>
            <w:tcBorders>
              <w:top w:val="single" w:color="auto" w:sz="4" w:space="0"/>
              <w:left w:val="single" w:color="auto" w:sz="4" w:space="0"/>
              <w:bottom w:val="single" w:color="auto" w:sz="4" w:space="0"/>
              <w:right w:val="single" w:color="auto" w:sz="4" w:space="0"/>
            </w:tcBorders>
            <w:vAlign w:val="center"/>
          </w:tcPr>
          <w:p w14:paraId="4922E396">
            <w:pPr>
              <w:widowControl/>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5A81CC74">
            <w:pPr>
              <w:snapToGrid w:val="0"/>
              <w:spacing w:before="120" w:beforeLines="50"/>
              <w:jc w:val="center"/>
              <w:rPr>
                <w:rFonts w:ascii="宋体" w:hAnsi="宋体" w:cs="宋体"/>
                <w:color w:val="auto"/>
                <w:sz w:val="24"/>
                <w:highlight w:val="none"/>
              </w:rPr>
            </w:pPr>
          </w:p>
        </w:tc>
      </w:tr>
      <w:tr w14:paraId="2DA72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503" w:type="dxa"/>
            <w:tcBorders>
              <w:top w:val="single" w:color="auto" w:sz="4" w:space="0"/>
              <w:left w:val="single" w:color="auto" w:sz="4" w:space="0"/>
              <w:bottom w:val="single" w:color="auto" w:sz="4" w:space="0"/>
              <w:right w:val="single" w:color="auto" w:sz="4" w:space="0"/>
            </w:tcBorders>
            <w:vAlign w:val="center"/>
          </w:tcPr>
          <w:p w14:paraId="0C6627FA">
            <w:pPr>
              <w:spacing w:line="32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46184F4D">
            <w:pPr>
              <w:snapToGrid w:val="0"/>
              <w:spacing w:before="120" w:beforeLines="50"/>
              <w:jc w:val="center"/>
              <w:rPr>
                <w:rFonts w:ascii="宋体" w:hAnsi="宋体" w:cs="宋体"/>
                <w:color w:val="auto"/>
                <w:sz w:val="24"/>
                <w:highlight w:val="none"/>
              </w:rPr>
            </w:pPr>
          </w:p>
        </w:tc>
      </w:tr>
      <w:tr w14:paraId="01C03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7F9B8A4A">
            <w:pPr>
              <w:spacing w:line="34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0D1535DE">
            <w:pPr>
              <w:snapToGrid w:val="0"/>
              <w:spacing w:before="120" w:beforeLines="50"/>
              <w:jc w:val="center"/>
              <w:rPr>
                <w:rFonts w:ascii="宋体" w:hAnsi="宋体" w:cs="宋体"/>
                <w:color w:val="auto"/>
                <w:sz w:val="24"/>
                <w:highlight w:val="none"/>
              </w:rPr>
            </w:pPr>
          </w:p>
        </w:tc>
      </w:tr>
      <w:tr w14:paraId="795BA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03" w:type="dxa"/>
            <w:tcBorders>
              <w:top w:val="single" w:color="auto" w:sz="4" w:space="0"/>
              <w:left w:val="single" w:color="auto" w:sz="4" w:space="0"/>
              <w:bottom w:val="single" w:color="auto" w:sz="4" w:space="0"/>
              <w:right w:val="single" w:color="auto" w:sz="4" w:space="0"/>
            </w:tcBorders>
            <w:vAlign w:val="center"/>
          </w:tcPr>
          <w:p w14:paraId="4639D3D9">
            <w:pPr>
              <w:adjustRightInd w:val="0"/>
              <w:snapToGrid w:val="0"/>
              <w:spacing w:line="360" w:lineRule="exact"/>
              <w:jc w:val="center"/>
              <w:rPr>
                <w:rFonts w:ascii="宋体" w:hAnsi="宋体" w:cs="宋体"/>
                <w:color w:val="auto"/>
                <w:sz w:val="24"/>
                <w:highlight w:val="none"/>
              </w:rPr>
            </w:pPr>
          </w:p>
        </w:tc>
        <w:tc>
          <w:tcPr>
            <w:tcW w:w="6544" w:type="dxa"/>
            <w:tcBorders>
              <w:top w:val="single" w:color="auto" w:sz="4" w:space="0"/>
              <w:left w:val="single" w:color="auto" w:sz="4" w:space="0"/>
              <w:bottom w:val="single" w:color="auto" w:sz="4" w:space="0"/>
              <w:right w:val="single" w:color="auto" w:sz="4" w:space="0"/>
            </w:tcBorders>
          </w:tcPr>
          <w:p w14:paraId="33811050">
            <w:pPr>
              <w:snapToGrid w:val="0"/>
              <w:spacing w:before="120" w:beforeLines="50"/>
              <w:jc w:val="center"/>
              <w:rPr>
                <w:rFonts w:ascii="宋体" w:hAnsi="宋体" w:cs="宋体"/>
                <w:color w:val="auto"/>
                <w:sz w:val="24"/>
                <w:highlight w:val="none"/>
              </w:rPr>
            </w:pPr>
          </w:p>
        </w:tc>
      </w:tr>
    </w:tbl>
    <w:p w14:paraId="4D2731B1">
      <w:pPr>
        <w:pStyle w:val="17"/>
        <w:rPr>
          <w:rFonts w:ascii="宋体" w:hAnsi="宋体" w:cs="宋体"/>
          <w:color w:val="auto"/>
          <w:highlight w:val="none"/>
        </w:rPr>
      </w:pPr>
      <w:r>
        <w:rPr>
          <w:rFonts w:hint="eastAsia" w:ascii="宋体" w:hAnsi="宋体" w:cs="宋体"/>
          <w:color w:val="auto"/>
          <w:highlight w:val="none"/>
        </w:rPr>
        <w:t>注：</w:t>
      </w:r>
    </w:p>
    <w:p w14:paraId="73AA3155">
      <w:pPr>
        <w:pStyle w:val="19"/>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63338882">
      <w:pPr>
        <w:snapToGrid w:val="0"/>
        <w:spacing w:before="50" w:after="50"/>
        <w:rPr>
          <w:rFonts w:ascii="宋体" w:hAnsi="宋体" w:cs="宋体"/>
          <w:color w:val="auto"/>
          <w:sz w:val="24"/>
          <w:highlight w:val="none"/>
        </w:rPr>
      </w:pPr>
    </w:p>
    <w:p w14:paraId="4B08BC2B">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9278867">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CA89588">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1A7D7280">
      <w:pPr>
        <w:snapToGrid w:val="0"/>
        <w:spacing w:before="120" w:beforeLines="50"/>
        <w:rPr>
          <w:rFonts w:ascii="宋体" w:hAnsi="宋体" w:cs="宋体"/>
          <w:b/>
          <w:color w:val="auto"/>
          <w:sz w:val="24"/>
          <w:highlight w:val="none"/>
        </w:rPr>
      </w:pPr>
    </w:p>
    <w:p w14:paraId="599E6826">
      <w:pPr>
        <w:snapToGrid w:val="0"/>
        <w:spacing w:before="120" w:beforeLines="50"/>
        <w:rPr>
          <w:rFonts w:ascii="宋体" w:hAnsi="宋体" w:cs="宋体"/>
          <w:b/>
          <w:color w:val="auto"/>
          <w:sz w:val="24"/>
          <w:highlight w:val="none"/>
        </w:rPr>
      </w:pPr>
    </w:p>
    <w:p w14:paraId="2D0E56DE">
      <w:pPr>
        <w:snapToGrid w:val="0"/>
        <w:spacing w:before="120" w:beforeLines="50"/>
        <w:rPr>
          <w:rFonts w:ascii="宋体" w:hAnsi="宋体" w:cs="宋体"/>
          <w:b/>
          <w:color w:val="auto"/>
          <w:sz w:val="24"/>
          <w:highlight w:val="none"/>
        </w:rPr>
      </w:pPr>
    </w:p>
    <w:p w14:paraId="1A274D0E">
      <w:pPr>
        <w:snapToGrid w:val="0"/>
        <w:spacing w:before="120" w:beforeLines="50"/>
        <w:rPr>
          <w:rFonts w:ascii="宋体" w:hAnsi="宋体" w:cs="宋体"/>
          <w:b/>
          <w:color w:val="auto"/>
          <w:sz w:val="24"/>
          <w:highlight w:val="none"/>
        </w:rPr>
      </w:pPr>
    </w:p>
    <w:p w14:paraId="70C3D3B8">
      <w:pPr>
        <w:snapToGrid w:val="0"/>
        <w:spacing w:before="120" w:beforeLines="50"/>
        <w:rPr>
          <w:rFonts w:ascii="宋体" w:hAnsi="宋体" w:cs="宋体"/>
          <w:b/>
          <w:color w:val="auto"/>
          <w:sz w:val="24"/>
          <w:highlight w:val="none"/>
        </w:rPr>
      </w:pPr>
    </w:p>
    <w:p w14:paraId="239E3E8B">
      <w:pPr>
        <w:snapToGrid w:val="0"/>
        <w:spacing w:before="120" w:beforeLines="50"/>
        <w:rPr>
          <w:rFonts w:ascii="宋体" w:hAnsi="宋体" w:cs="宋体"/>
          <w:b/>
          <w:color w:val="auto"/>
          <w:sz w:val="24"/>
          <w:highlight w:val="none"/>
        </w:rPr>
      </w:pPr>
    </w:p>
    <w:p w14:paraId="08D2285A">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服务实施方案格式</w:t>
      </w:r>
    </w:p>
    <w:p w14:paraId="0162AD9C">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服务实施方案</w:t>
      </w:r>
    </w:p>
    <w:p w14:paraId="41AAF3E4">
      <w:pPr>
        <w:snapToGrid w:val="0"/>
        <w:spacing w:before="50" w:after="50"/>
        <w:rPr>
          <w:rFonts w:ascii="宋体" w:hAnsi="宋体" w:cs="宋体"/>
          <w:b/>
          <w:bCs/>
          <w:color w:val="auto"/>
          <w:szCs w:val="21"/>
          <w:highlight w:val="none"/>
        </w:rPr>
      </w:pPr>
    </w:p>
    <w:p w14:paraId="565B50D6">
      <w:pPr>
        <w:snapToGrid w:val="0"/>
        <w:spacing w:before="50" w:after="50"/>
        <w:rPr>
          <w:rFonts w:ascii="宋体" w:hAnsi="宋体" w:cs="宋体"/>
          <w:b/>
          <w:bCs/>
          <w:color w:val="auto"/>
          <w:szCs w:val="21"/>
          <w:highlight w:val="none"/>
        </w:rPr>
      </w:pPr>
    </w:p>
    <w:p w14:paraId="08391356">
      <w:pPr>
        <w:snapToGrid w:val="0"/>
        <w:spacing w:before="50" w:after="50"/>
        <w:rPr>
          <w:rFonts w:ascii="宋体" w:hAnsi="宋体" w:cs="宋体"/>
          <w:color w:val="auto"/>
          <w:sz w:val="24"/>
          <w:highlight w:val="none"/>
        </w:rPr>
      </w:pPr>
      <w:r>
        <w:rPr>
          <w:rFonts w:hint="eastAsia" w:ascii="宋体" w:hAnsi="宋体" w:cs="宋体"/>
          <w:b/>
          <w:bCs/>
          <w:color w:val="auto"/>
          <w:szCs w:val="21"/>
          <w:highlight w:val="none"/>
        </w:rPr>
        <w:t>服务实施保障措施</w:t>
      </w:r>
      <w:r>
        <w:rPr>
          <w:rFonts w:hint="eastAsia" w:ascii="宋体" w:hAnsi="宋体" w:cs="宋体"/>
          <w:color w:val="auto"/>
          <w:szCs w:val="21"/>
          <w:highlight w:val="none"/>
        </w:rPr>
        <w:t>，包含但不限于：质量考核办法、工作细则、操作流程、服务固定人员数量及人员简历情况、奖罚措施、生产用具等方面内容的质量保证措施等</w:t>
      </w:r>
    </w:p>
    <w:p w14:paraId="10A78BCF">
      <w:pPr>
        <w:snapToGrid w:val="0"/>
        <w:spacing w:before="50" w:after="50"/>
        <w:rPr>
          <w:rFonts w:ascii="宋体" w:hAnsi="宋体" w:cs="宋体"/>
          <w:b/>
          <w:bCs/>
          <w:color w:val="auto"/>
          <w:szCs w:val="21"/>
          <w:highlight w:val="none"/>
        </w:rPr>
      </w:pPr>
    </w:p>
    <w:p w14:paraId="06AB3535">
      <w:pPr>
        <w:snapToGrid w:val="0"/>
        <w:spacing w:before="50" w:after="50"/>
        <w:rPr>
          <w:rFonts w:ascii="宋体" w:hAnsi="宋体" w:cs="宋体"/>
          <w:color w:val="auto"/>
          <w:sz w:val="24"/>
          <w:highlight w:val="none"/>
        </w:rPr>
      </w:pPr>
      <w:r>
        <w:rPr>
          <w:rFonts w:hint="eastAsia" w:ascii="宋体" w:hAnsi="宋体" w:cs="宋体"/>
          <w:b/>
          <w:bCs/>
          <w:color w:val="auto"/>
          <w:szCs w:val="21"/>
          <w:highlight w:val="none"/>
        </w:rPr>
        <w:t>.......</w:t>
      </w:r>
    </w:p>
    <w:p w14:paraId="7124DDC9">
      <w:pPr>
        <w:snapToGrid w:val="0"/>
        <w:spacing w:before="50" w:after="50"/>
        <w:rPr>
          <w:rFonts w:ascii="宋体" w:hAnsi="宋体" w:cs="宋体"/>
          <w:color w:val="auto"/>
          <w:sz w:val="24"/>
          <w:highlight w:val="none"/>
        </w:rPr>
      </w:pPr>
    </w:p>
    <w:p w14:paraId="2E5D5651">
      <w:pPr>
        <w:snapToGrid w:val="0"/>
        <w:spacing w:before="50" w:after="50"/>
        <w:rPr>
          <w:rFonts w:ascii="宋体" w:hAnsi="宋体" w:cs="宋体"/>
          <w:color w:val="auto"/>
          <w:sz w:val="24"/>
          <w:highlight w:val="none"/>
        </w:rPr>
      </w:pPr>
    </w:p>
    <w:p w14:paraId="4DC5234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EE79AC3">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3628EC41">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5AFC430B">
      <w:pPr>
        <w:snapToGrid w:val="0"/>
        <w:spacing w:before="120" w:beforeLines="50"/>
        <w:rPr>
          <w:rFonts w:ascii="宋体" w:hAnsi="宋体" w:cs="宋体"/>
          <w:b/>
          <w:color w:val="auto"/>
          <w:sz w:val="24"/>
          <w:highlight w:val="none"/>
        </w:rPr>
      </w:pPr>
    </w:p>
    <w:p w14:paraId="1AA4D723">
      <w:pPr>
        <w:snapToGrid w:val="0"/>
        <w:spacing w:before="120" w:beforeLines="50"/>
        <w:rPr>
          <w:rFonts w:ascii="宋体" w:hAnsi="宋体" w:cs="宋体"/>
          <w:b/>
          <w:color w:val="auto"/>
          <w:sz w:val="24"/>
          <w:highlight w:val="none"/>
        </w:rPr>
      </w:pPr>
    </w:p>
    <w:p w14:paraId="40DE20E6">
      <w:pPr>
        <w:snapToGrid w:val="0"/>
        <w:spacing w:before="120" w:beforeLines="50"/>
        <w:rPr>
          <w:rFonts w:ascii="宋体" w:hAnsi="宋体" w:cs="宋体"/>
          <w:b/>
          <w:color w:val="auto"/>
          <w:sz w:val="24"/>
          <w:highlight w:val="none"/>
        </w:rPr>
      </w:pPr>
    </w:p>
    <w:p w14:paraId="24A0E076">
      <w:pPr>
        <w:snapToGrid w:val="0"/>
        <w:spacing w:before="120" w:beforeLines="50"/>
        <w:rPr>
          <w:rFonts w:ascii="宋体" w:hAnsi="宋体" w:cs="宋体"/>
          <w:b/>
          <w:color w:val="auto"/>
          <w:sz w:val="24"/>
          <w:highlight w:val="none"/>
        </w:rPr>
      </w:pPr>
    </w:p>
    <w:p w14:paraId="4ACFDE97">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管理制度方案格式</w:t>
      </w:r>
    </w:p>
    <w:p w14:paraId="239B2AE3">
      <w:pPr>
        <w:snapToGrid w:val="0"/>
        <w:spacing w:before="120" w:beforeLines="50"/>
        <w:jc w:val="center"/>
        <w:rPr>
          <w:rFonts w:ascii="宋体" w:hAnsi="宋体" w:cs="宋体"/>
          <w:b/>
          <w:color w:val="auto"/>
          <w:sz w:val="36"/>
          <w:szCs w:val="36"/>
          <w:highlight w:val="none"/>
        </w:rPr>
      </w:pPr>
    </w:p>
    <w:p w14:paraId="12C90CC0">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管理制度方案</w:t>
      </w:r>
    </w:p>
    <w:p w14:paraId="45FAE3C3">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管理制度和运作流程</w:t>
      </w:r>
      <w:r>
        <w:rPr>
          <w:rFonts w:hint="eastAsia" w:ascii="宋体" w:hAnsi="宋体" w:cs="宋体"/>
          <w:color w:val="auto"/>
          <w:szCs w:val="21"/>
          <w:highlight w:val="none"/>
        </w:rPr>
        <w:t>，包含但不限于：</w:t>
      </w:r>
      <w:r>
        <w:rPr>
          <w:rFonts w:hint="eastAsia" w:ascii="宋体" w:hAnsi="宋体"/>
          <w:color w:val="auto"/>
          <w:highlight w:val="none"/>
        </w:rPr>
        <w:t>管理制度</w:t>
      </w:r>
      <w:r>
        <w:rPr>
          <w:rFonts w:hint="eastAsia" w:hAnsi="宋体"/>
          <w:color w:val="auto"/>
          <w:highlight w:val="none"/>
        </w:rPr>
        <w:t>【包括但不限于</w:t>
      </w:r>
      <w:r>
        <w:rPr>
          <w:rFonts w:hint="eastAsia" w:ascii="宋体" w:hAnsi="宋体" w:cs="宋体"/>
          <w:bCs/>
          <w:color w:val="auto"/>
          <w:szCs w:val="21"/>
          <w:highlight w:val="none"/>
        </w:rPr>
        <w:t>质量监管制度、各种应急预案、员工工作管理制度（包含对员工的考核、奖惩及人性关怀制度、服务规范、管理人员和员工的配备及排班方案、员工培训方案）、信息反馈处理等各项规章制度、质量标准、操作规范、各岗位职责及工作流程，信息化管理和服务措施等</w:t>
      </w:r>
      <w:r>
        <w:rPr>
          <w:rFonts w:hint="eastAsia" w:hAnsi="宋体"/>
          <w:color w:val="auto"/>
          <w:highlight w:val="none"/>
        </w:rPr>
        <w:t>】</w:t>
      </w:r>
      <w:r>
        <w:rPr>
          <w:rFonts w:hint="eastAsia" w:ascii="宋体" w:hAnsi="宋体"/>
          <w:color w:val="auto"/>
          <w:highlight w:val="none"/>
        </w:rPr>
        <w:t>和运作流程</w:t>
      </w:r>
    </w:p>
    <w:p w14:paraId="45008AA7">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40D40834">
      <w:pPr>
        <w:snapToGrid w:val="0"/>
        <w:spacing w:before="120" w:beforeLines="50"/>
        <w:rPr>
          <w:rFonts w:ascii="宋体" w:hAnsi="宋体" w:cs="宋体"/>
          <w:color w:val="auto"/>
          <w:sz w:val="24"/>
          <w:szCs w:val="20"/>
          <w:highlight w:val="none"/>
        </w:rPr>
      </w:pPr>
    </w:p>
    <w:p w14:paraId="214B7D12">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6809EEA2">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014A78C">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136C98E1">
      <w:pPr>
        <w:snapToGrid w:val="0"/>
        <w:spacing w:before="120" w:beforeLines="50" w:after="50"/>
        <w:jc w:val="left"/>
        <w:rPr>
          <w:rFonts w:ascii="宋体" w:hAnsi="宋体" w:cs="宋体"/>
          <w:b/>
          <w:color w:val="auto"/>
          <w:sz w:val="24"/>
          <w:highlight w:val="none"/>
        </w:rPr>
      </w:pPr>
    </w:p>
    <w:p w14:paraId="48319C3F">
      <w:pPr>
        <w:snapToGrid w:val="0"/>
        <w:spacing w:before="120" w:beforeLines="50"/>
        <w:rPr>
          <w:rFonts w:ascii="宋体" w:hAnsi="宋体" w:cs="宋体"/>
          <w:b/>
          <w:color w:val="auto"/>
          <w:sz w:val="24"/>
          <w:highlight w:val="none"/>
        </w:rPr>
      </w:pPr>
    </w:p>
    <w:p w14:paraId="3243F2AE">
      <w:pPr>
        <w:snapToGrid w:val="0"/>
        <w:spacing w:before="120" w:beforeLines="50"/>
        <w:rPr>
          <w:rFonts w:ascii="宋体" w:hAnsi="宋体" w:cs="宋体"/>
          <w:b/>
          <w:color w:val="auto"/>
          <w:sz w:val="24"/>
          <w:highlight w:val="none"/>
        </w:rPr>
      </w:pPr>
    </w:p>
    <w:p w14:paraId="73C1D639">
      <w:pPr>
        <w:snapToGrid w:val="0"/>
        <w:spacing w:before="120" w:beforeLines="50"/>
        <w:rPr>
          <w:rFonts w:ascii="宋体" w:hAnsi="宋体" w:cs="宋体"/>
          <w:b/>
          <w:color w:val="auto"/>
          <w:sz w:val="24"/>
          <w:highlight w:val="none"/>
        </w:rPr>
      </w:pPr>
    </w:p>
    <w:p w14:paraId="6E4440D1">
      <w:pPr>
        <w:snapToGrid w:val="0"/>
        <w:spacing w:before="120" w:beforeLines="50"/>
        <w:rPr>
          <w:rFonts w:ascii="宋体" w:hAnsi="宋体" w:cs="宋体"/>
          <w:b/>
          <w:color w:val="auto"/>
          <w:sz w:val="24"/>
          <w:highlight w:val="none"/>
        </w:rPr>
      </w:pPr>
    </w:p>
    <w:p w14:paraId="4B77725C">
      <w:pPr>
        <w:snapToGrid w:val="0"/>
        <w:spacing w:before="120" w:beforeLines="50"/>
        <w:rPr>
          <w:rFonts w:ascii="宋体" w:hAnsi="宋体" w:cs="宋体"/>
          <w:b/>
          <w:color w:val="auto"/>
          <w:sz w:val="24"/>
          <w:highlight w:val="none"/>
        </w:rPr>
      </w:pPr>
    </w:p>
    <w:p w14:paraId="406B0492">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纠纷处理方案格式</w:t>
      </w:r>
    </w:p>
    <w:p w14:paraId="649B2403">
      <w:pPr>
        <w:snapToGrid w:val="0"/>
        <w:spacing w:before="120" w:beforeLines="50"/>
        <w:jc w:val="center"/>
        <w:rPr>
          <w:rFonts w:ascii="宋体" w:hAnsi="宋体" w:cs="宋体"/>
          <w:b/>
          <w:color w:val="auto"/>
          <w:sz w:val="36"/>
          <w:szCs w:val="36"/>
          <w:highlight w:val="none"/>
        </w:rPr>
      </w:pPr>
    </w:p>
    <w:p w14:paraId="2EC1722A">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纠纷处理方案</w:t>
      </w:r>
    </w:p>
    <w:p w14:paraId="4E457E63">
      <w:pPr>
        <w:snapToGrid w:val="0"/>
        <w:spacing w:before="120" w:beforeLines="50"/>
        <w:rPr>
          <w:rFonts w:ascii="宋体" w:hAnsi="宋体" w:cs="宋体"/>
          <w:color w:val="auto"/>
          <w:szCs w:val="21"/>
          <w:highlight w:val="none"/>
        </w:rPr>
      </w:pPr>
      <w:r>
        <w:rPr>
          <w:rFonts w:hint="eastAsia" w:ascii="宋体" w:hAnsi="宋体" w:cs="宋体"/>
          <w:color w:val="auto"/>
          <w:szCs w:val="21"/>
          <w:highlight w:val="none"/>
        </w:rPr>
        <w:t>投标人根据项目要求和自身情况，于投标文件中提供纠纷处理方案</w:t>
      </w:r>
    </w:p>
    <w:p w14:paraId="5B0E8098">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56681EE2">
      <w:pPr>
        <w:snapToGrid w:val="0"/>
        <w:spacing w:before="120" w:beforeLines="50"/>
        <w:rPr>
          <w:rFonts w:ascii="宋体" w:hAnsi="宋体" w:cs="宋体"/>
          <w:color w:val="auto"/>
          <w:sz w:val="24"/>
          <w:szCs w:val="20"/>
          <w:highlight w:val="none"/>
        </w:rPr>
      </w:pPr>
    </w:p>
    <w:p w14:paraId="7375B1DE">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053595D3">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73C18303">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1CBEF3E">
      <w:pPr>
        <w:snapToGrid w:val="0"/>
        <w:spacing w:before="120" w:beforeLines="50" w:after="50"/>
        <w:jc w:val="left"/>
        <w:rPr>
          <w:rFonts w:ascii="宋体" w:hAnsi="宋体" w:cs="宋体"/>
          <w:b/>
          <w:color w:val="auto"/>
          <w:sz w:val="24"/>
          <w:highlight w:val="none"/>
        </w:rPr>
      </w:pPr>
    </w:p>
    <w:p w14:paraId="67A5FFC1">
      <w:pPr>
        <w:snapToGrid w:val="0"/>
        <w:spacing w:before="120" w:beforeLines="50"/>
        <w:rPr>
          <w:rFonts w:ascii="宋体" w:hAnsi="宋体" w:cs="宋体"/>
          <w:b/>
          <w:color w:val="auto"/>
          <w:sz w:val="24"/>
          <w:highlight w:val="none"/>
        </w:rPr>
      </w:pPr>
    </w:p>
    <w:p w14:paraId="66516DF8">
      <w:pPr>
        <w:snapToGrid w:val="0"/>
        <w:spacing w:before="120" w:beforeLines="50"/>
        <w:rPr>
          <w:rFonts w:ascii="宋体" w:hAnsi="宋体" w:cs="宋体"/>
          <w:b/>
          <w:color w:val="auto"/>
          <w:sz w:val="24"/>
          <w:highlight w:val="none"/>
        </w:rPr>
      </w:pPr>
    </w:p>
    <w:p w14:paraId="5CF4C1A5">
      <w:pPr>
        <w:snapToGrid w:val="0"/>
        <w:spacing w:before="120" w:beforeLines="50"/>
        <w:rPr>
          <w:rFonts w:ascii="宋体" w:hAnsi="宋体" w:cs="宋体"/>
          <w:b/>
          <w:color w:val="auto"/>
          <w:sz w:val="24"/>
          <w:highlight w:val="none"/>
        </w:rPr>
      </w:pPr>
    </w:p>
    <w:p w14:paraId="34B5CF21">
      <w:pPr>
        <w:snapToGrid w:val="0"/>
        <w:spacing w:before="120" w:beforeLines="50"/>
        <w:rPr>
          <w:rFonts w:ascii="宋体" w:hAnsi="宋体" w:cs="宋体"/>
          <w:b/>
          <w:color w:val="auto"/>
          <w:sz w:val="24"/>
          <w:highlight w:val="none"/>
        </w:rPr>
      </w:pPr>
    </w:p>
    <w:p w14:paraId="3DD7E5F4">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rPr>
        <w:t>人员配置及投入项目方案格式</w:t>
      </w:r>
    </w:p>
    <w:p w14:paraId="1E9D87A0">
      <w:pPr>
        <w:snapToGrid w:val="0"/>
        <w:spacing w:before="120" w:beforeLines="50"/>
        <w:jc w:val="center"/>
        <w:rPr>
          <w:rFonts w:ascii="宋体" w:hAnsi="宋体" w:cs="宋体"/>
          <w:b/>
          <w:color w:val="auto"/>
          <w:sz w:val="36"/>
          <w:szCs w:val="36"/>
          <w:highlight w:val="none"/>
        </w:rPr>
      </w:pPr>
    </w:p>
    <w:p w14:paraId="1C68D1A1">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人员配置及投入项目方案</w:t>
      </w:r>
    </w:p>
    <w:p w14:paraId="7C3ED26B">
      <w:pPr>
        <w:snapToGrid w:val="0"/>
        <w:spacing w:before="120" w:beforeLines="50"/>
        <w:rPr>
          <w:rFonts w:ascii="宋体" w:hAnsi="宋体" w:cs="宋体"/>
          <w:color w:val="auto"/>
          <w:szCs w:val="21"/>
          <w:highlight w:val="none"/>
        </w:rPr>
      </w:pPr>
      <w:r>
        <w:rPr>
          <w:rFonts w:hint="eastAsia" w:ascii="宋体" w:hAnsi="宋体" w:cs="宋体"/>
          <w:color w:val="auto"/>
          <w:szCs w:val="21"/>
          <w:highlight w:val="none"/>
        </w:rPr>
        <w:t>投标人根据项目要求和自身情况，于投标文件中提供人员配置及投入项目方案</w:t>
      </w:r>
    </w:p>
    <w:p w14:paraId="111B5746">
      <w:pPr>
        <w:snapToGrid w:val="0"/>
        <w:spacing w:before="120" w:beforeLines="50"/>
        <w:rPr>
          <w:rFonts w:ascii="宋体" w:hAnsi="宋体" w:cs="宋体"/>
          <w:b/>
          <w:bCs/>
          <w:color w:val="auto"/>
          <w:szCs w:val="21"/>
          <w:highlight w:val="none"/>
        </w:rPr>
      </w:pPr>
    </w:p>
    <w:p w14:paraId="60EFCA68">
      <w:pPr>
        <w:snapToGrid w:val="0"/>
        <w:spacing w:before="120" w:beforeLines="50"/>
        <w:rPr>
          <w:rFonts w:ascii="宋体" w:hAnsi="宋体" w:cs="宋体"/>
          <w:bCs/>
          <w:color w:val="auto"/>
          <w:szCs w:val="21"/>
          <w:highlight w:val="none"/>
        </w:rPr>
      </w:pPr>
      <w:r>
        <w:rPr>
          <w:rFonts w:hint="eastAsia" w:ascii="宋体" w:hAnsi="宋体" w:cs="宋体"/>
          <w:b/>
          <w:bCs/>
          <w:color w:val="auto"/>
          <w:szCs w:val="21"/>
          <w:highlight w:val="none"/>
        </w:rPr>
        <w:t>.......</w:t>
      </w:r>
    </w:p>
    <w:p w14:paraId="6A34D78A">
      <w:pPr>
        <w:snapToGrid w:val="0"/>
        <w:spacing w:before="120" w:beforeLines="50"/>
        <w:rPr>
          <w:rFonts w:ascii="宋体" w:hAnsi="宋体" w:cs="宋体"/>
          <w:color w:val="auto"/>
          <w:sz w:val="24"/>
          <w:szCs w:val="20"/>
          <w:highlight w:val="none"/>
        </w:rPr>
      </w:pPr>
    </w:p>
    <w:p w14:paraId="083DA838">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406B3314">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6B934BB9">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0CCCE0A9">
      <w:pPr>
        <w:snapToGrid w:val="0"/>
        <w:spacing w:before="120" w:beforeLines="50" w:after="50"/>
        <w:jc w:val="left"/>
        <w:rPr>
          <w:rFonts w:ascii="宋体" w:hAnsi="宋体" w:cs="宋体"/>
          <w:b/>
          <w:color w:val="auto"/>
          <w:sz w:val="24"/>
          <w:highlight w:val="none"/>
        </w:rPr>
      </w:pPr>
    </w:p>
    <w:p w14:paraId="2AD36EF7">
      <w:pPr>
        <w:snapToGrid w:val="0"/>
        <w:spacing w:before="120" w:beforeLines="50" w:after="50"/>
        <w:jc w:val="left"/>
        <w:rPr>
          <w:rFonts w:ascii="宋体" w:hAnsi="宋体" w:cs="宋体"/>
          <w:b/>
          <w:color w:val="auto"/>
          <w:sz w:val="24"/>
          <w:highlight w:val="none"/>
        </w:rPr>
      </w:pPr>
    </w:p>
    <w:p w14:paraId="0C54BCB8">
      <w:pPr>
        <w:snapToGrid w:val="0"/>
        <w:spacing w:before="120" w:beforeLines="50" w:after="50"/>
        <w:jc w:val="left"/>
        <w:rPr>
          <w:rFonts w:ascii="宋体" w:hAnsi="宋体" w:cs="宋体"/>
          <w:b/>
          <w:color w:val="auto"/>
          <w:sz w:val="24"/>
          <w:highlight w:val="none"/>
        </w:rPr>
      </w:pPr>
    </w:p>
    <w:p w14:paraId="29D8A128">
      <w:pPr>
        <w:snapToGrid w:val="0"/>
        <w:spacing w:before="120" w:beforeLines="50" w:after="50"/>
        <w:jc w:val="left"/>
        <w:rPr>
          <w:rFonts w:ascii="宋体" w:hAnsi="宋体" w:cs="宋体"/>
          <w:b/>
          <w:color w:val="auto"/>
          <w:sz w:val="24"/>
          <w:highlight w:val="none"/>
        </w:rPr>
      </w:pPr>
    </w:p>
    <w:p w14:paraId="76AB4BDA">
      <w:pPr>
        <w:snapToGrid w:val="0"/>
        <w:spacing w:before="120" w:beforeLines="50" w:after="50"/>
        <w:jc w:val="left"/>
        <w:rPr>
          <w:rFonts w:ascii="宋体" w:hAnsi="宋体" w:cs="宋体"/>
          <w:b/>
          <w:color w:val="auto"/>
          <w:sz w:val="24"/>
          <w:highlight w:val="none"/>
        </w:rPr>
      </w:pPr>
    </w:p>
    <w:p w14:paraId="2489DF9C">
      <w:pPr>
        <w:snapToGrid w:val="0"/>
        <w:spacing w:before="120" w:beforeLines="50" w:after="50"/>
        <w:jc w:val="left"/>
        <w:rPr>
          <w:rFonts w:ascii="宋体" w:hAnsi="宋体" w:cs="宋体"/>
          <w:b/>
          <w:color w:val="auto"/>
          <w:sz w:val="24"/>
          <w:highlight w:val="none"/>
        </w:rPr>
      </w:pPr>
    </w:p>
    <w:p w14:paraId="58542F6C">
      <w:pPr>
        <w:snapToGrid w:val="0"/>
        <w:spacing w:before="120" w:beforeLines="50" w:after="50"/>
        <w:jc w:val="left"/>
        <w:rPr>
          <w:rFonts w:ascii="宋体" w:hAnsi="宋体" w:cs="宋体"/>
          <w:b/>
          <w:color w:val="auto"/>
          <w:sz w:val="24"/>
          <w:highlight w:val="none"/>
        </w:rPr>
      </w:pPr>
    </w:p>
    <w:p w14:paraId="30AC3494">
      <w:pPr>
        <w:snapToGrid w:val="0"/>
        <w:spacing w:before="120" w:beforeLines="50" w:after="50"/>
        <w:jc w:val="left"/>
        <w:rPr>
          <w:rFonts w:ascii="宋体" w:hAnsi="宋体" w:cs="宋体"/>
          <w:b/>
          <w:color w:val="auto"/>
          <w:sz w:val="24"/>
          <w:highlight w:val="none"/>
        </w:rPr>
      </w:pPr>
    </w:p>
    <w:p w14:paraId="5969CC49">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4ACEE10A">
      <w:pPr>
        <w:pStyle w:val="36"/>
        <w:snapToGrid w:val="0"/>
        <w:ind w:left="480" w:hanging="480"/>
        <w:rPr>
          <w:rFonts w:ascii="宋体" w:hAnsi="宋体" w:cs="宋体"/>
          <w:color w:val="auto"/>
          <w:sz w:val="24"/>
          <w:highlight w:val="none"/>
        </w:rPr>
      </w:pPr>
    </w:p>
    <w:p w14:paraId="7D9C1246">
      <w:pPr>
        <w:pStyle w:val="36"/>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4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158C0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6775F8D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3D95D2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4D7685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46CB0D9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6D59CA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7BE8302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5731C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9161A19">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FF40EBF">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0E66ACF">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29C7498">
            <w:pPr>
              <w:jc w:val="left"/>
              <w:rPr>
                <w:rFonts w:ascii="宋体" w:hAnsi="宋体" w:cs="宋体"/>
                <w:color w:val="auto"/>
                <w:sz w:val="24"/>
                <w:highlight w:val="none"/>
              </w:rPr>
            </w:pPr>
          </w:p>
        </w:tc>
      </w:tr>
      <w:tr w14:paraId="2A4A8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2C811531">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F16B5B7">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546212B">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E7359D7">
            <w:pPr>
              <w:snapToGrid w:val="0"/>
              <w:spacing w:line="240" w:lineRule="exact"/>
              <w:jc w:val="left"/>
              <w:rPr>
                <w:rFonts w:ascii="宋体" w:hAnsi="宋体" w:cs="宋体"/>
                <w:color w:val="auto"/>
                <w:sz w:val="24"/>
                <w:highlight w:val="none"/>
              </w:rPr>
            </w:pPr>
          </w:p>
        </w:tc>
      </w:tr>
      <w:tr w14:paraId="7552C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8B1864F">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D7A44B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6A9F26B">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0C5F4F2">
            <w:pPr>
              <w:snapToGrid w:val="0"/>
              <w:spacing w:before="50" w:after="120" w:afterLines="50" w:line="400" w:lineRule="exact"/>
              <w:jc w:val="left"/>
              <w:rPr>
                <w:rFonts w:ascii="宋体" w:hAnsi="宋体" w:cs="宋体"/>
                <w:color w:val="auto"/>
                <w:sz w:val="24"/>
                <w:highlight w:val="none"/>
              </w:rPr>
            </w:pPr>
          </w:p>
        </w:tc>
      </w:tr>
      <w:tr w14:paraId="007A2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04C2C52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F1187FD">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E9AB833">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099345A">
            <w:pPr>
              <w:snapToGrid w:val="0"/>
              <w:spacing w:before="50" w:after="120" w:afterLines="50" w:line="400" w:lineRule="exact"/>
              <w:jc w:val="left"/>
              <w:rPr>
                <w:rFonts w:ascii="宋体" w:hAnsi="宋体" w:cs="宋体"/>
                <w:color w:val="auto"/>
                <w:sz w:val="24"/>
                <w:highlight w:val="none"/>
              </w:rPr>
            </w:pPr>
          </w:p>
        </w:tc>
      </w:tr>
      <w:tr w14:paraId="69175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83EF85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2C91F6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8C5BD62">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4FF16B8">
            <w:pPr>
              <w:snapToGrid w:val="0"/>
              <w:spacing w:before="50" w:after="120" w:afterLines="50" w:line="400" w:lineRule="exact"/>
              <w:jc w:val="left"/>
              <w:rPr>
                <w:rFonts w:ascii="宋体" w:hAnsi="宋体" w:cs="宋体"/>
                <w:color w:val="auto"/>
                <w:sz w:val="24"/>
                <w:highlight w:val="none"/>
              </w:rPr>
            </w:pPr>
          </w:p>
        </w:tc>
      </w:tr>
      <w:tr w14:paraId="7E720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FFA890D">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96894CA">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C20AD6D">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CA9F03C">
            <w:pPr>
              <w:snapToGrid w:val="0"/>
              <w:spacing w:before="50" w:after="120" w:afterLines="50" w:line="400" w:lineRule="exact"/>
              <w:jc w:val="left"/>
              <w:rPr>
                <w:rFonts w:ascii="宋体" w:hAnsi="宋体" w:cs="宋体"/>
                <w:color w:val="auto"/>
                <w:sz w:val="24"/>
                <w:highlight w:val="none"/>
              </w:rPr>
            </w:pPr>
          </w:p>
        </w:tc>
      </w:tr>
    </w:tbl>
    <w:p w14:paraId="78484220">
      <w:pPr>
        <w:pStyle w:val="14"/>
        <w:spacing w:before="0" w:after="0" w:line="360" w:lineRule="auto"/>
        <w:contextualSpacing/>
        <w:rPr>
          <w:rFonts w:ascii="宋体" w:hAnsi="宋体" w:eastAsia="宋体" w:cs="宋体"/>
          <w:color w:val="auto"/>
          <w:sz w:val="24"/>
          <w:szCs w:val="24"/>
          <w:highlight w:val="none"/>
        </w:rPr>
      </w:pPr>
    </w:p>
    <w:p w14:paraId="071DB473">
      <w:pPr>
        <w:pStyle w:val="14"/>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19A045C5">
      <w:pPr>
        <w:pStyle w:val="14"/>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34A14D91">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投标人名称（电子签章）：                                                               年    月    日</w:t>
      </w:r>
    </w:p>
    <w:p w14:paraId="2B297397">
      <w:pPr>
        <w:snapToGrid w:val="0"/>
        <w:spacing w:before="50"/>
        <w:ind w:firstLine="480" w:firstLineChars="200"/>
        <w:jc w:val="left"/>
        <w:rPr>
          <w:rFonts w:ascii="宋体" w:hAnsi="宋体" w:cs="宋体"/>
          <w:color w:val="auto"/>
          <w:sz w:val="24"/>
          <w:szCs w:val="20"/>
          <w:highlight w:val="none"/>
        </w:rPr>
      </w:pPr>
    </w:p>
    <w:p w14:paraId="70443F5E">
      <w:pPr>
        <w:snapToGrid w:val="0"/>
        <w:spacing w:before="50"/>
        <w:jc w:val="left"/>
        <w:rPr>
          <w:rFonts w:ascii="宋体" w:hAnsi="宋体" w:cs="宋体"/>
          <w:color w:val="auto"/>
          <w:sz w:val="24"/>
          <w:highlight w:val="none"/>
        </w:rPr>
      </w:pPr>
    </w:p>
    <w:p w14:paraId="053FFF59">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cols w:space="720" w:num="1"/>
          <w:docGrid w:linePitch="312" w:charSpace="0"/>
        </w:sectPr>
      </w:pPr>
    </w:p>
    <w:p w14:paraId="0333B91A">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7250BDA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1E88E47A">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04B1CBE7">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33E81D82">
      <w:pPr>
        <w:snapToGrid w:val="0"/>
        <w:spacing w:before="120" w:beforeLines="50" w:after="50"/>
        <w:rPr>
          <w:rFonts w:ascii="宋体" w:hAnsi="宋体" w:cs="宋体"/>
          <w:bCs/>
          <w:color w:val="auto"/>
          <w:sz w:val="24"/>
          <w:szCs w:val="20"/>
          <w:highlight w:val="none"/>
        </w:rPr>
      </w:pPr>
    </w:p>
    <w:p w14:paraId="6AC0CDBB">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01A1600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26EE490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E758DB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1ECB16A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70304949">
      <w:pPr>
        <w:snapToGrid w:val="0"/>
        <w:spacing w:before="120" w:beforeLines="50" w:after="50"/>
        <w:ind w:firstLine="645"/>
        <w:jc w:val="center"/>
        <w:rPr>
          <w:rFonts w:ascii="宋体" w:hAnsi="宋体" w:cs="宋体"/>
          <w:color w:val="auto"/>
          <w:sz w:val="24"/>
          <w:szCs w:val="20"/>
          <w:highlight w:val="none"/>
        </w:rPr>
      </w:pPr>
    </w:p>
    <w:p w14:paraId="07786474">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30B279CD">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49F7882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382E7850">
      <w:pPr>
        <w:snapToGrid w:val="0"/>
        <w:spacing w:before="120" w:beforeLines="50" w:after="50"/>
        <w:ind w:left="142"/>
        <w:jc w:val="left"/>
        <w:rPr>
          <w:rFonts w:ascii="宋体" w:hAnsi="宋体" w:cs="宋体"/>
          <w:b/>
          <w:color w:val="auto"/>
          <w:sz w:val="24"/>
          <w:highlight w:val="none"/>
        </w:rPr>
      </w:pPr>
    </w:p>
    <w:p w14:paraId="69CA677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服务内容及要求响应表</w:t>
      </w:r>
    </w:p>
    <w:p w14:paraId="14F0D265">
      <w:pPr>
        <w:snapToGrid w:val="0"/>
        <w:spacing w:before="120" w:beforeLines="50" w:after="50"/>
        <w:ind w:left="142"/>
        <w:jc w:val="left"/>
        <w:rPr>
          <w:rFonts w:ascii="宋体" w:hAnsi="宋体" w:cs="宋体"/>
          <w:b/>
          <w:color w:val="auto"/>
          <w:sz w:val="24"/>
          <w:highlight w:val="none"/>
        </w:rPr>
      </w:pPr>
    </w:p>
    <w:p w14:paraId="75C43811">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服务内容及要求响应表</w:t>
      </w:r>
    </w:p>
    <w:p w14:paraId="03A7DA0B">
      <w:pPr>
        <w:pStyle w:val="25"/>
        <w:spacing w:line="400" w:lineRule="exact"/>
        <w:jc w:val="left"/>
        <w:rPr>
          <w:rFonts w:hAnsi="宋体" w:cs="宋体"/>
          <w:color w:val="auto"/>
          <w:kern w:val="2"/>
          <w:sz w:val="24"/>
          <w:highlight w:val="none"/>
        </w:rPr>
      </w:pPr>
    </w:p>
    <w:tbl>
      <w:tblPr>
        <w:tblStyle w:val="48"/>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072"/>
        <w:gridCol w:w="1943"/>
        <w:gridCol w:w="1934"/>
      </w:tblGrid>
      <w:tr w14:paraId="65F3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58" w:type="dxa"/>
            <w:vAlign w:val="center"/>
          </w:tcPr>
          <w:p w14:paraId="596480D5">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2072" w:type="dxa"/>
            <w:vAlign w:val="center"/>
          </w:tcPr>
          <w:p w14:paraId="7FAF44FD">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服务内容及要求</w:t>
            </w:r>
          </w:p>
        </w:tc>
        <w:tc>
          <w:tcPr>
            <w:tcW w:w="1943" w:type="dxa"/>
            <w:vAlign w:val="center"/>
          </w:tcPr>
          <w:p w14:paraId="01F6A768">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6E81003E">
            <w:pPr>
              <w:pStyle w:val="25"/>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21A5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vAlign w:val="center"/>
          </w:tcPr>
          <w:p w14:paraId="40A95447">
            <w:pPr>
              <w:pStyle w:val="25"/>
              <w:spacing w:line="600" w:lineRule="exact"/>
              <w:jc w:val="center"/>
              <w:rPr>
                <w:rFonts w:hAnsi="宋体" w:cs="宋体"/>
                <w:color w:val="auto"/>
                <w:kern w:val="2"/>
                <w:sz w:val="24"/>
                <w:highlight w:val="none"/>
              </w:rPr>
            </w:pPr>
          </w:p>
        </w:tc>
        <w:tc>
          <w:tcPr>
            <w:tcW w:w="2072" w:type="dxa"/>
            <w:vAlign w:val="center"/>
          </w:tcPr>
          <w:p w14:paraId="3B130980">
            <w:pPr>
              <w:pStyle w:val="25"/>
              <w:spacing w:line="600" w:lineRule="exact"/>
              <w:jc w:val="center"/>
              <w:rPr>
                <w:rFonts w:hAnsi="宋体" w:cs="宋体"/>
                <w:color w:val="auto"/>
                <w:kern w:val="2"/>
                <w:sz w:val="24"/>
                <w:highlight w:val="none"/>
              </w:rPr>
            </w:pPr>
          </w:p>
        </w:tc>
        <w:tc>
          <w:tcPr>
            <w:tcW w:w="1943" w:type="dxa"/>
            <w:vAlign w:val="center"/>
          </w:tcPr>
          <w:p w14:paraId="646047F1">
            <w:pPr>
              <w:pStyle w:val="25"/>
              <w:spacing w:line="600" w:lineRule="exact"/>
              <w:jc w:val="center"/>
              <w:rPr>
                <w:rFonts w:hAnsi="宋体" w:cs="宋体"/>
                <w:color w:val="auto"/>
                <w:kern w:val="2"/>
                <w:sz w:val="24"/>
                <w:highlight w:val="none"/>
              </w:rPr>
            </w:pPr>
          </w:p>
        </w:tc>
        <w:tc>
          <w:tcPr>
            <w:tcW w:w="1934" w:type="dxa"/>
            <w:vAlign w:val="center"/>
          </w:tcPr>
          <w:p w14:paraId="5CB4DD96">
            <w:pPr>
              <w:pStyle w:val="25"/>
              <w:spacing w:line="600" w:lineRule="exact"/>
              <w:jc w:val="center"/>
              <w:rPr>
                <w:rFonts w:hAnsi="宋体" w:cs="宋体"/>
                <w:color w:val="auto"/>
                <w:kern w:val="2"/>
                <w:sz w:val="24"/>
                <w:highlight w:val="none"/>
              </w:rPr>
            </w:pPr>
          </w:p>
        </w:tc>
      </w:tr>
    </w:tbl>
    <w:p w14:paraId="6DB927B3">
      <w:pPr>
        <w:pStyle w:val="17"/>
        <w:rPr>
          <w:rFonts w:ascii="宋体" w:hAnsi="宋体" w:cs="宋体"/>
          <w:color w:val="auto"/>
          <w:highlight w:val="none"/>
        </w:rPr>
      </w:pPr>
      <w:r>
        <w:rPr>
          <w:rFonts w:hint="eastAsia" w:ascii="宋体" w:hAnsi="宋体" w:cs="宋体"/>
          <w:color w:val="auto"/>
          <w:highlight w:val="none"/>
        </w:rPr>
        <w:t>注：</w:t>
      </w:r>
    </w:p>
    <w:p w14:paraId="7334E128">
      <w:pPr>
        <w:pStyle w:val="19"/>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采购需求”中的“服务内容及要求”逐条作明确的投标响应，并作出偏离说明。</w:t>
      </w:r>
    </w:p>
    <w:p w14:paraId="4EAEA15C">
      <w:pPr>
        <w:pStyle w:val="17"/>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2.投标人根据所投服务，对照招标文件服务内容及要求，在“偏离说明”中注明“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1C711A92">
      <w:pPr>
        <w:snapToGrid w:val="0"/>
        <w:spacing w:before="50" w:after="50" w:line="360" w:lineRule="auto"/>
        <w:rPr>
          <w:rFonts w:ascii="宋体" w:hAnsi="宋体" w:cs="宋体"/>
          <w:color w:val="auto"/>
          <w:sz w:val="24"/>
          <w:highlight w:val="none"/>
        </w:rPr>
      </w:pPr>
    </w:p>
    <w:p w14:paraId="3A1505D7">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538DE8CA">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06286581">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56CAAA5A">
      <w:pPr>
        <w:snapToGrid w:val="0"/>
        <w:spacing w:before="50" w:after="50" w:line="360" w:lineRule="auto"/>
        <w:rPr>
          <w:rFonts w:ascii="宋体" w:hAnsi="宋体" w:cs="宋体"/>
          <w:color w:val="auto"/>
          <w:sz w:val="24"/>
          <w:szCs w:val="20"/>
          <w:highlight w:val="none"/>
        </w:rPr>
      </w:pPr>
    </w:p>
    <w:p w14:paraId="37F62A2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79BB930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2C0529BF">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4A1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1F5DED">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763294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5232B2D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7E0421EB">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7F963492">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406BBD26">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0443B3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76E8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8F19CE">
            <w:pPr>
              <w:snapToGrid w:val="0"/>
              <w:spacing w:before="50" w:after="120" w:afterLines="50"/>
              <w:jc w:val="center"/>
              <w:rPr>
                <w:rFonts w:ascii="宋体" w:hAnsi="宋体" w:cs="宋体"/>
                <w:color w:val="auto"/>
                <w:sz w:val="24"/>
                <w:szCs w:val="20"/>
                <w:highlight w:val="none"/>
              </w:rPr>
            </w:pPr>
          </w:p>
        </w:tc>
        <w:tc>
          <w:tcPr>
            <w:tcW w:w="709" w:type="dxa"/>
            <w:vAlign w:val="center"/>
          </w:tcPr>
          <w:p w14:paraId="62DDCB0D">
            <w:pPr>
              <w:snapToGrid w:val="0"/>
              <w:spacing w:before="50" w:after="120" w:afterLines="50"/>
              <w:jc w:val="center"/>
              <w:rPr>
                <w:rFonts w:ascii="宋体" w:hAnsi="宋体" w:cs="宋体"/>
                <w:color w:val="auto"/>
                <w:sz w:val="24"/>
                <w:szCs w:val="20"/>
                <w:highlight w:val="none"/>
              </w:rPr>
            </w:pPr>
          </w:p>
        </w:tc>
        <w:tc>
          <w:tcPr>
            <w:tcW w:w="1701" w:type="dxa"/>
            <w:vAlign w:val="center"/>
          </w:tcPr>
          <w:p w14:paraId="71C39C0B">
            <w:pPr>
              <w:snapToGrid w:val="0"/>
              <w:spacing w:before="50" w:after="120" w:afterLines="50"/>
              <w:jc w:val="center"/>
              <w:rPr>
                <w:rFonts w:ascii="宋体" w:hAnsi="宋体" w:cs="宋体"/>
                <w:color w:val="auto"/>
                <w:sz w:val="24"/>
                <w:szCs w:val="20"/>
                <w:highlight w:val="none"/>
              </w:rPr>
            </w:pPr>
          </w:p>
        </w:tc>
        <w:tc>
          <w:tcPr>
            <w:tcW w:w="1420" w:type="dxa"/>
            <w:vAlign w:val="center"/>
          </w:tcPr>
          <w:p w14:paraId="78464888">
            <w:pPr>
              <w:snapToGrid w:val="0"/>
              <w:spacing w:before="50" w:after="120" w:afterLines="50"/>
              <w:jc w:val="center"/>
              <w:rPr>
                <w:rFonts w:ascii="宋体" w:hAnsi="宋体" w:cs="宋体"/>
                <w:color w:val="auto"/>
                <w:sz w:val="24"/>
                <w:szCs w:val="20"/>
                <w:highlight w:val="none"/>
              </w:rPr>
            </w:pPr>
          </w:p>
        </w:tc>
        <w:tc>
          <w:tcPr>
            <w:tcW w:w="1698" w:type="dxa"/>
            <w:vAlign w:val="center"/>
          </w:tcPr>
          <w:p w14:paraId="3B597108">
            <w:pPr>
              <w:snapToGrid w:val="0"/>
              <w:spacing w:before="50" w:after="120" w:afterLines="50"/>
              <w:jc w:val="center"/>
              <w:rPr>
                <w:rFonts w:ascii="宋体" w:hAnsi="宋体" w:cs="宋体"/>
                <w:color w:val="auto"/>
                <w:sz w:val="24"/>
                <w:szCs w:val="20"/>
                <w:highlight w:val="none"/>
              </w:rPr>
            </w:pPr>
          </w:p>
        </w:tc>
        <w:tc>
          <w:tcPr>
            <w:tcW w:w="1843" w:type="dxa"/>
            <w:vAlign w:val="center"/>
          </w:tcPr>
          <w:p w14:paraId="715221D6">
            <w:pPr>
              <w:snapToGrid w:val="0"/>
              <w:spacing w:before="50" w:after="120" w:afterLines="50"/>
              <w:jc w:val="center"/>
              <w:rPr>
                <w:rFonts w:ascii="宋体" w:hAnsi="宋体" w:cs="宋体"/>
                <w:color w:val="auto"/>
                <w:sz w:val="24"/>
                <w:szCs w:val="20"/>
                <w:highlight w:val="none"/>
              </w:rPr>
            </w:pPr>
          </w:p>
        </w:tc>
      </w:tr>
      <w:tr w14:paraId="128D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82732E">
            <w:pPr>
              <w:snapToGrid w:val="0"/>
              <w:spacing w:before="50" w:after="120" w:afterLines="50"/>
              <w:jc w:val="center"/>
              <w:rPr>
                <w:rFonts w:ascii="宋体" w:hAnsi="宋体" w:cs="宋体"/>
                <w:color w:val="auto"/>
                <w:sz w:val="24"/>
                <w:szCs w:val="20"/>
                <w:highlight w:val="none"/>
              </w:rPr>
            </w:pPr>
          </w:p>
        </w:tc>
        <w:tc>
          <w:tcPr>
            <w:tcW w:w="709" w:type="dxa"/>
            <w:vAlign w:val="center"/>
          </w:tcPr>
          <w:p w14:paraId="41898A0C">
            <w:pPr>
              <w:snapToGrid w:val="0"/>
              <w:spacing w:before="50" w:after="120" w:afterLines="50"/>
              <w:jc w:val="center"/>
              <w:rPr>
                <w:rFonts w:ascii="宋体" w:hAnsi="宋体" w:cs="宋体"/>
                <w:color w:val="auto"/>
                <w:sz w:val="24"/>
                <w:szCs w:val="20"/>
                <w:highlight w:val="none"/>
              </w:rPr>
            </w:pPr>
          </w:p>
        </w:tc>
        <w:tc>
          <w:tcPr>
            <w:tcW w:w="1701" w:type="dxa"/>
            <w:vAlign w:val="center"/>
          </w:tcPr>
          <w:p w14:paraId="5481BC22">
            <w:pPr>
              <w:snapToGrid w:val="0"/>
              <w:spacing w:before="50" w:after="120" w:afterLines="50"/>
              <w:jc w:val="center"/>
              <w:rPr>
                <w:rFonts w:ascii="宋体" w:hAnsi="宋体" w:cs="宋体"/>
                <w:color w:val="auto"/>
                <w:sz w:val="24"/>
                <w:szCs w:val="20"/>
                <w:highlight w:val="none"/>
              </w:rPr>
            </w:pPr>
          </w:p>
        </w:tc>
        <w:tc>
          <w:tcPr>
            <w:tcW w:w="1420" w:type="dxa"/>
            <w:vAlign w:val="center"/>
          </w:tcPr>
          <w:p w14:paraId="101B5306">
            <w:pPr>
              <w:snapToGrid w:val="0"/>
              <w:spacing w:before="50" w:after="120" w:afterLines="50"/>
              <w:jc w:val="center"/>
              <w:rPr>
                <w:rFonts w:ascii="宋体" w:hAnsi="宋体" w:cs="宋体"/>
                <w:color w:val="auto"/>
                <w:sz w:val="24"/>
                <w:szCs w:val="20"/>
                <w:highlight w:val="none"/>
              </w:rPr>
            </w:pPr>
          </w:p>
        </w:tc>
        <w:tc>
          <w:tcPr>
            <w:tcW w:w="1698" w:type="dxa"/>
            <w:vAlign w:val="center"/>
          </w:tcPr>
          <w:p w14:paraId="034CCB86">
            <w:pPr>
              <w:snapToGrid w:val="0"/>
              <w:spacing w:before="50" w:after="120" w:afterLines="50"/>
              <w:jc w:val="center"/>
              <w:rPr>
                <w:rFonts w:ascii="宋体" w:hAnsi="宋体" w:cs="宋体"/>
                <w:color w:val="auto"/>
                <w:sz w:val="24"/>
                <w:szCs w:val="20"/>
                <w:highlight w:val="none"/>
              </w:rPr>
            </w:pPr>
          </w:p>
        </w:tc>
        <w:tc>
          <w:tcPr>
            <w:tcW w:w="1843" w:type="dxa"/>
            <w:vAlign w:val="center"/>
          </w:tcPr>
          <w:p w14:paraId="34288BF4">
            <w:pPr>
              <w:snapToGrid w:val="0"/>
              <w:spacing w:before="50" w:after="120" w:afterLines="50"/>
              <w:jc w:val="center"/>
              <w:rPr>
                <w:rFonts w:ascii="宋体" w:hAnsi="宋体" w:cs="宋体"/>
                <w:color w:val="auto"/>
                <w:sz w:val="24"/>
                <w:szCs w:val="20"/>
                <w:highlight w:val="none"/>
              </w:rPr>
            </w:pPr>
          </w:p>
        </w:tc>
      </w:tr>
      <w:tr w14:paraId="7395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E1C349">
            <w:pPr>
              <w:snapToGrid w:val="0"/>
              <w:spacing w:before="50" w:after="120" w:afterLines="50"/>
              <w:jc w:val="center"/>
              <w:rPr>
                <w:rFonts w:ascii="宋体" w:hAnsi="宋体" w:cs="宋体"/>
                <w:color w:val="auto"/>
                <w:sz w:val="24"/>
                <w:szCs w:val="20"/>
                <w:highlight w:val="none"/>
              </w:rPr>
            </w:pPr>
          </w:p>
        </w:tc>
        <w:tc>
          <w:tcPr>
            <w:tcW w:w="709" w:type="dxa"/>
            <w:vAlign w:val="center"/>
          </w:tcPr>
          <w:p w14:paraId="210DA4A8">
            <w:pPr>
              <w:snapToGrid w:val="0"/>
              <w:spacing w:before="50" w:after="120" w:afterLines="50"/>
              <w:jc w:val="center"/>
              <w:rPr>
                <w:rFonts w:ascii="宋体" w:hAnsi="宋体" w:cs="宋体"/>
                <w:color w:val="auto"/>
                <w:sz w:val="24"/>
                <w:szCs w:val="20"/>
                <w:highlight w:val="none"/>
              </w:rPr>
            </w:pPr>
          </w:p>
        </w:tc>
        <w:tc>
          <w:tcPr>
            <w:tcW w:w="1701" w:type="dxa"/>
            <w:vAlign w:val="center"/>
          </w:tcPr>
          <w:p w14:paraId="23729268">
            <w:pPr>
              <w:snapToGrid w:val="0"/>
              <w:spacing w:before="50" w:after="120" w:afterLines="50"/>
              <w:jc w:val="center"/>
              <w:rPr>
                <w:rFonts w:ascii="宋体" w:hAnsi="宋体" w:cs="宋体"/>
                <w:color w:val="auto"/>
                <w:sz w:val="24"/>
                <w:szCs w:val="20"/>
                <w:highlight w:val="none"/>
              </w:rPr>
            </w:pPr>
          </w:p>
        </w:tc>
        <w:tc>
          <w:tcPr>
            <w:tcW w:w="1420" w:type="dxa"/>
            <w:vAlign w:val="center"/>
          </w:tcPr>
          <w:p w14:paraId="7D675D4B">
            <w:pPr>
              <w:snapToGrid w:val="0"/>
              <w:spacing w:before="50" w:after="120" w:afterLines="50"/>
              <w:jc w:val="center"/>
              <w:rPr>
                <w:rFonts w:ascii="宋体" w:hAnsi="宋体" w:cs="宋体"/>
                <w:color w:val="auto"/>
                <w:sz w:val="24"/>
                <w:szCs w:val="20"/>
                <w:highlight w:val="none"/>
              </w:rPr>
            </w:pPr>
          </w:p>
        </w:tc>
        <w:tc>
          <w:tcPr>
            <w:tcW w:w="1698" w:type="dxa"/>
            <w:vAlign w:val="center"/>
          </w:tcPr>
          <w:p w14:paraId="01730B53">
            <w:pPr>
              <w:snapToGrid w:val="0"/>
              <w:spacing w:before="50" w:after="120" w:afterLines="50"/>
              <w:jc w:val="center"/>
              <w:rPr>
                <w:rFonts w:ascii="宋体" w:hAnsi="宋体" w:cs="宋体"/>
                <w:color w:val="auto"/>
                <w:sz w:val="24"/>
                <w:szCs w:val="20"/>
                <w:highlight w:val="none"/>
              </w:rPr>
            </w:pPr>
          </w:p>
        </w:tc>
        <w:tc>
          <w:tcPr>
            <w:tcW w:w="1843" w:type="dxa"/>
            <w:vAlign w:val="center"/>
          </w:tcPr>
          <w:p w14:paraId="3586130B">
            <w:pPr>
              <w:snapToGrid w:val="0"/>
              <w:spacing w:before="50" w:after="120" w:afterLines="50"/>
              <w:jc w:val="center"/>
              <w:rPr>
                <w:rFonts w:ascii="宋体" w:hAnsi="宋体" w:cs="宋体"/>
                <w:color w:val="auto"/>
                <w:sz w:val="24"/>
                <w:szCs w:val="20"/>
                <w:highlight w:val="none"/>
              </w:rPr>
            </w:pPr>
          </w:p>
        </w:tc>
      </w:tr>
    </w:tbl>
    <w:p w14:paraId="459F9C7D">
      <w:pPr>
        <w:snapToGrid w:val="0"/>
        <w:spacing w:before="50" w:after="120" w:afterLines="50"/>
        <w:jc w:val="left"/>
        <w:rPr>
          <w:rFonts w:ascii="宋体" w:hAnsi="宋体" w:cs="宋体"/>
          <w:color w:val="auto"/>
          <w:sz w:val="24"/>
          <w:szCs w:val="20"/>
          <w:highlight w:val="none"/>
        </w:rPr>
      </w:pPr>
    </w:p>
    <w:p w14:paraId="174352EF">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0CD16768">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5878A652">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2.投标人应当附本表所列证书的复印件并加盖供应商CA电子签章。</w:t>
      </w:r>
    </w:p>
    <w:p w14:paraId="279171B4">
      <w:pPr>
        <w:spacing w:line="360" w:lineRule="auto"/>
        <w:contextualSpacing/>
        <w:jc w:val="left"/>
        <w:rPr>
          <w:rFonts w:ascii="宋体" w:hAnsi="宋体" w:cs="宋体"/>
          <w:color w:val="auto"/>
          <w:sz w:val="24"/>
          <w:szCs w:val="20"/>
          <w:highlight w:val="none"/>
        </w:rPr>
      </w:pPr>
    </w:p>
    <w:p w14:paraId="11C3DF09">
      <w:pPr>
        <w:spacing w:line="360" w:lineRule="auto"/>
        <w:contextualSpacing/>
        <w:jc w:val="left"/>
        <w:rPr>
          <w:rFonts w:ascii="宋体" w:hAnsi="宋体" w:cs="宋体"/>
          <w:color w:val="auto"/>
          <w:sz w:val="24"/>
          <w:szCs w:val="20"/>
          <w:highlight w:val="none"/>
        </w:rPr>
      </w:pPr>
    </w:p>
    <w:p w14:paraId="22500B2D">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73C98BF2">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160AB183">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3348A5F7">
      <w:pPr>
        <w:snapToGrid w:val="0"/>
        <w:spacing w:before="50" w:after="120" w:afterLines="50"/>
        <w:jc w:val="left"/>
        <w:rPr>
          <w:rFonts w:ascii="宋体" w:hAnsi="宋体" w:cs="宋体"/>
          <w:color w:val="auto"/>
          <w:sz w:val="24"/>
          <w:szCs w:val="20"/>
          <w:highlight w:val="none"/>
        </w:rPr>
      </w:pPr>
    </w:p>
    <w:p w14:paraId="0513B120">
      <w:pPr>
        <w:rPr>
          <w:rFonts w:ascii="宋体" w:hAnsi="宋体" w:cs="宋体"/>
          <w:b/>
          <w:color w:val="auto"/>
          <w:sz w:val="28"/>
          <w:szCs w:val="28"/>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五、其他文书、文件格式</w:t>
      </w:r>
    </w:p>
    <w:p w14:paraId="5F7EDB89">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20B8F87A">
      <w:pPr>
        <w:pStyle w:val="6"/>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732134C3">
      <w:pPr>
        <w:pStyle w:val="6"/>
        <w:overflowPunct w:val="0"/>
        <w:rPr>
          <w:rFonts w:ascii="宋体" w:hAnsi="宋体" w:cs="宋体"/>
          <w:color w:val="auto"/>
          <w:sz w:val="24"/>
          <w:highlight w:val="none"/>
        </w:rPr>
      </w:pPr>
    </w:p>
    <w:p w14:paraId="5BF211E0">
      <w:pPr>
        <w:pStyle w:val="6"/>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70A4B416">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799D978A">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2DCB8A89">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748E77EB">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89B5D85">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1B5F879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3AE08DC2">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53AB1B46">
      <w:pPr>
        <w:pStyle w:val="6"/>
        <w:overflowPunct w:val="0"/>
        <w:spacing w:line="360" w:lineRule="auto"/>
        <w:ind w:firstLineChars="175"/>
        <w:contextualSpacing/>
        <w:rPr>
          <w:rFonts w:ascii="宋体" w:hAnsi="宋体" w:cs="宋体"/>
          <w:color w:val="auto"/>
          <w:sz w:val="24"/>
          <w:highlight w:val="none"/>
        </w:rPr>
      </w:pPr>
    </w:p>
    <w:p w14:paraId="6642376D">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联合体牵头人名称（电子签章）：</w:t>
      </w:r>
    </w:p>
    <w:p w14:paraId="1555392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17D4304">
      <w:pPr>
        <w:pStyle w:val="6"/>
        <w:overflowPunct w:val="0"/>
        <w:spacing w:line="360" w:lineRule="auto"/>
        <w:ind w:firstLineChars="175"/>
        <w:contextualSpacing/>
        <w:rPr>
          <w:rFonts w:ascii="宋体" w:hAnsi="宋体" w:cs="宋体"/>
          <w:color w:val="auto"/>
          <w:sz w:val="24"/>
          <w:highlight w:val="none"/>
        </w:rPr>
      </w:pPr>
    </w:p>
    <w:p w14:paraId="3D80A162">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联合体成员名称（盖公章或者电子签章）：</w:t>
      </w:r>
    </w:p>
    <w:p w14:paraId="0ABBF789">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813F3EC">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60818491">
      <w:pPr>
        <w:pStyle w:val="6"/>
        <w:overflowPunct w:val="0"/>
        <w:spacing w:line="360" w:lineRule="auto"/>
        <w:ind w:firstLineChars="175"/>
        <w:contextualSpacing/>
        <w:rPr>
          <w:rFonts w:ascii="宋体" w:hAnsi="宋体" w:cs="宋体"/>
          <w:color w:val="auto"/>
          <w:sz w:val="24"/>
          <w:highlight w:val="none"/>
        </w:rPr>
      </w:pPr>
    </w:p>
    <w:p w14:paraId="63C794BA">
      <w:pPr>
        <w:pStyle w:val="6"/>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7AA18C8B">
      <w:pPr>
        <w:snapToGrid w:val="0"/>
        <w:spacing w:before="120" w:beforeLines="50" w:after="50"/>
        <w:jc w:val="left"/>
        <w:rPr>
          <w:rFonts w:ascii="宋体" w:hAnsi="宋体" w:cs="宋体"/>
          <w:b/>
          <w:color w:val="auto"/>
          <w:sz w:val="24"/>
          <w:highlight w:val="none"/>
        </w:rPr>
      </w:pPr>
    </w:p>
    <w:p w14:paraId="22999CB2">
      <w:pPr>
        <w:spacing w:line="360" w:lineRule="auto"/>
        <w:contextualSpacing/>
        <w:rPr>
          <w:rFonts w:ascii="宋体" w:hAnsi="宋体" w:cs="宋体"/>
          <w:color w:val="auto"/>
          <w:sz w:val="24"/>
          <w:highlight w:val="none"/>
        </w:rPr>
      </w:pPr>
      <w:r>
        <w:rPr>
          <w:rFonts w:hint="eastAsia" w:ascii="宋体" w:hAnsi="宋体" w:cs="宋体"/>
          <w:b/>
          <w:color w:val="auto"/>
          <w:sz w:val="24"/>
          <w:highlight w:val="none"/>
        </w:rPr>
        <w:br w:type="page"/>
      </w:r>
    </w:p>
    <w:p w14:paraId="7A1D173A">
      <w:pPr>
        <w:pStyle w:val="18"/>
        <w:rPr>
          <w:rFonts w:ascii="宋体" w:hAnsi="宋体"/>
          <w:b/>
          <w:color w:val="auto"/>
          <w:highlight w:val="none"/>
        </w:rPr>
      </w:pPr>
      <w:r>
        <w:rPr>
          <w:rFonts w:hint="eastAsia" w:ascii="宋体" w:hAnsi="宋体"/>
          <w:b/>
          <w:color w:val="auto"/>
          <w:highlight w:val="none"/>
        </w:rPr>
        <w:t>2.</w:t>
      </w:r>
      <w:r>
        <w:rPr>
          <w:rFonts w:hint="eastAsia"/>
          <w:color w:val="auto"/>
          <w:highlight w:val="none"/>
        </w:rPr>
        <w:t xml:space="preserve"> </w:t>
      </w:r>
      <w:r>
        <w:rPr>
          <w:rFonts w:hint="eastAsia" w:ascii="宋体" w:hAnsi="宋体"/>
          <w:b/>
          <w:color w:val="auto"/>
          <w:highlight w:val="none"/>
        </w:rPr>
        <w:t>关于符合本国产品标准的声明函格式</w:t>
      </w:r>
    </w:p>
    <w:p w14:paraId="4910FF9C">
      <w:pPr>
        <w:pStyle w:val="18"/>
        <w:rPr>
          <w:color w:val="auto"/>
          <w:highlight w:val="none"/>
        </w:rPr>
      </w:pPr>
    </w:p>
    <w:p w14:paraId="2C2AE11C">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040AB60F">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29F70A7C">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0559F0E5">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667B3D5B">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20EDC6CB">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5CF02173">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03403277">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50DCB21B">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3DA99C77">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2EE445DE">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065917D0">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22F348F3">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6A426991">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10D8D0F8">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68D58625">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6288214A">
      <w:pPr>
        <w:pStyle w:val="18"/>
        <w:rPr>
          <w:color w:val="auto"/>
          <w:highlight w:val="none"/>
        </w:rPr>
      </w:pPr>
    </w:p>
    <w:p w14:paraId="1B720AA6">
      <w:pPr>
        <w:spacing w:line="360" w:lineRule="auto"/>
        <w:jc w:val="left"/>
        <w:rPr>
          <w:rFonts w:ascii="宋体" w:hAnsi="宋体" w:cs="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3</w:t>
      </w:r>
      <w:r>
        <w:rPr>
          <w:rFonts w:hint="eastAsia" w:ascii="宋体" w:hAnsi="宋体" w:cs="宋体"/>
          <w:b/>
          <w:color w:val="auto"/>
          <w:sz w:val="24"/>
          <w:highlight w:val="none"/>
        </w:rPr>
        <w:t>.质疑函（格式）</w:t>
      </w:r>
    </w:p>
    <w:p w14:paraId="010F31F7">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3EFC71ED">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75AB567B">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492199A1">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90F9386">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59B53F2">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42F043B4">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16623399">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0623AF0">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37BF887">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25FA501A">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0EDFAEFE">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36490CE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2B81EB51">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322D48A2">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0E485043">
      <w:pPr>
        <w:pStyle w:val="2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073BD2EA">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1D1713CE">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195F938A">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02ABD67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154FA26C">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2B16C123">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22FC132A">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3B77F59E">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0416938E">
      <w:pPr>
        <w:pStyle w:val="25"/>
        <w:spacing w:line="360" w:lineRule="auto"/>
        <w:ind w:left="25" w:leftChars="12" w:firstLine="352" w:firstLineChars="147"/>
        <w:rPr>
          <w:rFonts w:hAnsi="宋体" w:cs="宋体"/>
          <w:color w:val="auto"/>
          <w:sz w:val="24"/>
          <w:szCs w:val="24"/>
          <w:highlight w:val="none"/>
        </w:rPr>
      </w:pPr>
    </w:p>
    <w:p w14:paraId="71276A4D">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10260343">
      <w:pPr>
        <w:pStyle w:val="25"/>
        <w:spacing w:line="360" w:lineRule="auto"/>
        <w:ind w:left="25" w:leftChars="12" w:firstLine="352" w:firstLineChars="147"/>
        <w:rPr>
          <w:rFonts w:hAnsi="宋体" w:cs="宋体"/>
          <w:color w:val="auto"/>
          <w:sz w:val="24"/>
          <w:szCs w:val="24"/>
          <w:highlight w:val="none"/>
        </w:rPr>
      </w:pPr>
    </w:p>
    <w:p w14:paraId="1D57DB69">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4E891C37">
      <w:pPr>
        <w:pStyle w:val="25"/>
        <w:snapToGrid w:val="0"/>
        <w:spacing w:line="360" w:lineRule="auto"/>
        <w:rPr>
          <w:rFonts w:hAnsi="宋体" w:cs="宋体"/>
          <w:b/>
          <w:color w:val="auto"/>
          <w:sz w:val="24"/>
          <w:szCs w:val="24"/>
          <w:highlight w:val="none"/>
        </w:rPr>
      </w:pPr>
    </w:p>
    <w:p w14:paraId="7D0C5859">
      <w:pPr>
        <w:pStyle w:val="2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DA63D86">
      <w:pPr>
        <w:pStyle w:val="2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D932CCC">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22A7643">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207AE3F">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BB492C9">
      <w:pPr>
        <w:pStyle w:val="2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296FF214">
      <w:pPr>
        <w:pStyle w:val="25"/>
        <w:snapToGrid w:val="0"/>
        <w:rPr>
          <w:rFonts w:hAnsi="宋体" w:cs="宋体"/>
          <w:b/>
          <w:color w:val="auto"/>
          <w:sz w:val="24"/>
          <w:szCs w:val="24"/>
          <w:highlight w:val="none"/>
        </w:rPr>
      </w:pPr>
    </w:p>
    <w:p w14:paraId="46A6A090">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4.投诉书（格式）</w:t>
      </w:r>
    </w:p>
    <w:p w14:paraId="016A901B">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7026FC7A">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2B0B5A8">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7035AB3F">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5F77916">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11ED1BBC">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04DAD80">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F05D5CD">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2DE7EC32">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355D0205">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4C235B13">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0369B8E7">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09E736F6">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063421F6">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19077C63">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4F3BA746">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3E8D02F2">
      <w:pPr>
        <w:pStyle w:val="25"/>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42B6C193">
      <w:pPr>
        <w:pStyle w:val="25"/>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782CFF10">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14200C5">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0C247E6E">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6F12F4FC">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454D5C23">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43D47678">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48D1A592">
      <w:pPr>
        <w:pStyle w:val="2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2DC9B2EC">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2DE1DC41">
      <w:pPr>
        <w:pStyle w:val="25"/>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4CCB7F42">
      <w:pPr>
        <w:pStyle w:val="25"/>
        <w:spacing w:line="360" w:lineRule="auto"/>
        <w:ind w:firstLine="241"/>
        <w:rPr>
          <w:rFonts w:hAnsi="宋体" w:cs="宋体"/>
          <w:bCs/>
          <w:color w:val="auto"/>
          <w:sz w:val="24"/>
          <w:szCs w:val="24"/>
          <w:highlight w:val="none"/>
          <w:u w:val="single"/>
        </w:rPr>
      </w:pPr>
    </w:p>
    <w:p w14:paraId="35DDD20E">
      <w:pPr>
        <w:pStyle w:val="25"/>
        <w:spacing w:line="360" w:lineRule="auto"/>
        <w:ind w:firstLine="241"/>
        <w:rPr>
          <w:rFonts w:hAnsi="宋体" w:cs="宋体"/>
          <w:bCs/>
          <w:color w:val="auto"/>
          <w:sz w:val="24"/>
          <w:szCs w:val="24"/>
          <w:highlight w:val="none"/>
          <w:u w:val="single"/>
        </w:rPr>
      </w:pPr>
    </w:p>
    <w:p w14:paraId="19D03D14">
      <w:pPr>
        <w:pStyle w:val="2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64C3E182">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9AF2FBD">
      <w:pPr>
        <w:pStyle w:val="2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60C734A2">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553B15EC">
      <w:pPr>
        <w:pStyle w:val="25"/>
        <w:spacing w:line="360" w:lineRule="auto"/>
        <w:ind w:left="25" w:leftChars="12" w:firstLine="472" w:firstLineChars="197"/>
        <w:rPr>
          <w:rFonts w:hAnsi="宋体" w:cs="宋体"/>
          <w:color w:val="auto"/>
          <w:sz w:val="24"/>
          <w:szCs w:val="24"/>
          <w:highlight w:val="none"/>
        </w:rPr>
      </w:pPr>
    </w:p>
    <w:p w14:paraId="56C4EE3A">
      <w:pPr>
        <w:pStyle w:val="2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5BF40BB3">
      <w:pPr>
        <w:pStyle w:val="25"/>
        <w:spacing w:line="360" w:lineRule="auto"/>
        <w:ind w:left="25" w:leftChars="12" w:firstLine="352" w:firstLineChars="147"/>
        <w:rPr>
          <w:rFonts w:hAnsi="宋体" w:cs="宋体"/>
          <w:bCs/>
          <w:color w:val="auto"/>
          <w:sz w:val="24"/>
          <w:szCs w:val="24"/>
          <w:highlight w:val="none"/>
          <w:u w:val="single"/>
        </w:rPr>
      </w:pPr>
    </w:p>
    <w:p w14:paraId="3C71A9B2">
      <w:pPr>
        <w:pStyle w:val="2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6F87D911">
      <w:pPr>
        <w:pStyle w:val="2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499F6559">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2FFF10F">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2FCF8B3E">
      <w:pPr>
        <w:pStyle w:val="25"/>
        <w:spacing w:line="360" w:lineRule="auto"/>
        <w:ind w:left="25" w:leftChars="12" w:firstLine="352" w:firstLineChars="147"/>
        <w:rPr>
          <w:rFonts w:hAnsi="宋体" w:cs="宋体"/>
          <w:color w:val="auto"/>
          <w:sz w:val="24"/>
          <w:szCs w:val="24"/>
          <w:highlight w:val="none"/>
        </w:rPr>
      </w:pPr>
    </w:p>
    <w:p w14:paraId="481D853E">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2F8D8373">
      <w:pPr>
        <w:pStyle w:val="25"/>
        <w:spacing w:line="360" w:lineRule="auto"/>
        <w:ind w:left="25" w:leftChars="12" w:firstLine="352" w:firstLineChars="147"/>
        <w:rPr>
          <w:rFonts w:hAnsi="宋体" w:cs="宋体"/>
          <w:color w:val="auto"/>
          <w:sz w:val="24"/>
          <w:szCs w:val="24"/>
          <w:highlight w:val="none"/>
        </w:rPr>
      </w:pPr>
    </w:p>
    <w:p w14:paraId="62F8AA24">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8A41F56">
      <w:pPr>
        <w:pStyle w:val="25"/>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4B531489">
      <w:pPr>
        <w:pStyle w:val="2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D47B3FF">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2D10A83">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88D2B5E">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AC57E95">
      <w:pPr>
        <w:pStyle w:val="2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595CDE8">
      <w:pPr>
        <w:pStyle w:val="2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23C1">
    <w:pPr>
      <w:pStyle w:val="31"/>
      <w:jc w:val="center"/>
    </w:pPr>
    <w:r>
      <w:fldChar w:fldCharType="begin"/>
    </w:r>
    <w:r>
      <w:instrText xml:space="preserve"> PAGE   \* MERGEFORMAT </w:instrText>
    </w:r>
    <w:r>
      <w:fldChar w:fldCharType="separate"/>
    </w:r>
    <w:r>
      <w:rPr>
        <w:lang w:val="zh-CN"/>
      </w:rPr>
      <w:t>58</w:t>
    </w:r>
    <w:r>
      <w:rPr>
        <w:lang w:val="zh-CN"/>
      </w:rPr>
      <w:fldChar w:fldCharType="end"/>
    </w:r>
  </w:p>
  <w:p w14:paraId="69326BD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5E17">
    <w:pPr>
      <w:pStyle w:val="31"/>
      <w:framePr w:wrap="around" w:vAnchor="text" w:hAnchor="margin" w:xAlign="center" w:y="1"/>
      <w:rPr>
        <w:rStyle w:val="53"/>
      </w:rPr>
    </w:pPr>
    <w:r>
      <w:fldChar w:fldCharType="begin"/>
    </w:r>
    <w:r>
      <w:rPr>
        <w:rStyle w:val="53"/>
      </w:rPr>
      <w:instrText xml:space="preserve">PAGE  </w:instrText>
    </w:r>
    <w:r>
      <w:fldChar w:fldCharType="end"/>
    </w:r>
  </w:p>
  <w:p w14:paraId="24234AB6">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2ADC5">
    <w:pPr>
      <w:pStyle w:val="31"/>
      <w:jc w:val="center"/>
    </w:pPr>
    <w:r>
      <w:fldChar w:fldCharType="begin"/>
    </w:r>
    <w:r>
      <w:instrText xml:space="preserve">PAGE   \* MERGEFORMAT</w:instrText>
    </w:r>
    <w:r>
      <w:fldChar w:fldCharType="separate"/>
    </w:r>
    <w:r>
      <w:rPr>
        <w:lang w:val="zh-CN"/>
      </w:rPr>
      <w:t>0</w:t>
    </w:r>
    <w:r>
      <w:rPr>
        <w:lang w:val="zh-CN"/>
      </w:rPr>
      <w:fldChar w:fldCharType="end"/>
    </w:r>
  </w:p>
  <w:p w14:paraId="3BA13C3A">
    <w:pPr>
      <w:pStyle w:val="31"/>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5AA5">
    <w:pPr>
      <w:pStyle w:val="31"/>
      <w:jc w:val="center"/>
    </w:pPr>
    <w:r>
      <w:fldChar w:fldCharType="begin"/>
    </w:r>
    <w:r>
      <w:instrText xml:space="preserve"> PAGE   \* MERGEFORMAT </w:instrText>
    </w:r>
    <w:r>
      <w:fldChar w:fldCharType="separate"/>
    </w:r>
    <w:r>
      <w:rPr>
        <w:lang w:val="zh-CN"/>
      </w:rPr>
      <w:t>105</w:t>
    </w:r>
    <w:r>
      <w:rPr>
        <w:lang w:val="zh-CN"/>
      </w:rPr>
      <w:fldChar w:fldCharType="end"/>
    </w:r>
  </w:p>
  <w:p w14:paraId="16B63DFE">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1219">
    <w:pPr>
      <w:pStyle w:val="31"/>
      <w:framePr w:wrap="around" w:vAnchor="text" w:hAnchor="margin" w:xAlign="center" w:y="1"/>
      <w:rPr>
        <w:rStyle w:val="53"/>
      </w:rPr>
    </w:pPr>
    <w:r>
      <w:fldChar w:fldCharType="begin"/>
    </w:r>
    <w:r>
      <w:rPr>
        <w:rStyle w:val="53"/>
      </w:rPr>
      <w:instrText xml:space="preserve">PAGE  </w:instrText>
    </w:r>
    <w:r>
      <w:fldChar w:fldCharType="end"/>
    </w:r>
  </w:p>
  <w:p w14:paraId="2B410CAB">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409B">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0730">
    <w:pPr>
      <w:pStyle w:val="33"/>
      <w:pBdr>
        <w:bottom w:val="none" w:color="auto" w:sz="0" w:space="0"/>
      </w:pBdr>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6230" cy="4782185"/>
          <wp:effectExtent l="0" t="0" r="13970" b="18415"/>
          <wp:wrapNone/>
          <wp:docPr id="4" name="WordPictureWatermark96546633"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96546633"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25A4">
    <w:pPr>
      <w:pStyle w:val="3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E7D61">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1" name="WordPictureWatermark96546631"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6546631"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01B6B">
    <w:pPr>
      <w:pStyle w:val="33"/>
      <w:pBdr>
        <w:bottom w:val="none" w:color="auto" w:sz="0" w:space="0"/>
      </w:pBdr>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396230" cy="4782185"/>
          <wp:effectExtent l="0" t="0" r="13970" b="18415"/>
          <wp:wrapNone/>
          <wp:docPr id="7" name="WordPictureWatermark96546636"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96546636"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B6F4">
    <w:pPr>
      <w:pStyle w:val="3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96230" cy="4782185"/>
          <wp:effectExtent l="0" t="0" r="13970" b="18415"/>
          <wp:wrapNone/>
          <wp:docPr id="6" name="WordPictureWatermark96546635"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96546635"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FA46">
    <w:pPr>
      <w:pStyle w:val="3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6230" cy="4782185"/>
          <wp:effectExtent l="0" t="0" r="13970" b="18415"/>
          <wp:wrapNone/>
          <wp:docPr id="5" name="WordPictureWatermark96546634"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96546634"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179F3"/>
    <w:multiLevelType w:val="singleLevel"/>
    <w:tmpl w:val="B0E179F3"/>
    <w:lvl w:ilvl="0" w:tentative="0">
      <w:start w:val="1"/>
      <w:numFmt w:val="chineseCounting"/>
      <w:suff w:val="space"/>
      <w:lvlText w:val="第%1条"/>
      <w:lvlJc w:val="left"/>
      <w:rPr>
        <w:rFonts w:hint="eastAsia"/>
      </w:rPr>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pPr>
        <w:ind w:left="-2"/>
      </w:pPr>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7E66D773"/>
    <w:multiLevelType w:val="singleLevel"/>
    <w:tmpl w:val="7E66D773"/>
    <w:lvl w:ilvl="0" w:tentative="0">
      <w:start w:val="1"/>
      <w:numFmt w:val="decimal"/>
      <w:lvlText w:val="%1."/>
      <w:lvlJc w:val="left"/>
      <w:pPr>
        <w:tabs>
          <w:tab w:val="left" w:pos="312"/>
        </w:tabs>
      </w:pPr>
    </w:lvl>
  </w:abstractNum>
  <w:num w:numId="1">
    <w:abstractNumId w:val="2"/>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hideSpellingErrors/>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0172A27"/>
    <w:rsid w:val="0000085D"/>
    <w:rsid w:val="00006992"/>
    <w:rsid w:val="00010DCE"/>
    <w:rsid w:val="0001215A"/>
    <w:rsid w:val="000132CA"/>
    <w:rsid w:val="00015B66"/>
    <w:rsid w:val="00015FCE"/>
    <w:rsid w:val="00020F00"/>
    <w:rsid w:val="00021F25"/>
    <w:rsid w:val="00023308"/>
    <w:rsid w:val="00027DBC"/>
    <w:rsid w:val="0003133C"/>
    <w:rsid w:val="000327B8"/>
    <w:rsid w:val="00033446"/>
    <w:rsid w:val="00033B41"/>
    <w:rsid w:val="00034752"/>
    <w:rsid w:val="000353E4"/>
    <w:rsid w:val="00035989"/>
    <w:rsid w:val="00036B9E"/>
    <w:rsid w:val="00040F42"/>
    <w:rsid w:val="00041E6B"/>
    <w:rsid w:val="00044A6B"/>
    <w:rsid w:val="00047682"/>
    <w:rsid w:val="000476CE"/>
    <w:rsid w:val="00050200"/>
    <w:rsid w:val="0005021C"/>
    <w:rsid w:val="0005070D"/>
    <w:rsid w:val="000514D1"/>
    <w:rsid w:val="000528BD"/>
    <w:rsid w:val="00052CC8"/>
    <w:rsid w:val="00056C35"/>
    <w:rsid w:val="000574F6"/>
    <w:rsid w:val="000579FA"/>
    <w:rsid w:val="00060307"/>
    <w:rsid w:val="00063225"/>
    <w:rsid w:val="00063BFA"/>
    <w:rsid w:val="00070C84"/>
    <w:rsid w:val="00071E99"/>
    <w:rsid w:val="00072814"/>
    <w:rsid w:val="00072ABD"/>
    <w:rsid w:val="00076F6A"/>
    <w:rsid w:val="00080927"/>
    <w:rsid w:val="00087BFC"/>
    <w:rsid w:val="00087E08"/>
    <w:rsid w:val="00091E6C"/>
    <w:rsid w:val="00093253"/>
    <w:rsid w:val="00094BEA"/>
    <w:rsid w:val="00095FB5"/>
    <w:rsid w:val="000A0961"/>
    <w:rsid w:val="000A1E59"/>
    <w:rsid w:val="000A5B6E"/>
    <w:rsid w:val="000A63DC"/>
    <w:rsid w:val="000A69FD"/>
    <w:rsid w:val="000A7BFF"/>
    <w:rsid w:val="000C277E"/>
    <w:rsid w:val="000C2C36"/>
    <w:rsid w:val="000C4440"/>
    <w:rsid w:val="000C75D7"/>
    <w:rsid w:val="000D0251"/>
    <w:rsid w:val="000D48B9"/>
    <w:rsid w:val="000D5418"/>
    <w:rsid w:val="000D6326"/>
    <w:rsid w:val="000E02D5"/>
    <w:rsid w:val="000E098F"/>
    <w:rsid w:val="000E1703"/>
    <w:rsid w:val="000E177C"/>
    <w:rsid w:val="000E3E97"/>
    <w:rsid w:val="000E4D51"/>
    <w:rsid w:val="000E5771"/>
    <w:rsid w:val="000E61A4"/>
    <w:rsid w:val="000F29B5"/>
    <w:rsid w:val="000F3896"/>
    <w:rsid w:val="000F3EF2"/>
    <w:rsid w:val="000F6003"/>
    <w:rsid w:val="000F625A"/>
    <w:rsid w:val="000F7AED"/>
    <w:rsid w:val="00100162"/>
    <w:rsid w:val="001039D2"/>
    <w:rsid w:val="00103C69"/>
    <w:rsid w:val="00105357"/>
    <w:rsid w:val="0010758F"/>
    <w:rsid w:val="00111762"/>
    <w:rsid w:val="00111996"/>
    <w:rsid w:val="00112630"/>
    <w:rsid w:val="001137DD"/>
    <w:rsid w:val="00113980"/>
    <w:rsid w:val="001163B5"/>
    <w:rsid w:val="00120D55"/>
    <w:rsid w:val="001222C7"/>
    <w:rsid w:val="00127169"/>
    <w:rsid w:val="0013265A"/>
    <w:rsid w:val="00133278"/>
    <w:rsid w:val="00133E97"/>
    <w:rsid w:val="00141DA6"/>
    <w:rsid w:val="00141FC9"/>
    <w:rsid w:val="0014219C"/>
    <w:rsid w:val="001424B8"/>
    <w:rsid w:val="00143A9F"/>
    <w:rsid w:val="0015163C"/>
    <w:rsid w:val="001519A7"/>
    <w:rsid w:val="00152E9A"/>
    <w:rsid w:val="0015737C"/>
    <w:rsid w:val="00160ADF"/>
    <w:rsid w:val="001629C9"/>
    <w:rsid w:val="00164293"/>
    <w:rsid w:val="00164384"/>
    <w:rsid w:val="001660CD"/>
    <w:rsid w:val="001663CF"/>
    <w:rsid w:val="00172A27"/>
    <w:rsid w:val="00177BD1"/>
    <w:rsid w:val="00180580"/>
    <w:rsid w:val="001869E2"/>
    <w:rsid w:val="0019018C"/>
    <w:rsid w:val="00190B0A"/>
    <w:rsid w:val="00190C47"/>
    <w:rsid w:val="00191030"/>
    <w:rsid w:val="00191420"/>
    <w:rsid w:val="00192B8A"/>
    <w:rsid w:val="001A108D"/>
    <w:rsid w:val="001A33FD"/>
    <w:rsid w:val="001A3C80"/>
    <w:rsid w:val="001A758D"/>
    <w:rsid w:val="001B0143"/>
    <w:rsid w:val="001B136E"/>
    <w:rsid w:val="001B3624"/>
    <w:rsid w:val="001B3D35"/>
    <w:rsid w:val="001B7D14"/>
    <w:rsid w:val="001C0306"/>
    <w:rsid w:val="001C1E54"/>
    <w:rsid w:val="001C2C0F"/>
    <w:rsid w:val="001C2E55"/>
    <w:rsid w:val="001C3725"/>
    <w:rsid w:val="001C3BA8"/>
    <w:rsid w:val="001C41A3"/>
    <w:rsid w:val="001C61E4"/>
    <w:rsid w:val="001C6EC3"/>
    <w:rsid w:val="001D2553"/>
    <w:rsid w:val="001D2AA1"/>
    <w:rsid w:val="001D33BF"/>
    <w:rsid w:val="001E035E"/>
    <w:rsid w:val="001E0460"/>
    <w:rsid w:val="001E0A6B"/>
    <w:rsid w:val="001E0F94"/>
    <w:rsid w:val="001E1DDC"/>
    <w:rsid w:val="001E2B78"/>
    <w:rsid w:val="001E2D52"/>
    <w:rsid w:val="001E3255"/>
    <w:rsid w:val="001E41CB"/>
    <w:rsid w:val="001E4BA6"/>
    <w:rsid w:val="001E58F4"/>
    <w:rsid w:val="001F0380"/>
    <w:rsid w:val="001F0BFB"/>
    <w:rsid w:val="001F409D"/>
    <w:rsid w:val="001F5ACF"/>
    <w:rsid w:val="001F7C7D"/>
    <w:rsid w:val="00201942"/>
    <w:rsid w:val="00201C6D"/>
    <w:rsid w:val="00201E1C"/>
    <w:rsid w:val="00202426"/>
    <w:rsid w:val="00205421"/>
    <w:rsid w:val="002070B3"/>
    <w:rsid w:val="00213DEC"/>
    <w:rsid w:val="00213FD7"/>
    <w:rsid w:val="0021562B"/>
    <w:rsid w:val="00217530"/>
    <w:rsid w:val="00217891"/>
    <w:rsid w:val="00217A7A"/>
    <w:rsid w:val="002204FF"/>
    <w:rsid w:val="002220C2"/>
    <w:rsid w:val="00224446"/>
    <w:rsid w:val="00225AC8"/>
    <w:rsid w:val="00225B3B"/>
    <w:rsid w:val="00226E5C"/>
    <w:rsid w:val="0022787E"/>
    <w:rsid w:val="00227D6A"/>
    <w:rsid w:val="00230B60"/>
    <w:rsid w:val="002336CC"/>
    <w:rsid w:val="0023388A"/>
    <w:rsid w:val="002414D0"/>
    <w:rsid w:val="00241715"/>
    <w:rsid w:val="002425AA"/>
    <w:rsid w:val="00243C04"/>
    <w:rsid w:val="002464A4"/>
    <w:rsid w:val="002465F2"/>
    <w:rsid w:val="00246993"/>
    <w:rsid w:val="00246C53"/>
    <w:rsid w:val="002526EF"/>
    <w:rsid w:val="00252E9B"/>
    <w:rsid w:val="00253FC5"/>
    <w:rsid w:val="00254598"/>
    <w:rsid w:val="002554C8"/>
    <w:rsid w:val="00255656"/>
    <w:rsid w:val="002560BD"/>
    <w:rsid w:val="00260145"/>
    <w:rsid w:val="00265FA2"/>
    <w:rsid w:val="00267915"/>
    <w:rsid w:val="0027060D"/>
    <w:rsid w:val="00270C14"/>
    <w:rsid w:val="00271254"/>
    <w:rsid w:val="00271270"/>
    <w:rsid w:val="00272611"/>
    <w:rsid w:val="00274C3B"/>
    <w:rsid w:val="00276F4B"/>
    <w:rsid w:val="002776BC"/>
    <w:rsid w:val="00277C14"/>
    <w:rsid w:val="002806E7"/>
    <w:rsid w:val="00280A7B"/>
    <w:rsid w:val="00281DE5"/>
    <w:rsid w:val="0028309A"/>
    <w:rsid w:val="00284BE5"/>
    <w:rsid w:val="0028557F"/>
    <w:rsid w:val="00285B0C"/>
    <w:rsid w:val="002868B5"/>
    <w:rsid w:val="0028750A"/>
    <w:rsid w:val="00287535"/>
    <w:rsid w:val="00291BE9"/>
    <w:rsid w:val="002932B9"/>
    <w:rsid w:val="00296C17"/>
    <w:rsid w:val="002974BF"/>
    <w:rsid w:val="002A12AE"/>
    <w:rsid w:val="002A1A59"/>
    <w:rsid w:val="002A32CB"/>
    <w:rsid w:val="002A4B46"/>
    <w:rsid w:val="002A7670"/>
    <w:rsid w:val="002B295E"/>
    <w:rsid w:val="002B2E91"/>
    <w:rsid w:val="002B4042"/>
    <w:rsid w:val="002B524C"/>
    <w:rsid w:val="002B56EB"/>
    <w:rsid w:val="002B68EC"/>
    <w:rsid w:val="002C0EAE"/>
    <w:rsid w:val="002C1477"/>
    <w:rsid w:val="002C47D2"/>
    <w:rsid w:val="002C4912"/>
    <w:rsid w:val="002D033C"/>
    <w:rsid w:val="002D468B"/>
    <w:rsid w:val="002D61C3"/>
    <w:rsid w:val="002D758E"/>
    <w:rsid w:val="002D7F90"/>
    <w:rsid w:val="002E25B5"/>
    <w:rsid w:val="002E484B"/>
    <w:rsid w:val="002E7C69"/>
    <w:rsid w:val="002F1167"/>
    <w:rsid w:val="002F19EE"/>
    <w:rsid w:val="002F1F82"/>
    <w:rsid w:val="002F3360"/>
    <w:rsid w:val="002F4DD2"/>
    <w:rsid w:val="002F5172"/>
    <w:rsid w:val="002F5BCF"/>
    <w:rsid w:val="002F7114"/>
    <w:rsid w:val="0030133C"/>
    <w:rsid w:val="00301F2E"/>
    <w:rsid w:val="00304303"/>
    <w:rsid w:val="0030459B"/>
    <w:rsid w:val="00306458"/>
    <w:rsid w:val="003102B7"/>
    <w:rsid w:val="00313126"/>
    <w:rsid w:val="00313EF4"/>
    <w:rsid w:val="003158F6"/>
    <w:rsid w:val="00315A70"/>
    <w:rsid w:val="003166BB"/>
    <w:rsid w:val="00316826"/>
    <w:rsid w:val="00321CF6"/>
    <w:rsid w:val="00323A95"/>
    <w:rsid w:val="00327489"/>
    <w:rsid w:val="0033087B"/>
    <w:rsid w:val="003327CC"/>
    <w:rsid w:val="00333F85"/>
    <w:rsid w:val="00334114"/>
    <w:rsid w:val="00337929"/>
    <w:rsid w:val="00341A50"/>
    <w:rsid w:val="00346AA8"/>
    <w:rsid w:val="003479D4"/>
    <w:rsid w:val="00351E02"/>
    <w:rsid w:val="0035205B"/>
    <w:rsid w:val="00352BD6"/>
    <w:rsid w:val="00352C59"/>
    <w:rsid w:val="00352E50"/>
    <w:rsid w:val="00352FD8"/>
    <w:rsid w:val="00353B06"/>
    <w:rsid w:val="003564A4"/>
    <w:rsid w:val="0035659D"/>
    <w:rsid w:val="0035660C"/>
    <w:rsid w:val="00356C18"/>
    <w:rsid w:val="00364131"/>
    <w:rsid w:val="003647D9"/>
    <w:rsid w:val="00366125"/>
    <w:rsid w:val="00366FF2"/>
    <w:rsid w:val="00371E76"/>
    <w:rsid w:val="003729B7"/>
    <w:rsid w:val="003749B7"/>
    <w:rsid w:val="003752CA"/>
    <w:rsid w:val="003762F4"/>
    <w:rsid w:val="003763A4"/>
    <w:rsid w:val="00380273"/>
    <w:rsid w:val="00380528"/>
    <w:rsid w:val="003825AA"/>
    <w:rsid w:val="0038368A"/>
    <w:rsid w:val="00383EDC"/>
    <w:rsid w:val="0038496E"/>
    <w:rsid w:val="00385C8D"/>
    <w:rsid w:val="00387BFE"/>
    <w:rsid w:val="00387CB4"/>
    <w:rsid w:val="00392B7B"/>
    <w:rsid w:val="003947CB"/>
    <w:rsid w:val="003957DE"/>
    <w:rsid w:val="003A015C"/>
    <w:rsid w:val="003A2D15"/>
    <w:rsid w:val="003A32F4"/>
    <w:rsid w:val="003A5203"/>
    <w:rsid w:val="003A7B59"/>
    <w:rsid w:val="003B156B"/>
    <w:rsid w:val="003B1A2A"/>
    <w:rsid w:val="003B207F"/>
    <w:rsid w:val="003B2979"/>
    <w:rsid w:val="003B41BB"/>
    <w:rsid w:val="003C1979"/>
    <w:rsid w:val="003C37DE"/>
    <w:rsid w:val="003C4AC1"/>
    <w:rsid w:val="003C5689"/>
    <w:rsid w:val="003C629F"/>
    <w:rsid w:val="003C633B"/>
    <w:rsid w:val="003C7104"/>
    <w:rsid w:val="003D045E"/>
    <w:rsid w:val="003D0534"/>
    <w:rsid w:val="003D3535"/>
    <w:rsid w:val="003D3C4F"/>
    <w:rsid w:val="003D3E61"/>
    <w:rsid w:val="003D47FE"/>
    <w:rsid w:val="003D7203"/>
    <w:rsid w:val="003E0CE2"/>
    <w:rsid w:val="003E2501"/>
    <w:rsid w:val="003E3706"/>
    <w:rsid w:val="003E6DCC"/>
    <w:rsid w:val="003E6E24"/>
    <w:rsid w:val="003F463C"/>
    <w:rsid w:val="003F4FCC"/>
    <w:rsid w:val="003F55EA"/>
    <w:rsid w:val="003F60F3"/>
    <w:rsid w:val="003F7DBC"/>
    <w:rsid w:val="004009F3"/>
    <w:rsid w:val="00401A2E"/>
    <w:rsid w:val="00401A4D"/>
    <w:rsid w:val="00403331"/>
    <w:rsid w:val="00404D5C"/>
    <w:rsid w:val="0040503B"/>
    <w:rsid w:val="004057A1"/>
    <w:rsid w:val="00405A90"/>
    <w:rsid w:val="004064E9"/>
    <w:rsid w:val="004066F2"/>
    <w:rsid w:val="004114A6"/>
    <w:rsid w:val="004120D9"/>
    <w:rsid w:val="00412262"/>
    <w:rsid w:val="0041257C"/>
    <w:rsid w:val="0041301D"/>
    <w:rsid w:val="00415B30"/>
    <w:rsid w:val="00416830"/>
    <w:rsid w:val="00416B33"/>
    <w:rsid w:val="004170FF"/>
    <w:rsid w:val="00417528"/>
    <w:rsid w:val="004245C0"/>
    <w:rsid w:val="00424B15"/>
    <w:rsid w:val="00424BD1"/>
    <w:rsid w:val="0043241E"/>
    <w:rsid w:val="00432B55"/>
    <w:rsid w:val="0043422F"/>
    <w:rsid w:val="00436B8A"/>
    <w:rsid w:val="004420E7"/>
    <w:rsid w:val="00442C87"/>
    <w:rsid w:val="0044393D"/>
    <w:rsid w:val="0044412A"/>
    <w:rsid w:val="004450D0"/>
    <w:rsid w:val="00445142"/>
    <w:rsid w:val="0044686D"/>
    <w:rsid w:val="00450D4D"/>
    <w:rsid w:val="00451C52"/>
    <w:rsid w:val="00452648"/>
    <w:rsid w:val="00454CD8"/>
    <w:rsid w:val="0045582A"/>
    <w:rsid w:val="00455948"/>
    <w:rsid w:val="00457A5E"/>
    <w:rsid w:val="00460760"/>
    <w:rsid w:val="004607A8"/>
    <w:rsid w:val="00460C30"/>
    <w:rsid w:val="00460EE6"/>
    <w:rsid w:val="00463318"/>
    <w:rsid w:val="004645FD"/>
    <w:rsid w:val="00465C04"/>
    <w:rsid w:val="00466419"/>
    <w:rsid w:val="00466B2E"/>
    <w:rsid w:val="00466E27"/>
    <w:rsid w:val="00470A20"/>
    <w:rsid w:val="00471913"/>
    <w:rsid w:val="0047216E"/>
    <w:rsid w:val="0047230F"/>
    <w:rsid w:val="00472F70"/>
    <w:rsid w:val="004742BD"/>
    <w:rsid w:val="00475481"/>
    <w:rsid w:val="004818C0"/>
    <w:rsid w:val="00481F5D"/>
    <w:rsid w:val="00482050"/>
    <w:rsid w:val="00482946"/>
    <w:rsid w:val="00484E7B"/>
    <w:rsid w:val="004861BB"/>
    <w:rsid w:val="004863FD"/>
    <w:rsid w:val="0048721D"/>
    <w:rsid w:val="00490151"/>
    <w:rsid w:val="00492558"/>
    <w:rsid w:val="0049410C"/>
    <w:rsid w:val="00495CB0"/>
    <w:rsid w:val="004A081D"/>
    <w:rsid w:val="004A3E0C"/>
    <w:rsid w:val="004A3F6D"/>
    <w:rsid w:val="004A3FDF"/>
    <w:rsid w:val="004A4E35"/>
    <w:rsid w:val="004A65D5"/>
    <w:rsid w:val="004A6DF2"/>
    <w:rsid w:val="004A7498"/>
    <w:rsid w:val="004B0612"/>
    <w:rsid w:val="004B10BF"/>
    <w:rsid w:val="004B152A"/>
    <w:rsid w:val="004B3052"/>
    <w:rsid w:val="004B69E0"/>
    <w:rsid w:val="004C0162"/>
    <w:rsid w:val="004C1DCA"/>
    <w:rsid w:val="004C4CFB"/>
    <w:rsid w:val="004C628E"/>
    <w:rsid w:val="004D030E"/>
    <w:rsid w:val="004D2E1D"/>
    <w:rsid w:val="004D3259"/>
    <w:rsid w:val="004D3FC0"/>
    <w:rsid w:val="004D416F"/>
    <w:rsid w:val="004D6B37"/>
    <w:rsid w:val="004E2ED2"/>
    <w:rsid w:val="004E3FCA"/>
    <w:rsid w:val="004E444B"/>
    <w:rsid w:val="004E5E43"/>
    <w:rsid w:val="004E6117"/>
    <w:rsid w:val="004F01FD"/>
    <w:rsid w:val="004F0AC5"/>
    <w:rsid w:val="004F0D13"/>
    <w:rsid w:val="004F39D2"/>
    <w:rsid w:val="004F401E"/>
    <w:rsid w:val="004F608C"/>
    <w:rsid w:val="004F7DB4"/>
    <w:rsid w:val="00500A0A"/>
    <w:rsid w:val="00500A81"/>
    <w:rsid w:val="00503F12"/>
    <w:rsid w:val="00506FA9"/>
    <w:rsid w:val="005104FD"/>
    <w:rsid w:val="00511EAC"/>
    <w:rsid w:val="00512F6D"/>
    <w:rsid w:val="00513886"/>
    <w:rsid w:val="0051461C"/>
    <w:rsid w:val="00517F6F"/>
    <w:rsid w:val="005239D4"/>
    <w:rsid w:val="00523B45"/>
    <w:rsid w:val="00525767"/>
    <w:rsid w:val="005259CF"/>
    <w:rsid w:val="00525AA4"/>
    <w:rsid w:val="00530EA8"/>
    <w:rsid w:val="005320E5"/>
    <w:rsid w:val="00534C82"/>
    <w:rsid w:val="0053536E"/>
    <w:rsid w:val="00537958"/>
    <w:rsid w:val="00540C26"/>
    <w:rsid w:val="005426F7"/>
    <w:rsid w:val="00542887"/>
    <w:rsid w:val="00545A18"/>
    <w:rsid w:val="005462B0"/>
    <w:rsid w:val="00547513"/>
    <w:rsid w:val="00550640"/>
    <w:rsid w:val="00551FDF"/>
    <w:rsid w:val="00553A4A"/>
    <w:rsid w:val="00553C26"/>
    <w:rsid w:val="0055453C"/>
    <w:rsid w:val="0055699B"/>
    <w:rsid w:val="00556C5F"/>
    <w:rsid w:val="005622CE"/>
    <w:rsid w:val="005625B0"/>
    <w:rsid w:val="005645B6"/>
    <w:rsid w:val="00564844"/>
    <w:rsid w:val="0056487F"/>
    <w:rsid w:val="005651BD"/>
    <w:rsid w:val="005663AC"/>
    <w:rsid w:val="00572214"/>
    <w:rsid w:val="005736B8"/>
    <w:rsid w:val="00573990"/>
    <w:rsid w:val="0057737E"/>
    <w:rsid w:val="00577408"/>
    <w:rsid w:val="00577479"/>
    <w:rsid w:val="0058151E"/>
    <w:rsid w:val="005822B6"/>
    <w:rsid w:val="00583AAE"/>
    <w:rsid w:val="0058555B"/>
    <w:rsid w:val="00585B66"/>
    <w:rsid w:val="00587846"/>
    <w:rsid w:val="0059071B"/>
    <w:rsid w:val="00590DBC"/>
    <w:rsid w:val="00590FAF"/>
    <w:rsid w:val="005914DB"/>
    <w:rsid w:val="00592690"/>
    <w:rsid w:val="00592A26"/>
    <w:rsid w:val="00593E48"/>
    <w:rsid w:val="005A0C23"/>
    <w:rsid w:val="005A2DCF"/>
    <w:rsid w:val="005A4BBA"/>
    <w:rsid w:val="005A4E33"/>
    <w:rsid w:val="005B0387"/>
    <w:rsid w:val="005B0AA2"/>
    <w:rsid w:val="005B2925"/>
    <w:rsid w:val="005B2C44"/>
    <w:rsid w:val="005B3FD6"/>
    <w:rsid w:val="005B6AF7"/>
    <w:rsid w:val="005C0211"/>
    <w:rsid w:val="005C0742"/>
    <w:rsid w:val="005C4679"/>
    <w:rsid w:val="005C5CFC"/>
    <w:rsid w:val="005C7DDF"/>
    <w:rsid w:val="005D0173"/>
    <w:rsid w:val="005D44B2"/>
    <w:rsid w:val="005D4A9B"/>
    <w:rsid w:val="005D5245"/>
    <w:rsid w:val="005D5EA7"/>
    <w:rsid w:val="005D74D8"/>
    <w:rsid w:val="005D7DCD"/>
    <w:rsid w:val="005D7DDC"/>
    <w:rsid w:val="005E17CF"/>
    <w:rsid w:val="005E1809"/>
    <w:rsid w:val="005E204B"/>
    <w:rsid w:val="005E3275"/>
    <w:rsid w:val="005E5EE9"/>
    <w:rsid w:val="005F1D27"/>
    <w:rsid w:val="005F231D"/>
    <w:rsid w:val="005F2890"/>
    <w:rsid w:val="005F2F88"/>
    <w:rsid w:val="005F3EF8"/>
    <w:rsid w:val="005F44B7"/>
    <w:rsid w:val="005F53E6"/>
    <w:rsid w:val="005F6B05"/>
    <w:rsid w:val="005F6C8A"/>
    <w:rsid w:val="005F75A7"/>
    <w:rsid w:val="005F7B62"/>
    <w:rsid w:val="006001E4"/>
    <w:rsid w:val="00602FBF"/>
    <w:rsid w:val="00603898"/>
    <w:rsid w:val="00604105"/>
    <w:rsid w:val="006053F7"/>
    <w:rsid w:val="00607CC4"/>
    <w:rsid w:val="006100D2"/>
    <w:rsid w:val="00610A28"/>
    <w:rsid w:val="006128D0"/>
    <w:rsid w:val="00613F99"/>
    <w:rsid w:val="00615673"/>
    <w:rsid w:val="00615972"/>
    <w:rsid w:val="0061687E"/>
    <w:rsid w:val="0062063C"/>
    <w:rsid w:val="00621153"/>
    <w:rsid w:val="00621CB7"/>
    <w:rsid w:val="00622D8A"/>
    <w:rsid w:val="0062323D"/>
    <w:rsid w:val="00623C55"/>
    <w:rsid w:val="00625812"/>
    <w:rsid w:val="0062768E"/>
    <w:rsid w:val="00630220"/>
    <w:rsid w:val="006310EB"/>
    <w:rsid w:val="006313F3"/>
    <w:rsid w:val="006348BB"/>
    <w:rsid w:val="00635519"/>
    <w:rsid w:val="006363EF"/>
    <w:rsid w:val="00636416"/>
    <w:rsid w:val="006374BD"/>
    <w:rsid w:val="00640DBC"/>
    <w:rsid w:val="00643590"/>
    <w:rsid w:val="00646433"/>
    <w:rsid w:val="00651D62"/>
    <w:rsid w:val="006522FC"/>
    <w:rsid w:val="00652944"/>
    <w:rsid w:val="00654283"/>
    <w:rsid w:val="0065547E"/>
    <w:rsid w:val="00655BCB"/>
    <w:rsid w:val="00657BB4"/>
    <w:rsid w:val="006622D5"/>
    <w:rsid w:val="0066267A"/>
    <w:rsid w:val="0066447A"/>
    <w:rsid w:val="00666353"/>
    <w:rsid w:val="00670C2C"/>
    <w:rsid w:val="0067387D"/>
    <w:rsid w:val="00676258"/>
    <w:rsid w:val="0068003D"/>
    <w:rsid w:val="00681F9A"/>
    <w:rsid w:val="006828F8"/>
    <w:rsid w:val="00683C55"/>
    <w:rsid w:val="00684B8B"/>
    <w:rsid w:val="006853F7"/>
    <w:rsid w:val="006856CA"/>
    <w:rsid w:val="00687BD4"/>
    <w:rsid w:val="006927BE"/>
    <w:rsid w:val="00694196"/>
    <w:rsid w:val="006952B2"/>
    <w:rsid w:val="00695F25"/>
    <w:rsid w:val="00696442"/>
    <w:rsid w:val="00696C05"/>
    <w:rsid w:val="006A0129"/>
    <w:rsid w:val="006A162E"/>
    <w:rsid w:val="006A2E08"/>
    <w:rsid w:val="006A49A6"/>
    <w:rsid w:val="006A4A82"/>
    <w:rsid w:val="006B4415"/>
    <w:rsid w:val="006B7965"/>
    <w:rsid w:val="006C1A41"/>
    <w:rsid w:val="006C1A8D"/>
    <w:rsid w:val="006C1AE5"/>
    <w:rsid w:val="006C3C17"/>
    <w:rsid w:val="006C690E"/>
    <w:rsid w:val="006C76FE"/>
    <w:rsid w:val="006D19EA"/>
    <w:rsid w:val="006D2F8B"/>
    <w:rsid w:val="006D3182"/>
    <w:rsid w:val="006D5A39"/>
    <w:rsid w:val="006D6A33"/>
    <w:rsid w:val="006E34EA"/>
    <w:rsid w:val="006E3D89"/>
    <w:rsid w:val="006E657A"/>
    <w:rsid w:val="006E6711"/>
    <w:rsid w:val="006F0C90"/>
    <w:rsid w:val="006F1628"/>
    <w:rsid w:val="006F625E"/>
    <w:rsid w:val="007040FB"/>
    <w:rsid w:val="007046FB"/>
    <w:rsid w:val="00704D13"/>
    <w:rsid w:val="007054B1"/>
    <w:rsid w:val="007079A6"/>
    <w:rsid w:val="00707F41"/>
    <w:rsid w:val="00711A7B"/>
    <w:rsid w:val="007142FD"/>
    <w:rsid w:val="0071636D"/>
    <w:rsid w:val="007163D5"/>
    <w:rsid w:val="007166B0"/>
    <w:rsid w:val="00717972"/>
    <w:rsid w:val="00720481"/>
    <w:rsid w:val="00721574"/>
    <w:rsid w:val="0072234C"/>
    <w:rsid w:val="00724530"/>
    <w:rsid w:val="00727097"/>
    <w:rsid w:val="00727976"/>
    <w:rsid w:val="00730E3D"/>
    <w:rsid w:val="00733221"/>
    <w:rsid w:val="0073377D"/>
    <w:rsid w:val="00734C28"/>
    <w:rsid w:val="00737852"/>
    <w:rsid w:val="00737CB9"/>
    <w:rsid w:val="007406FD"/>
    <w:rsid w:val="00745A9A"/>
    <w:rsid w:val="00746921"/>
    <w:rsid w:val="007475D6"/>
    <w:rsid w:val="00750C8D"/>
    <w:rsid w:val="007518A3"/>
    <w:rsid w:val="00752101"/>
    <w:rsid w:val="00752ED9"/>
    <w:rsid w:val="007532DD"/>
    <w:rsid w:val="00755548"/>
    <w:rsid w:val="00755867"/>
    <w:rsid w:val="007558FE"/>
    <w:rsid w:val="00756394"/>
    <w:rsid w:val="00756542"/>
    <w:rsid w:val="00757C10"/>
    <w:rsid w:val="00760693"/>
    <w:rsid w:val="00762896"/>
    <w:rsid w:val="00762B4A"/>
    <w:rsid w:val="0076545F"/>
    <w:rsid w:val="00767E6E"/>
    <w:rsid w:val="00770ADA"/>
    <w:rsid w:val="0077301F"/>
    <w:rsid w:val="007735FA"/>
    <w:rsid w:val="00773C03"/>
    <w:rsid w:val="00774C34"/>
    <w:rsid w:val="007750A3"/>
    <w:rsid w:val="00776A3F"/>
    <w:rsid w:val="00776BE2"/>
    <w:rsid w:val="007770D0"/>
    <w:rsid w:val="00780099"/>
    <w:rsid w:val="007802E6"/>
    <w:rsid w:val="0078162D"/>
    <w:rsid w:val="007818B5"/>
    <w:rsid w:val="0078202F"/>
    <w:rsid w:val="007836C2"/>
    <w:rsid w:val="00790071"/>
    <w:rsid w:val="00791B02"/>
    <w:rsid w:val="0079306F"/>
    <w:rsid w:val="00793546"/>
    <w:rsid w:val="00793FEA"/>
    <w:rsid w:val="00794807"/>
    <w:rsid w:val="0079575B"/>
    <w:rsid w:val="0079733D"/>
    <w:rsid w:val="007A2349"/>
    <w:rsid w:val="007A2FB7"/>
    <w:rsid w:val="007A4178"/>
    <w:rsid w:val="007A5050"/>
    <w:rsid w:val="007A59AA"/>
    <w:rsid w:val="007A602D"/>
    <w:rsid w:val="007A6BBA"/>
    <w:rsid w:val="007A7CC7"/>
    <w:rsid w:val="007B0CF6"/>
    <w:rsid w:val="007B2519"/>
    <w:rsid w:val="007B36A8"/>
    <w:rsid w:val="007B3A10"/>
    <w:rsid w:val="007B4FF9"/>
    <w:rsid w:val="007C04A2"/>
    <w:rsid w:val="007C1104"/>
    <w:rsid w:val="007C15DE"/>
    <w:rsid w:val="007C4685"/>
    <w:rsid w:val="007C4D66"/>
    <w:rsid w:val="007C51BD"/>
    <w:rsid w:val="007C58C6"/>
    <w:rsid w:val="007C5D1D"/>
    <w:rsid w:val="007C790B"/>
    <w:rsid w:val="007D1C33"/>
    <w:rsid w:val="007D2E1E"/>
    <w:rsid w:val="007D4CD4"/>
    <w:rsid w:val="007D5490"/>
    <w:rsid w:val="007D56FB"/>
    <w:rsid w:val="007D725E"/>
    <w:rsid w:val="007D7E23"/>
    <w:rsid w:val="007E3885"/>
    <w:rsid w:val="007E53F4"/>
    <w:rsid w:val="007E7832"/>
    <w:rsid w:val="007F1FD2"/>
    <w:rsid w:val="007F5670"/>
    <w:rsid w:val="007F5AF4"/>
    <w:rsid w:val="007F671C"/>
    <w:rsid w:val="00800546"/>
    <w:rsid w:val="0080111A"/>
    <w:rsid w:val="00801E5F"/>
    <w:rsid w:val="008023EE"/>
    <w:rsid w:val="00802446"/>
    <w:rsid w:val="0080328C"/>
    <w:rsid w:val="00803F48"/>
    <w:rsid w:val="00804520"/>
    <w:rsid w:val="00804F0D"/>
    <w:rsid w:val="00805A64"/>
    <w:rsid w:val="00805E5B"/>
    <w:rsid w:val="00805F2A"/>
    <w:rsid w:val="00807728"/>
    <w:rsid w:val="00810517"/>
    <w:rsid w:val="008117F7"/>
    <w:rsid w:val="00813FCD"/>
    <w:rsid w:val="00815C12"/>
    <w:rsid w:val="00816FCD"/>
    <w:rsid w:val="0082030C"/>
    <w:rsid w:val="0082290A"/>
    <w:rsid w:val="008246D8"/>
    <w:rsid w:val="00825BFE"/>
    <w:rsid w:val="00826A24"/>
    <w:rsid w:val="0083161F"/>
    <w:rsid w:val="008354DA"/>
    <w:rsid w:val="008374A5"/>
    <w:rsid w:val="00837F59"/>
    <w:rsid w:val="008419D4"/>
    <w:rsid w:val="00846176"/>
    <w:rsid w:val="00846959"/>
    <w:rsid w:val="00846D58"/>
    <w:rsid w:val="00847112"/>
    <w:rsid w:val="00850A76"/>
    <w:rsid w:val="008518E9"/>
    <w:rsid w:val="00851F77"/>
    <w:rsid w:val="00853CF1"/>
    <w:rsid w:val="00853F90"/>
    <w:rsid w:val="00854287"/>
    <w:rsid w:val="00854CD7"/>
    <w:rsid w:val="008560DC"/>
    <w:rsid w:val="008608CE"/>
    <w:rsid w:val="00863FA0"/>
    <w:rsid w:val="008642AD"/>
    <w:rsid w:val="00864767"/>
    <w:rsid w:val="008658C1"/>
    <w:rsid w:val="00871420"/>
    <w:rsid w:val="0087284F"/>
    <w:rsid w:val="00873B39"/>
    <w:rsid w:val="00874F0A"/>
    <w:rsid w:val="0087537F"/>
    <w:rsid w:val="00875790"/>
    <w:rsid w:val="0088274C"/>
    <w:rsid w:val="0088553F"/>
    <w:rsid w:val="0088566E"/>
    <w:rsid w:val="00887AE8"/>
    <w:rsid w:val="00890A44"/>
    <w:rsid w:val="008952B1"/>
    <w:rsid w:val="00895D42"/>
    <w:rsid w:val="00896461"/>
    <w:rsid w:val="008A092E"/>
    <w:rsid w:val="008A0A21"/>
    <w:rsid w:val="008A0A2B"/>
    <w:rsid w:val="008A1271"/>
    <w:rsid w:val="008A139B"/>
    <w:rsid w:val="008A19CC"/>
    <w:rsid w:val="008A34A5"/>
    <w:rsid w:val="008A65A0"/>
    <w:rsid w:val="008B0AE4"/>
    <w:rsid w:val="008B386D"/>
    <w:rsid w:val="008B419D"/>
    <w:rsid w:val="008B49BE"/>
    <w:rsid w:val="008B5E1A"/>
    <w:rsid w:val="008C01CC"/>
    <w:rsid w:val="008C0841"/>
    <w:rsid w:val="008C320E"/>
    <w:rsid w:val="008C39B7"/>
    <w:rsid w:val="008C41BA"/>
    <w:rsid w:val="008C4745"/>
    <w:rsid w:val="008C4853"/>
    <w:rsid w:val="008C6CE3"/>
    <w:rsid w:val="008C70A4"/>
    <w:rsid w:val="008D61F0"/>
    <w:rsid w:val="008D6230"/>
    <w:rsid w:val="008E0BC0"/>
    <w:rsid w:val="008E0D93"/>
    <w:rsid w:val="008E1730"/>
    <w:rsid w:val="008E396D"/>
    <w:rsid w:val="008E4433"/>
    <w:rsid w:val="008E5D9B"/>
    <w:rsid w:val="008E6BBD"/>
    <w:rsid w:val="008F1A37"/>
    <w:rsid w:val="008F1C7A"/>
    <w:rsid w:val="008F451C"/>
    <w:rsid w:val="008F68A8"/>
    <w:rsid w:val="009002D9"/>
    <w:rsid w:val="0090030F"/>
    <w:rsid w:val="00901117"/>
    <w:rsid w:val="00901F02"/>
    <w:rsid w:val="00901FAF"/>
    <w:rsid w:val="00903821"/>
    <w:rsid w:val="00903E8B"/>
    <w:rsid w:val="00904039"/>
    <w:rsid w:val="00906B23"/>
    <w:rsid w:val="009076DA"/>
    <w:rsid w:val="00907A72"/>
    <w:rsid w:val="00907FC8"/>
    <w:rsid w:val="00912121"/>
    <w:rsid w:val="00912206"/>
    <w:rsid w:val="009130B6"/>
    <w:rsid w:val="009137DE"/>
    <w:rsid w:val="0091551B"/>
    <w:rsid w:val="0091583A"/>
    <w:rsid w:val="00915DBE"/>
    <w:rsid w:val="00916271"/>
    <w:rsid w:val="00921ECE"/>
    <w:rsid w:val="00922188"/>
    <w:rsid w:val="00923524"/>
    <w:rsid w:val="00924DE2"/>
    <w:rsid w:val="00925B65"/>
    <w:rsid w:val="0092697C"/>
    <w:rsid w:val="00927437"/>
    <w:rsid w:val="00927CEA"/>
    <w:rsid w:val="0093183D"/>
    <w:rsid w:val="009324BB"/>
    <w:rsid w:val="0093345B"/>
    <w:rsid w:val="009365FC"/>
    <w:rsid w:val="009373A8"/>
    <w:rsid w:val="0094046D"/>
    <w:rsid w:val="009404DF"/>
    <w:rsid w:val="009425C8"/>
    <w:rsid w:val="009457D8"/>
    <w:rsid w:val="00951493"/>
    <w:rsid w:val="009517BB"/>
    <w:rsid w:val="00953B67"/>
    <w:rsid w:val="009552B5"/>
    <w:rsid w:val="00955DCE"/>
    <w:rsid w:val="00957384"/>
    <w:rsid w:val="009573D8"/>
    <w:rsid w:val="00957E28"/>
    <w:rsid w:val="00961749"/>
    <w:rsid w:val="00962015"/>
    <w:rsid w:val="00973168"/>
    <w:rsid w:val="00974DF1"/>
    <w:rsid w:val="00981B72"/>
    <w:rsid w:val="009845EA"/>
    <w:rsid w:val="00984CC4"/>
    <w:rsid w:val="00986494"/>
    <w:rsid w:val="00990067"/>
    <w:rsid w:val="0099202B"/>
    <w:rsid w:val="00992DE9"/>
    <w:rsid w:val="009941A7"/>
    <w:rsid w:val="00994284"/>
    <w:rsid w:val="009A3960"/>
    <w:rsid w:val="009A3A59"/>
    <w:rsid w:val="009A45A8"/>
    <w:rsid w:val="009B13B5"/>
    <w:rsid w:val="009B2101"/>
    <w:rsid w:val="009B3489"/>
    <w:rsid w:val="009B55B3"/>
    <w:rsid w:val="009B620F"/>
    <w:rsid w:val="009B6850"/>
    <w:rsid w:val="009B6E58"/>
    <w:rsid w:val="009B6E7D"/>
    <w:rsid w:val="009B73FD"/>
    <w:rsid w:val="009B7A8F"/>
    <w:rsid w:val="009C0EA9"/>
    <w:rsid w:val="009C3F3C"/>
    <w:rsid w:val="009C56AE"/>
    <w:rsid w:val="009C5841"/>
    <w:rsid w:val="009C6617"/>
    <w:rsid w:val="009C7D1E"/>
    <w:rsid w:val="009D4A4F"/>
    <w:rsid w:val="009D56DA"/>
    <w:rsid w:val="009E3F57"/>
    <w:rsid w:val="009E4836"/>
    <w:rsid w:val="009E4BDC"/>
    <w:rsid w:val="009E524F"/>
    <w:rsid w:val="009E7F2B"/>
    <w:rsid w:val="009F1690"/>
    <w:rsid w:val="009F1EAD"/>
    <w:rsid w:val="009F37F6"/>
    <w:rsid w:val="009F425E"/>
    <w:rsid w:val="009F64A7"/>
    <w:rsid w:val="009F6559"/>
    <w:rsid w:val="009F734C"/>
    <w:rsid w:val="00A02076"/>
    <w:rsid w:val="00A023C8"/>
    <w:rsid w:val="00A02514"/>
    <w:rsid w:val="00A0420D"/>
    <w:rsid w:val="00A04629"/>
    <w:rsid w:val="00A05D8A"/>
    <w:rsid w:val="00A07C88"/>
    <w:rsid w:val="00A117BD"/>
    <w:rsid w:val="00A11CFA"/>
    <w:rsid w:val="00A1241B"/>
    <w:rsid w:val="00A12961"/>
    <w:rsid w:val="00A12CA4"/>
    <w:rsid w:val="00A138AE"/>
    <w:rsid w:val="00A13C40"/>
    <w:rsid w:val="00A142C3"/>
    <w:rsid w:val="00A14CD2"/>
    <w:rsid w:val="00A16817"/>
    <w:rsid w:val="00A21D38"/>
    <w:rsid w:val="00A225E2"/>
    <w:rsid w:val="00A22B96"/>
    <w:rsid w:val="00A24EC8"/>
    <w:rsid w:val="00A27D0B"/>
    <w:rsid w:val="00A31012"/>
    <w:rsid w:val="00A33FDF"/>
    <w:rsid w:val="00A34E30"/>
    <w:rsid w:val="00A3582D"/>
    <w:rsid w:val="00A35A46"/>
    <w:rsid w:val="00A35CCD"/>
    <w:rsid w:val="00A37807"/>
    <w:rsid w:val="00A4051A"/>
    <w:rsid w:val="00A42E4E"/>
    <w:rsid w:val="00A45060"/>
    <w:rsid w:val="00A456B5"/>
    <w:rsid w:val="00A45F5F"/>
    <w:rsid w:val="00A46AE6"/>
    <w:rsid w:val="00A4765F"/>
    <w:rsid w:val="00A47FE7"/>
    <w:rsid w:val="00A51CC8"/>
    <w:rsid w:val="00A55E24"/>
    <w:rsid w:val="00A562C1"/>
    <w:rsid w:val="00A576CB"/>
    <w:rsid w:val="00A617AF"/>
    <w:rsid w:val="00A61B65"/>
    <w:rsid w:val="00A62967"/>
    <w:rsid w:val="00A638A7"/>
    <w:rsid w:val="00A63947"/>
    <w:rsid w:val="00A6462A"/>
    <w:rsid w:val="00A64861"/>
    <w:rsid w:val="00A65855"/>
    <w:rsid w:val="00A658A4"/>
    <w:rsid w:val="00A65F03"/>
    <w:rsid w:val="00A666B1"/>
    <w:rsid w:val="00A71C4A"/>
    <w:rsid w:val="00A72E9B"/>
    <w:rsid w:val="00A757EB"/>
    <w:rsid w:val="00A759C2"/>
    <w:rsid w:val="00A76022"/>
    <w:rsid w:val="00A85C54"/>
    <w:rsid w:val="00A87139"/>
    <w:rsid w:val="00A90A7A"/>
    <w:rsid w:val="00A91E23"/>
    <w:rsid w:val="00A92724"/>
    <w:rsid w:val="00A927F9"/>
    <w:rsid w:val="00A92C8F"/>
    <w:rsid w:val="00A92F8C"/>
    <w:rsid w:val="00A95E23"/>
    <w:rsid w:val="00AA2F00"/>
    <w:rsid w:val="00AA3273"/>
    <w:rsid w:val="00AA3D6A"/>
    <w:rsid w:val="00AA4349"/>
    <w:rsid w:val="00AA5266"/>
    <w:rsid w:val="00AA5C73"/>
    <w:rsid w:val="00AB28AC"/>
    <w:rsid w:val="00AB4015"/>
    <w:rsid w:val="00AB422A"/>
    <w:rsid w:val="00AC13BE"/>
    <w:rsid w:val="00AC314D"/>
    <w:rsid w:val="00AD0DCD"/>
    <w:rsid w:val="00AD167E"/>
    <w:rsid w:val="00AD5B97"/>
    <w:rsid w:val="00AD6D51"/>
    <w:rsid w:val="00AE02EE"/>
    <w:rsid w:val="00AE28C9"/>
    <w:rsid w:val="00AE4AC6"/>
    <w:rsid w:val="00AE506F"/>
    <w:rsid w:val="00AE5141"/>
    <w:rsid w:val="00AE7119"/>
    <w:rsid w:val="00AF0435"/>
    <w:rsid w:val="00AF4012"/>
    <w:rsid w:val="00AF46B2"/>
    <w:rsid w:val="00AF55B6"/>
    <w:rsid w:val="00AF5602"/>
    <w:rsid w:val="00AF5768"/>
    <w:rsid w:val="00B02A5A"/>
    <w:rsid w:val="00B10C19"/>
    <w:rsid w:val="00B13186"/>
    <w:rsid w:val="00B16A84"/>
    <w:rsid w:val="00B16E4B"/>
    <w:rsid w:val="00B1770A"/>
    <w:rsid w:val="00B27A1F"/>
    <w:rsid w:val="00B31898"/>
    <w:rsid w:val="00B32265"/>
    <w:rsid w:val="00B3614C"/>
    <w:rsid w:val="00B37238"/>
    <w:rsid w:val="00B378C5"/>
    <w:rsid w:val="00B4035F"/>
    <w:rsid w:val="00B40FE4"/>
    <w:rsid w:val="00B447F2"/>
    <w:rsid w:val="00B44D86"/>
    <w:rsid w:val="00B47B47"/>
    <w:rsid w:val="00B51149"/>
    <w:rsid w:val="00B52D3C"/>
    <w:rsid w:val="00B538E5"/>
    <w:rsid w:val="00B54004"/>
    <w:rsid w:val="00B54646"/>
    <w:rsid w:val="00B55E93"/>
    <w:rsid w:val="00B62626"/>
    <w:rsid w:val="00B6394D"/>
    <w:rsid w:val="00B71C81"/>
    <w:rsid w:val="00B72B8D"/>
    <w:rsid w:val="00B72DAA"/>
    <w:rsid w:val="00B747A6"/>
    <w:rsid w:val="00B82FA4"/>
    <w:rsid w:val="00B8541F"/>
    <w:rsid w:val="00B86F8C"/>
    <w:rsid w:val="00B87258"/>
    <w:rsid w:val="00B8751A"/>
    <w:rsid w:val="00B90035"/>
    <w:rsid w:val="00B905F1"/>
    <w:rsid w:val="00B9416D"/>
    <w:rsid w:val="00B9542F"/>
    <w:rsid w:val="00B96475"/>
    <w:rsid w:val="00BA311B"/>
    <w:rsid w:val="00BA3A97"/>
    <w:rsid w:val="00BA5121"/>
    <w:rsid w:val="00BA62AC"/>
    <w:rsid w:val="00BB216D"/>
    <w:rsid w:val="00BB2F6A"/>
    <w:rsid w:val="00BB2FA9"/>
    <w:rsid w:val="00BB396C"/>
    <w:rsid w:val="00BB40A6"/>
    <w:rsid w:val="00BB4804"/>
    <w:rsid w:val="00BB4F18"/>
    <w:rsid w:val="00BB54B7"/>
    <w:rsid w:val="00BB62A8"/>
    <w:rsid w:val="00BC05AC"/>
    <w:rsid w:val="00BC3993"/>
    <w:rsid w:val="00BC424D"/>
    <w:rsid w:val="00BD4AAD"/>
    <w:rsid w:val="00BD7444"/>
    <w:rsid w:val="00BE08D4"/>
    <w:rsid w:val="00BE1AF5"/>
    <w:rsid w:val="00BE1B6D"/>
    <w:rsid w:val="00BE4184"/>
    <w:rsid w:val="00BE469F"/>
    <w:rsid w:val="00BE58A0"/>
    <w:rsid w:val="00BE5A21"/>
    <w:rsid w:val="00BE746B"/>
    <w:rsid w:val="00BE7DEE"/>
    <w:rsid w:val="00BF02E1"/>
    <w:rsid w:val="00BF1929"/>
    <w:rsid w:val="00BF3DD0"/>
    <w:rsid w:val="00BF4B68"/>
    <w:rsid w:val="00BF5C31"/>
    <w:rsid w:val="00BF696E"/>
    <w:rsid w:val="00BF6FFF"/>
    <w:rsid w:val="00C00DB6"/>
    <w:rsid w:val="00C014E8"/>
    <w:rsid w:val="00C01E63"/>
    <w:rsid w:val="00C02CA6"/>
    <w:rsid w:val="00C03421"/>
    <w:rsid w:val="00C036DA"/>
    <w:rsid w:val="00C039E0"/>
    <w:rsid w:val="00C042B1"/>
    <w:rsid w:val="00C0542E"/>
    <w:rsid w:val="00C05CD7"/>
    <w:rsid w:val="00C06218"/>
    <w:rsid w:val="00C07EC6"/>
    <w:rsid w:val="00C118F5"/>
    <w:rsid w:val="00C136DD"/>
    <w:rsid w:val="00C23D63"/>
    <w:rsid w:val="00C26BCF"/>
    <w:rsid w:val="00C276E8"/>
    <w:rsid w:val="00C33F3A"/>
    <w:rsid w:val="00C34B52"/>
    <w:rsid w:val="00C34CD7"/>
    <w:rsid w:val="00C36413"/>
    <w:rsid w:val="00C3681E"/>
    <w:rsid w:val="00C42F86"/>
    <w:rsid w:val="00C43C5D"/>
    <w:rsid w:val="00C47A4A"/>
    <w:rsid w:val="00C51156"/>
    <w:rsid w:val="00C5152D"/>
    <w:rsid w:val="00C5198C"/>
    <w:rsid w:val="00C53AD3"/>
    <w:rsid w:val="00C56D87"/>
    <w:rsid w:val="00C574D8"/>
    <w:rsid w:val="00C607F8"/>
    <w:rsid w:val="00C6551F"/>
    <w:rsid w:val="00C65DAC"/>
    <w:rsid w:val="00C664AD"/>
    <w:rsid w:val="00C72DDD"/>
    <w:rsid w:val="00C7457C"/>
    <w:rsid w:val="00C74E9D"/>
    <w:rsid w:val="00C74EC8"/>
    <w:rsid w:val="00C760F3"/>
    <w:rsid w:val="00C76823"/>
    <w:rsid w:val="00C82523"/>
    <w:rsid w:val="00C83214"/>
    <w:rsid w:val="00C83D1A"/>
    <w:rsid w:val="00C927F1"/>
    <w:rsid w:val="00C930AB"/>
    <w:rsid w:val="00C947C9"/>
    <w:rsid w:val="00C95856"/>
    <w:rsid w:val="00C96128"/>
    <w:rsid w:val="00C97E67"/>
    <w:rsid w:val="00CA0552"/>
    <w:rsid w:val="00CA36CB"/>
    <w:rsid w:val="00CA3E1D"/>
    <w:rsid w:val="00CA508A"/>
    <w:rsid w:val="00CA5817"/>
    <w:rsid w:val="00CA613C"/>
    <w:rsid w:val="00CB00A4"/>
    <w:rsid w:val="00CB1189"/>
    <w:rsid w:val="00CB1649"/>
    <w:rsid w:val="00CB29D5"/>
    <w:rsid w:val="00CB46B3"/>
    <w:rsid w:val="00CB7B2E"/>
    <w:rsid w:val="00CC0B70"/>
    <w:rsid w:val="00CC1E85"/>
    <w:rsid w:val="00CC30F7"/>
    <w:rsid w:val="00CC3211"/>
    <w:rsid w:val="00CC38C8"/>
    <w:rsid w:val="00CD01D3"/>
    <w:rsid w:val="00CD74A6"/>
    <w:rsid w:val="00CD79A1"/>
    <w:rsid w:val="00CE3B62"/>
    <w:rsid w:val="00CE4DC8"/>
    <w:rsid w:val="00CE6308"/>
    <w:rsid w:val="00CE7975"/>
    <w:rsid w:val="00CF0E93"/>
    <w:rsid w:val="00CF23C5"/>
    <w:rsid w:val="00CF6073"/>
    <w:rsid w:val="00CF6327"/>
    <w:rsid w:val="00CF7303"/>
    <w:rsid w:val="00CF7979"/>
    <w:rsid w:val="00CF7C03"/>
    <w:rsid w:val="00D03DC4"/>
    <w:rsid w:val="00D04BD2"/>
    <w:rsid w:val="00D05DD5"/>
    <w:rsid w:val="00D06304"/>
    <w:rsid w:val="00D07E2D"/>
    <w:rsid w:val="00D1130B"/>
    <w:rsid w:val="00D11A9A"/>
    <w:rsid w:val="00D158FC"/>
    <w:rsid w:val="00D20CCC"/>
    <w:rsid w:val="00D21B02"/>
    <w:rsid w:val="00D22467"/>
    <w:rsid w:val="00D24653"/>
    <w:rsid w:val="00D25CE8"/>
    <w:rsid w:val="00D276B3"/>
    <w:rsid w:val="00D30254"/>
    <w:rsid w:val="00D316B7"/>
    <w:rsid w:val="00D33A34"/>
    <w:rsid w:val="00D34227"/>
    <w:rsid w:val="00D3620C"/>
    <w:rsid w:val="00D3705F"/>
    <w:rsid w:val="00D40A62"/>
    <w:rsid w:val="00D427F0"/>
    <w:rsid w:val="00D44680"/>
    <w:rsid w:val="00D45A2F"/>
    <w:rsid w:val="00D51D5E"/>
    <w:rsid w:val="00D54D84"/>
    <w:rsid w:val="00D5544D"/>
    <w:rsid w:val="00D55503"/>
    <w:rsid w:val="00D6249A"/>
    <w:rsid w:val="00D66EB9"/>
    <w:rsid w:val="00D670C6"/>
    <w:rsid w:val="00D70763"/>
    <w:rsid w:val="00D71277"/>
    <w:rsid w:val="00D71555"/>
    <w:rsid w:val="00D72155"/>
    <w:rsid w:val="00D74D94"/>
    <w:rsid w:val="00D775EE"/>
    <w:rsid w:val="00D81150"/>
    <w:rsid w:val="00D82E2D"/>
    <w:rsid w:val="00D832E5"/>
    <w:rsid w:val="00D858B6"/>
    <w:rsid w:val="00D85C50"/>
    <w:rsid w:val="00D85E10"/>
    <w:rsid w:val="00D85E81"/>
    <w:rsid w:val="00D9557F"/>
    <w:rsid w:val="00D972C4"/>
    <w:rsid w:val="00D9750B"/>
    <w:rsid w:val="00D97610"/>
    <w:rsid w:val="00D9781A"/>
    <w:rsid w:val="00DA174B"/>
    <w:rsid w:val="00DA2776"/>
    <w:rsid w:val="00DA2F12"/>
    <w:rsid w:val="00DA2FDA"/>
    <w:rsid w:val="00DB0259"/>
    <w:rsid w:val="00DB0529"/>
    <w:rsid w:val="00DB193C"/>
    <w:rsid w:val="00DB4111"/>
    <w:rsid w:val="00DB45E4"/>
    <w:rsid w:val="00DB561B"/>
    <w:rsid w:val="00DB7DFD"/>
    <w:rsid w:val="00DC7B32"/>
    <w:rsid w:val="00DD0136"/>
    <w:rsid w:val="00DD01CE"/>
    <w:rsid w:val="00DD2C52"/>
    <w:rsid w:val="00DD42B6"/>
    <w:rsid w:val="00DD4F14"/>
    <w:rsid w:val="00DD53BA"/>
    <w:rsid w:val="00DD7223"/>
    <w:rsid w:val="00DD7362"/>
    <w:rsid w:val="00DD788B"/>
    <w:rsid w:val="00DE0C89"/>
    <w:rsid w:val="00DE10E7"/>
    <w:rsid w:val="00DE1A90"/>
    <w:rsid w:val="00DE217A"/>
    <w:rsid w:val="00DE253F"/>
    <w:rsid w:val="00DE4E8F"/>
    <w:rsid w:val="00DE7445"/>
    <w:rsid w:val="00DF04EE"/>
    <w:rsid w:val="00DF1115"/>
    <w:rsid w:val="00DF1EA8"/>
    <w:rsid w:val="00DF2C6B"/>
    <w:rsid w:val="00DF2CAC"/>
    <w:rsid w:val="00DF75D3"/>
    <w:rsid w:val="00E02D5E"/>
    <w:rsid w:val="00E04C70"/>
    <w:rsid w:val="00E0567F"/>
    <w:rsid w:val="00E0626B"/>
    <w:rsid w:val="00E1182F"/>
    <w:rsid w:val="00E126A3"/>
    <w:rsid w:val="00E155BD"/>
    <w:rsid w:val="00E16F4C"/>
    <w:rsid w:val="00E16FEB"/>
    <w:rsid w:val="00E1736F"/>
    <w:rsid w:val="00E2070D"/>
    <w:rsid w:val="00E23758"/>
    <w:rsid w:val="00E238A1"/>
    <w:rsid w:val="00E2602A"/>
    <w:rsid w:val="00E26BB6"/>
    <w:rsid w:val="00E30FF0"/>
    <w:rsid w:val="00E32733"/>
    <w:rsid w:val="00E32F65"/>
    <w:rsid w:val="00E36B48"/>
    <w:rsid w:val="00E40A60"/>
    <w:rsid w:val="00E430E9"/>
    <w:rsid w:val="00E4325F"/>
    <w:rsid w:val="00E47CCC"/>
    <w:rsid w:val="00E50E2C"/>
    <w:rsid w:val="00E51C43"/>
    <w:rsid w:val="00E52ABE"/>
    <w:rsid w:val="00E60088"/>
    <w:rsid w:val="00E64072"/>
    <w:rsid w:val="00E64A44"/>
    <w:rsid w:val="00E6627D"/>
    <w:rsid w:val="00E6741F"/>
    <w:rsid w:val="00E67A1A"/>
    <w:rsid w:val="00E771F3"/>
    <w:rsid w:val="00E779E7"/>
    <w:rsid w:val="00E77B17"/>
    <w:rsid w:val="00E81313"/>
    <w:rsid w:val="00E81B31"/>
    <w:rsid w:val="00E832A8"/>
    <w:rsid w:val="00E873D1"/>
    <w:rsid w:val="00E87C36"/>
    <w:rsid w:val="00E900C5"/>
    <w:rsid w:val="00E90A01"/>
    <w:rsid w:val="00E948E6"/>
    <w:rsid w:val="00E9666A"/>
    <w:rsid w:val="00E97135"/>
    <w:rsid w:val="00EA1C86"/>
    <w:rsid w:val="00EA2CB4"/>
    <w:rsid w:val="00EA54FD"/>
    <w:rsid w:val="00EA683A"/>
    <w:rsid w:val="00EB01B2"/>
    <w:rsid w:val="00EB01FB"/>
    <w:rsid w:val="00EB0261"/>
    <w:rsid w:val="00EB1CF8"/>
    <w:rsid w:val="00EB4776"/>
    <w:rsid w:val="00EB4C40"/>
    <w:rsid w:val="00EB74BB"/>
    <w:rsid w:val="00EC16B4"/>
    <w:rsid w:val="00EC1E28"/>
    <w:rsid w:val="00EC2415"/>
    <w:rsid w:val="00EC34E7"/>
    <w:rsid w:val="00EC42BD"/>
    <w:rsid w:val="00EC5ED0"/>
    <w:rsid w:val="00EC63AE"/>
    <w:rsid w:val="00EC6C21"/>
    <w:rsid w:val="00EC7658"/>
    <w:rsid w:val="00ED0593"/>
    <w:rsid w:val="00ED06F9"/>
    <w:rsid w:val="00ED4D13"/>
    <w:rsid w:val="00EE05CA"/>
    <w:rsid w:val="00EE0E49"/>
    <w:rsid w:val="00EE1169"/>
    <w:rsid w:val="00EE5615"/>
    <w:rsid w:val="00EF1B3C"/>
    <w:rsid w:val="00EF3454"/>
    <w:rsid w:val="00EF5559"/>
    <w:rsid w:val="00EF64B1"/>
    <w:rsid w:val="00EF7B0D"/>
    <w:rsid w:val="00F007C9"/>
    <w:rsid w:val="00F009DB"/>
    <w:rsid w:val="00F02762"/>
    <w:rsid w:val="00F041D5"/>
    <w:rsid w:val="00F043F4"/>
    <w:rsid w:val="00F05770"/>
    <w:rsid w:val="00F120B7"/>
    <w:rsid w:val="00F14B76"/>
    <w:rsid w:val="00F244B7"/>
    <w:rsid w:val="00F31C57"/>
    <w:rsid w:val="00F36674"/>
    <w:rsid w:val="00F402B5"/>
    <w:rsid w:val="00F40959"/>
    <w:rsid w:val="00F40B12"/>
    <w:rsid w:val="00F40F93"/>
    <w:rsid w:val="00F43B88"/>
    <w:rsid w:val="00F442EF"/>
    <w:rsid w:val="00F47D7C"/>
    <w:rsid w:val="00F50010"/>
    <w:rsid w:val="00F506D1"/>
    <w:rsid w:val="00F51045"/>
    <w:rsid w:val="00F5404F"/>
    <w:rsid w:val="00F54A7F"/>
    <w:rsid w:val="00F55D50"/>
    <w:rsid w:val="00F57D77"/>
    <w:rsid w:val="00F604D8"/>
    <w:rsid w:val="00F62B70"/>
    <w:rsid w:val="00F651C1"/>
    <w:rsid w:val="00F67CE7"/>
    <w:rsid w:val="00F70643"/>
    <w:rsid w:val="00F70707"/>
    <w:rsid w:val="00F717E7"/>
    <w:rsid w:val="00F7395A"/>
    <w:rsid w:val="00F74997"/>
    <w:rsid w:val="00F762C7"/>
    <w:rsid w:val="00F76C86"/>
    <w:rsid w:val="00F77918"/>
    <w:rsid w:val="00F77A44"/>
    <w:rsid w:val="00F8058C"/>
    <w:rsid w:val="00F8077A"/>
    <w:rsid w:val="00F818BB"/>
    <w:rsid w:val="00F81A8C"/>
    <w:rsid w:val="00F82039"/>
    <w:rsid w:val="00F8283E"/>
    <w:rsid w:val="00F85470"/>
    <w:rsid w:val="00F86412"/>
    <w:rsid w:val="00F87E31"/>
    <w:rsid w:val="00F9594B"/>
    <w:rsid w:val="00F9598B"/>
    <w:rsid w:val="00F97844"/>
    <w:rsid w:val="00FA52F1"/>
    <w:rsid w:val="00FA617F"/>
    <w:rsid w:val="00FA7280"/>
    <w:rsid w:val="00FB0F48"/>
    <w:rsid w:val="00FB1CB7"/>
    <w:rsid w:val="00FB2377"/>
    <w:rsid w:val="00FB2A4D"/>
    <w:rsid w:val="00FB2BE6"/>
    <w:rsid w:val="00FB37B5"/>
    <w:rsid w:val="00FB4052"/>
    <w:rsid w:val="00FB446C"/>
    <w:rsid w:val="00FB7DB8"/>
    <w:rsid w:val="00FC1158"/>
    <w:rsid w:val="00FC1203"/>
    <w:rsid w:val="00FC4947"/>
    <w:rsid w:val="00FC4A0A"/>
    <w:rsid w:val="00FC5050"/>
    <w:rsid w:val="00FC675A"/>
    <w:rsid w:val="00FC68A3"/>
    <w:rsid w:val="00FD0B54"/>
    <w:rsid w:val="00FD15A4"/>
    <w:rsid w:val="00FD6403"/>
    <w:rsid w:val="00FE1340"/>
    <w:rsid w:val="00FE3E7B"/>
    <w:rsid w:val="00FE435C"/>
    <w:rsid w:val="00FE7CC5"/>
    <w:rsid w:val="00FF2782"/>
    <w:rsid w:val="00FF295A"/>
    <w:rsid w:val="00FF2A6F"/>
    <w:rsid w:val="00FF3FCD"/>
    <w:rsid w:val="00FF4C02"/>
    <w:rsid w:val="00FF5B50"/>
    <w:rsid w:val="00FF5EF9"/>
    <w:rsid w:val="00FF6B9B"/>
    <w:rsid w:val="00FF6F0A"/>
    <w:rsid w:val="00FF729B"/>
    <w:rsid w:val="010E70F1"/>
    <w:rsid w:val="0129403A"/>
    <w:rsid w:val="01503E86"/>
    <w:rsid w:val="016F283F"/>
    <w:rsid w:val="018207C5"/>
    <w:rsid w:val="01826A17"/>
    <w:rsid w:val="01B77866"/>
    <w:rsid w:val="01DC2959"/>
    <w:rsid w:val="025837A5"/>
    <w:rsid w:val="02662F40"/>
    <w:rsid w:val="027A0E14"/>
    <w:rsid w:val="02883F6B"/>
    <w:rsid w:val="02976CA2"/>
    <w:rsid w:val="02AA6B16"/>
    <w:rsid w:val="02F56D74"/>
    <w:rsid w:val="03125B78"/>
    <w:rsid w:val="03CB0F7B"/>
    <w:rsid w:val="03CC5D27"/>
    <w:rsid w:val="03D93827"/>
    <w:rsid w:val="03F80327"/>
    <w:rsid w:val="041A5EC4"/>
    <w:rsid w:val="04302729"/>
    <w:rsid w:val="0451447E"/>
    <w:rsid w:val="047B1554"/>
    <w:rsid w:val="0480341C"/>
    <w:rsid w:val="04D101BA"/>
    <w:rsid w:val="04D53B24"/>
    <w:rsid w:val="04FF11CA"/>
    <w:rsid w:val="0516142A"/>
    <w:rsid w:val="05771922"/>
    <w:rsid w:val="05857459"/>
    <w:rsid w:val="05921EE8"/>
    <w:rsid w:val="05D11EB8"/>
    <w:rsid w:val="05DB75E5"/>
    <w:rsid w:val="05F11169"/>
    <w:rsid w:val="060055F2"/>
    <w:rsid w:val="063E4F16"/>
    <w:rsid w:val="06527826"/>
    <w:rsid w:val="06556C41"/>
    <w:rsid w:val="06707908"/>
    <w:rsid w:val="06A718B6"/>
    <w:rsid w:val="06B47B7A"/>
    <w:rsid w:val="07346F7A"/>
    <w:rsid w:val="0736768B"/>
    <w:rsid w:val="07404390"/>
    <w:rsid w:val="075860A1"/>
    <w:rsid w:val="077F06E3"/>
    <w:rsid w:val="07F341CA"/>
    <w:rsid w:val="0858117E"/>
    <w:rsid w:val="086A32AC"/>
    <w:rsid w:val="089116C0"/>
    <w:rsid w:val="089247D2"/>
    <w:rsid w:val="08A22C7C"/>
    <w:rsid w:val="08F32F05"/>
    <w:rsid w:val="090D25B4"/>
    <w:rsid w:val="0946740A"/>
    <w:rsid w:val="094D40E3"/>
    <w:rsid w:val="094F6585"/>
    <w:rsid w:val="097C6801"/>
    <w:rsid w:val="09AE3A49"/>
    <w:rsid w:val="09CC7F17"/>
    <w:rsid w:val="09F14739"/>
    <w:rsid w:val="09FC2CA4"/>
    <w:rsid w:val="0A016224"/>
    <w:rsid w:val="0A14667A"/>
    <w:rsid w:val="0A424F95"/>
    <w:rsid w:val="0A462BC7"/>
    <w:rsid w:val="0A5F18BC"/>
    <w:rsid w:val="0A663F6C"/>
    <w:rsid w:val="0AC01F5D"/>
    <w:rsid w:val="0AD1239D"/>
    <w:rsid w:val="0ADE12CA"/>
    <w:rsid w:val="0B1F4989"/>
    <w:rsid w:val="0B2F58BB"/>
    <w:rsid w:val="0B444717"/>
    <w:rsid w:val="0B584344"/>
    <w:rsid w:val="0B626F71"/>
    <w:rsid w:val="0B7F5D75"/>
    <w:rsid w:val="0B866A2E"/>
    <w:rsid w:val="0B9C7121"/>
    <w:rsid w:val="0BA56541"/>
    <w:rsid w:val="0BE845BB"/>
    <w:rsid w:val="0BE934DD"/>
    <w:rsid w:val="0C186B74"/>
    <w:rsid w:val="0C6C1935"/>
    <w:rsid w:val="0C6C62F9"/>
    <w:rsid w:val="0CD43E9E"/>
    <w:rsid w:val="0CDE5118"/>
    <w:rsid w:val="0CE106DB"/>
    <w:rsid w:val="0CF663AE"/>
    <w:rsid w:val="0D1B1ACD"/>
    <w:rsid w:val="0D2B61B4"/>
    <w:rsid w:val="0D5D5C42"/>
    <w:rsid w:val="0D6B4803"/>
    <w:rsid w:val="0D942D77"/>
    <w:rsid w:val="0D9D1AE5"/>
    <w:rsid w:val="0DAC6A6E"/>
    <w:rsid w:val="0DE96810"/>
    <w:rsid w:val="0DEE7B9E"/>
    <w:rsid w:val="0DFB64F3"/>
    <w:rsid w:val="0DFE49A3"/>
    <w:rsid w:val="0E11418C"/>
    <w:rsid w:val="0E1A7E28"/>
    <w:rsid w:val="0E3370FE"/>
    <w:rsid w:val="0E4A05AE"/>
    <w:rsid w:val="0E63372C"/>
    <w:rsid w:val="0E652AC5"/>
    <w:rsid w:val="0E682A23"/>
    <w:rsid w:val="0E6D565D"/>
    <w:rsid w:val="0E705B3C"/>
    <w:rsid w:val="0EAA293A"/>
    <w:rsid w:val="0EFD76DC"/>
    <w:rsid w:val="0F021F7C"/>
    <w:rsid w:val="0F090F36"/>
    <w:rsid w:val="0F515EB3"/>
    <w:rsid w:val="0F784573"/>
    <w:rsid w:val="0F7D6A6F"/>
    <w:rsid w:val="0FBE6C35"/>
    <w:rsid w:val="0FD216B3"/>
    <w:rsid w:val="0FF52AA9"/>
    <w:rsid w:val="0FF8315F"/>
    <w:rsid w:val="10112315"/>
    <w:rsid w:val="10202503"/>
    <w:rsid w:val="103112F5"/>
    <w:rsid w:val="104D01F0"/>
    <w:rsid w:val="10654010"/>
    <w:rsid w:val="10732363"/>
    <w:rsid w:val="10937656"/>
    <w:rsid w:val="10DB414B"/>
    <w:rsid w:val="10EA1EE2"/>
    <w:rsid w:val="10EA5A3E"/>
    <w:rsid w:val="110A251D"/>
    <w:rsid w:val="110D2701"/>
    <w:rsid w:val="111E393A"/>
    <w:rsid w:val="11375BEE"/>
    <w:rsid w:val="115A6B37"/>
    <w:rsid w:val="11606388"/>
    <w:rsid w:val="11666897"/>
    <w:rsid w:val="11A63C77"/>
    <w:rsid w:val="11C71BA3"/>
    <w:rsid w:val="11CB2024"/>
    <w:rsid w:val="12144EC0"/>
    <w:rsid w:val="123A0C48"/>
    <w:rsid w:val="12483364"/>
    <w:rsid w:val="128C112C"/>
    <w:rsid w:val="128F4AEF"/>
    <w:rsid w:val="12A433B1"/>
    <w:rsid w:val="12BB58E4"/>
    <w:rsid w:val="12E75B94"/>
    <w:rsid w:val="12EF726C"/>
    <w:rsid w:val="13563DAA"/>
    <w:rsid w:val="136F1C20"/>
    <w:rsid w:val="13742D5D"/>
    <w:rsid w:val="13877D68"/>
    <w:rsid w:val="139F3BE4"/>
    <w:rsid w:val="13D3452B"/>
    <w:rsid w:val="13E626C7"/>
    <w:rsid w:val="13F76DF0"/>
    <w:rsid w:val="140774AD"/>
    <w:rsid w:val="144E5BAF"/>
    <w:rsid w:val="145002AE"/>
    <w:rsid w:val="14592015"/>
    <w:rsid w:val="148D32B1"/>
    <w:rsid w:val="14B8576B"/>
    <w:rsid w:val="1517701E"/>
    <w:rsid w:val="151E112D"/>
    <w:rsid w:val="15455939"/>
    <w:rsid w:val="1561465A"/>
    <w:rsid w:val="156D1119"/>
    <w:rsid w:val="15800A62"/>
    <w:rsid w:val="15977F8D"/>
    <w:rsid w:val="15CC66A1"/>
    <w:rsid w:val="162278E8"/>
    <w:rsid w:val="162E71AF"/>
    <w:rsid w:val="163E57AE"/>
    <w:rsid w:val="164976AB"/>
    <w:rsid w:val="16505C99"/>
    <w:rsid w:val="167F4558"/>
    <w:rsid w:val="16AB2AE8"/>
    <w:rsid w:val="16AF4771"/>
    <w:rsid w:val="16B947B1"/>
    <w:rsid w:val="16BA0495"/>
    <w:rsid w:val="16C91235"/>
    <w:rsid w:val="16D34E8F"/>
    <w:rsid w:val="171364C4"/>
    <w:rsid w:val="1734382F"/>
    <w:rsid w:val="17814F0B"/>
    <w:rsid w:val="178502B5"/>
    <w:rsid w:val="17B9223F"/>
    <w:rsid w:val="17BE19D3"/>
    <w:rsid w:val="17D1198B"/>
    <w:rsid w:val="18067E8E"/>
    <w:rsid w:val="18176DF0"/>
    <w:rsid w:val="182C5C1D"/>
    <w:rsid w:val="186758E2"/>
    <w:rsid w:val="18720C84"/>
    <w:rsid w:val="1881312C"/>
    <w:rsid w:val="18A23810"/>
    <w:rsid w:val="18E4744D"/>
    <w:rsid w:val="193163BA"/>
    <w:rsid w:val="19A84D57"/>
    <w:rsid w:val="19CA4142"/>
    <w:rsid w:val="19EF7AF9"/>
    <w:rsid w:val="1A11228E"/>
    <w:rsid w:val="1A386444"/>
    <w:rsid w:val="1A5E7BE7"/>
    <w:rsid w:val="1AE45BF4"/>
    <w:rsid w:val="1B0B13D3"/>
    <w:rsid w:val="1B20250E"/>
    <w:rsid w:val="1B261841"/>
    <w:rsid w:val="1B304838"/>
    <w:rsid w:val="1B495A57"/>
    <w:rsid w:val="1B6F4BDB"/>
    <w:rsid w:val="1B803B6F"/>
    <w:rsid w:val="1B9746C1"/>
    <w:rsid w:val="1BC9403A"/>
    <w:rsid w:val="1C050957"/>
    <w:rsid w:val="1C487D99"/>
    <w:rsid w:val="1C4955DC"/>
    <w:rsid w:val="1C4C100A"/>
    <w:rsid w:val="1C5847A3"/>
    <w:rsid w:val="1C5C30AE"/>
    <w:rsid w:val="1C7D3C0B"/>
    <w:rsid w:val="1C8C6544"/>
    <w:rsid w:val="1C915D6A"/>
    <w:rsid w:val="1C9920A6"/>
    <w:rsid w:val="1CA15CD3"/>
    <w:rsid w:val="1CB05C33"/>
    <w:rsid w:val="1CB658ED"/>
    <w:rsid w:val="1D6D644E"/>
    <w:rsid w:val="1D914C03"/>
    <w:rsid w:val="1DAF0113"/>
    <w:rsid w:val="1DD51824"/>
    <w:rsid w:val="1DEE08FE"/>
    <w:rsid w:val="1E725972"/>
    <w:rsid w:val="1E786D7F"/>
    <w:rsid w:val="1EAC0635"/>
    <w:rsid w:val="1EC47882"/>
    <w:rsid w:val="1ECE4BF1"/>
    <w:rsid w:val="1F066139"/>
    <w:rsid w:val="1F2D73FA"/>
    <w:rsid w:val="1F5F3A9B"/>
    <w:rsid w:val="1F731535"/>
    <w:rsid w:val="1F856AAA"/>
    <w:rsid w:val="1F8E4729"/>
    <w:rsid w:val="1FA3607E"/>
    <w:rsid w:val="1FB4678C"/>
    <w:rsid w:val="1FBD6951"/>
    <w:rsid w:val="1FD24B33"/>
    <w:rsid w:val="1FF22B62"/>
    <w:rsid w:val="1FFA3BFD"/>
    <w:rsid w:val="20303E66"/>
    <w:rsid w:val="20511E4F"/>
    <w:rsid w:val="209077A9"/>
    <w:rsid w:val="20991665"/>
    <w:rsid w:val="20AD412B"/>
    <w:rsid w:val="20BA6CB0"/>
    <w:rsid w:val="20BF43BB"/>
    <w:rsid w:val="20CF2E44"/>
    <w:rsid w:val="20DC3FA2"/>
    <w:rsid w:val="20F25A2B"/>
    <w:rsid w:val="20F5275D"/>
    <w:rsid w:val="20F66299"/>
    <w:rsid w:val="20F85F56"/>
    <w:rsid w:val="20FB3127"/>
    <w:rsid w:val="21134B3E"/>
    <w:rsid w:val="213B774D"/>
    <w:rsid w:val="21433208"/>
    <w:rsid w:val="218755AB"/>
    <w:rsid w:val="21C510A7"/>
    <w:rsid w:val="21E6657A"/>
    <w:rsid w:val="22010E3A"/>
    <w:rsid w:val="223942B3"/>
    <w:rsid w:val="223C6316"/>
    <w:rsid w:val="22765CAC"/>
    <w:rsid w:val="2296771B"/>
    <w:rsid w:val="22BE060B"/>
    <w:rsid w:val="22BF646D"/>
    <w:rsid w:val="22CC769A"/>
    <w:rsid w:val="22F02729"/>
    <w:rsid w:val="22F4507B"/>
    <w:rsid w:val="23196297"/>
    <w:rsid w:val="232B2612"/>
    <w:rsid w:val="233012E3"/>
    <w:rsid w:val="233665E8"/>
    <w:rsid w:val="23B46876"/>
    <w:rsid w:val="23FB1E25"/>
    <w:rsid w:val="23FE1876"/>
    <w:rsid w:val="2425052A"/>
    <w:rsid w:val="244D325D"/>
    <w:rsid w:val="2458446D"/>
    <w:rsid w:val="24A15EE2"/>
    <w:rsid w:val="24AB715F"/>
    <w:rsid w:val="24B97925"/>
    <w:rsid w:val="24D03CD9"/>
    <w:rsid w:val="24FB6FE0"/>
    <w:rsid w:val="251E084D"/>
    <w:rsid w:val="251F41D5"/>
    <w:rsid w:val="25243F0A"/>
    <w:rsid w:val="2556775A"/>
    <w:rsid w:val="255B1D92"/>
    <w:rsid w:val="25A14E0E"/>
    <w:rsid w:val="25AE3087"/>
    <w:rsid w:val="25AF7C37"/>
    <w:rsid w:val="25B25001"/>
    <w:rsid w:val="25CF468D"/>
    <w:rsid w:val="25F81110"/>
    <w:rsid w:val="25FA35BC"/>
    <w:rsid w:val="26527C90"/>
    <w:rsid w:val="26583EBF"/>
    <w:rsid w:val="26627380"/>
    <w:rsid w:val="26A7706F"/>
    <w:rsid w:val="26B05D42"/>
    <w:rsid w:val="26E256DE"/>
    <w:rsid w:val="26F34F21"/>
    <w:rsid w:val="26F67809"/>
    <w:rsid w:val="27063343"/>
    <w:rsid w:val="270D0F81"/>
    <w:rsid w:val="27117D71"/>
    <w:rsid w:val="27167136"/>
    <w:rsid w:val="27723B5D"/>
    <w:rsid w:val="27772991"/>
    <w:rsid w:val="278D7C5E"/>
    <w:rsid w:val="2797417A"/>
    <w:rsid w:val="27CC07A7"/>
    <w:rsid w:val="27CD66D3"/>
    <w:rsid w:val="27D72417"/>
    <w:rsid w:val="27F03C7F"/>
    <w:rsid w:val="2816238B"/>
    <w:rsid w:val="28181576"/>
    <w:rsid w:val="282854BD"/>
    <w:rsid w:val="28530E0E"/>
    <w:rsid w:val="28634B22"/>
    <w:rsid w:val="28810F26"/>
    <w:rsid w:val="289447B6"/>
    <w:rsid w:val="289A0216"/>
    <w:rsid w:val="289D21F4"/>
    <w:rsid w:val="289F15C5"/>
    <w:rsid w:val="28E868B0"/>
    <w:rsid w:val="290C1785"/>
    <w:rsid w:val="29553F04"/>
    <w:rsid w:val="298A545F"/>
    <w:rsid w:val="29B2271B"/>
    <w:rsid w:val="29C037A2"/>
    <w:rsid w:val="29D0210E"/>
    <w:rsid w:val="29D67050"/>
    <w:rsid w:val="29D82521"/>
    <w:rsid w:val="29EB7B9D"/>
    <w:rsid w:val="29EF191C"/>
    <w:rsid w:val="29F714A0"/>
    <w:rsid w:val="29FF65A7"/>
    <w:rsid w:val="29FF77DC"/>
    <w:rsid w:val="2A444801"/>
    <w:rsid w:val="2A552199"/>
    <w:rsid w:val="2A5F6759"/>
    <w:rsid w:val="2A8E16D9"/>
    <w:rsid w:val="2A9475EB"/>
    <w:rsid w:val="2A9665C1"/>
    <w:rsid w:val="2AA1140C"/>
    <w:rsid w:val="2AC03383"/>
    <w:rsid w:val="2ACA1805"/>
    <w:rsid w:val="2B133D3F"/>
    <w:rsid w:val="2B2D4A4E"/>
    <w:rsid w:val="2B5050CE"/>
    <w:rsid w:val="2B5C0D08"/>
    <w:rsid w:val="2B5E540C"/>
    <w:rsid w:val="2B726905"/>
    <w:rsid w:val="2B867023"/>
    <w:rsid w:val="2B9864EF"/>
    <w:rsid w:val="2BE34B63"/>
    <w:rsid w:val="2C2B0B8C"/>
    <w:rsid w:val="2C66290D"/>
    <w:rsid w:val="2C8575AC"/>
    <w:rsid w:val="2CA06764"/>
    <w:rsid w:val="2CDB453F"/>
    <w:rsid w:val="2D662499"/>
    <w:rsid w:val="2DA76D39"/>
    <w:rsid w:val="2DAA0AE3"/>
    <w:rsid w:val="2DED6CD6"/>
    <w:rsid w:val="2E0B03C5"/>
    <w:rsid w:val="2E3005EA"/>
    <w:rsid w:val="2E4E753A"/>
    <w:rsid w:val="2E6A71C2"/>
    <w:rsid w:val="2E714081"/>
    <w:rsid w:val="2E9F12BE"/>
    <w:rsid w:val="2EA14510"/>
    <w:rsid w:val="2EA27D06"/>
    <w:rsid w:val="2EAB2B24"/>
    <w:rsid w:val="2EBA7481"/>
    <w:rsid w:val="2EBD6BCB"/>
    <w:rsid w:val="2EC014E9"/>
    <w:rsid w:val="2EC025F4"/>
    <w:rsid w:val="2EC67693"/>
    <w:rsid w:val="2EF069F5"/>
    <w:rsid w:val="2F294338"/>
    <w:rsid w:val="2F302D5E"/>
    <w:rsid w:val="2F4862FA"/>
    <w:rsid w:val="2F5E1492"/>
    <w:rsid w:val="2F6C2EA4"/>
    <w:rsid w:val="2F77273B"/>
    <w:rsid w:val="2F7872D4"/>
    <w:rsid w:val="2F9A46C5"/>
    <w:rsid w:val="2FC31409"/>
    <w:rsid w:val="2FCF1FDB"/>
    <w:rsid w:val="2FD90D3F"/>
    <w:rsid w:val="2FF65D56"/>
    <w:rsid w:val="303C3A3A"/>
    <w:rsid w:val="3094798C"/>
    <w:rsid w:val="30997C37"/>
    <w:rsid w:val="30CD20FC"/>
    <w:rsid w:val="313254A2"/>
    <w:rsid w:val="31360497"/>
    <w:rsid w:val="3138414C"/>
    <w:rsid w:val="313C3C3D"/>
    <w:rsid w:val="316239A1"/>
    <w:rsid w:val="316B15CD"/>
    <w:rsid w:val="3182344A"/>
    <w:rsid w:val="3194017B"/>
    <w:rsid w:val="32142976"/>
    <w:rsid w:val="3216448E"/>
    <w:rsid w:val="326E42CA"/>
    <w:rsid w:val="32AB6A4F"/>
    <w:rsid w:val="32C31F24"/>
    <w:rsid w:val="32FA1A84"/>
    <w:rsid w:val="32FD7572"/>
    <w:rsid w:val="33557238"/>
    <w:rsid w:val="33713C78"/>
    <w:rsid w:val="33762C0D"/>
    <w:rsid w:val="339709AF"/>
    <w:rsid w:val="339F7A0C"/>
    <w:rsid w:val="33AB0F61"/>
    <w:rsid w:val="33AF1371"/>
    <w:rsid w:val="33B3141F"/>
    <w:rsid w:val="33C42C0A"/>
    <w:rsid w:val="33DE6334"/>
    <w:rsid w:val="34106055"/>
    <w:rsid w:val="341C3E29"/>
    <w:rsid w:val="342463B4"/>
    <w:rsid w:val="343E5F1E"/>
    <w:rsid w:val="346E6803"/>
    <w:rsid w:val="347100A1"/>
    <w:rsid w:val="347F2CE0"/>
    <w:rsid w:val="348222AE"/>
    <w:rsid w:val="348A4CBF"/>
    <w:rsid w:val="34A477BF"/>
    <w:rsid w:val="34CD10C3"/>
    <w:rsid w:val="34E22D4D"/>
    <w:rsid w:val="35414D8C"/>
    <w:rsid w:val="355A0026"/>
    <w:rsid w:val="35635963"/>
    <w:rsid w:val="35753BC1"/>
    <w:rsid w:val="35934EEF"/>
    <w:rsid w:val="35B5609F"/>
    <w:rsid w:val="35BF4750"/>
    <w:rsid w:val="35CB5AD6"/>
    <w:rsid w:val="35E13AD9"/>
    <w:rsid w:val="36316394"/>
    <w:rsid w:val="36E71A96"/>
    <w:rsid w:val="36EE262B"/>
    <w:rsid w:val="37313B18"/>
    <w:rsid w:val="3748158D"/>
    <w:rsid w:val="375444CF"/>
    <w:rsid w:val="375D3FE4"/>
    <w:rsid w:val="376932B2"/>
    <w:rsid w:val="377B03B8"/>
    <w:rsid w:val="37895702"/>
    <w:rsid w:val="379D0FA7"/>
    <w:rsid w:val="379F3EED"/>
    <w:rsid w:val="37AB1B1C"/>
    <w:rsid w:val="37DA2DF9"/>
    <w:rsid w:val="37E9704B"/>
    <w:rsid w:val="383C2774"/>
    <w:rsid w:val="3845264E"/>
    <w:rsid w:val="385555E4"/>
    <w:rsid w:val="385A322E"/>
    <w:rsid w:val="38C34BC3"/>
    <w:rsid w:val="38CD161E"/>
    <w:rsid w:val="38D2636E"/>
    <w:rsid w:val="38E4124B"/>
    <w:rsid w:val="39095129"/>
    <w:rsid w:val="391C07F9"/>
    <w:rsid w:val="392F0000"/>
    <w:rsid w:val="395343DC"/>
    <w:rsid w:val="395D1F82"/>
    <w:rsid w:val="396C4956"/>
    <w:rsid w:val="397D4EE4"/>
    <w:rsid w:val="399049A3"/>
    <w:rsid w:val="399A6DBB"/>
    <w:rsid w:val="39B829B6"/>
    <w:rsid w:val="39E77057"/>
    <w:rsid w:val="39EC2D56"/>
    <w:rsid w:val="3A00548E"/>
    <w:rsid w:val="3A8C0D88"/>
    <w:rsid w:val="3AAB46ED"/>
    <w:rsid w:val="3ABF1985"/>
    <w:rsid w:val="3AC60BDB"/>
    <w:rsid w:val="3AD067E5"/>
    <w:rsid w:val="3AD97E6F"/>
    <w:rsid w:val="3AEC19EF"/>
    <w:rsid w:val="3B1A3241"/>
    <w:rsid w:val="3B345336"/>
    <w:rsid w:val="3B493953"/>
    <w:rsid w:val="3B5E5D97"/>
    <w:rsid w:val="3B60266D"/>
    <w:rsid w:val="3B7364AD"/>
    <w:rsid w:val="3B847179"/>
    <w:rsid w:val="3B991666"/>
    <w:rsid w:val="3BB6736F"/>
    <w:rsid w:val="3BD57167"/>
    <w:rsid w:val="3C037EF5"/>
    <w:rsid w:val="3C0C0F72"/>
    <w:rsid w:val="3C277297"/>
    <w:rsid w:val="3C4D4F50"/>
    <w:rsid w:val="3CAA0C2A"/>
    <w:rsid w:val="3CE9395D"/>
    <w:rsid w:val="3CFB30CA"/>
    <w:rsid w:val="3D077723"/>
    <w:rsid w:val="3D122796"/>
    <w:rsid w:val="3D453E79"/>
    <w:rsid w:val="3D8A3020"/>
    <w:rsid w:val="3D91550A"/>
    <w:rsid w:val="3DDD78FF"/>
    <w:rsid w:val="3DE11AA5"/>
    <w:rsid w:val="3DEB7C6F"/>
    <w:rsid w:val="3E17671E"/>
    <w:rsid w:val="3E646581"/>
    <w:rsid w:val="3E697A0B"/>
    <w:rsid w:val="3E825552"/>
    <w:rsid w:val="3E8517C5"/>
    <w:rsid w:val="3E930198"/>
    <w:rsid w:val="3E946E66"/>
    <w:rsid w:val="3EB61701"/>
    <w:rsid w:val="3EBA6451"/>
    <w:rsid w:val="3ECA545B"/>
    <w:rsid w:val="3F566811"/>
    <w:rsid w:val="3F6E1604"/>
    <w:rsid w:val="3F9609BC"/>
    <w:rsid w:val="3F995B77"/>
    <w:rsid w:val="3FD05D64"/>
    <w:rsid w:val="3FE56233"/>
    <w:rsid w:val="401455C3"/>
    <w:rsid w:val="40244528"/>
    <w:rsid w:val="403874E0"/>
    <w:rsid w:val="405B4D28"/>
    <w:rsid w:val="4094294D"/>
    <w:rsid w:val="40A3733C"/>
    <w:rsid w:val="40CC3328"/>
    <w:rsid w:val="411029F0"/>
    <w:rsid w:val="41361594"/>
    <w:rsid w:val="414F6F99"/>
    <w:rsid w:val="41A67D0B"/>
    <w:rsid w:val="41DE110C"/>
    <w:rsid w:val="41F57644"/>
    <w:rsid w:val="421656C4"/>
    <w:rsid w:val="42193252"/>
    <w:rsid w:val="42277EF7"/>
    <w:rsid w:val="42411CEA"/>
    <w:rsid w:val="425C0A3B"/>
    <w:rsid w:val="426B76F0"/>
    <w:rsid w:val="429A1D6F"/>
    <w:rsid w:val="42A96C58"/>
    <w:rsid w:val="432431A4"/>
    <w:rsid w:val="433D5089"/>
    <w:rsid w:val="434616BC"/>
    <w:rsid w:val="43B46EA6"/>
    <w:rsid w:val="43C9590B"/>
    <w:rsid w:val="43D95BE2"/>
    <w:rsid w:val="43E16008"/>
    <w:rsid w:val="43F0701E"/>
    <w:rsid w:val="43F55B48"/>
    <w:rsid w:val="44011264"/>
    <w:rsid w:val="4410037A"/>
    <w:rsid w:val="44136A7F"/>
    <w:rsid w:val="441F5424"/>
    <w:rsid w:val="443A082D"/>
    <w:rsid w:val="44426641"/>
    <w:rsid w:val="44633262"/>
    <w:rsid w:val="448B4867"/>
    <w:rsid w:val="44D53D34"/>
    <w:rsid w:val="44F92940"/>
    <w:rsid w:val="4501063B"/>
    <w:rsid w:val="45052AC1"/>
    <w:rsid w:val="45132AAF"/>
    <w:rsid w:val="451F649D"/>
    <w:rsid w:val="45321187"/>
    <w:rsid w:val="45377CF9"/>
    <w:rsid w:val="45416075"/>
    <w:rsid w:val="455D4E4D"/>
    <w:rsid w:val="45782878"/>
    <w:rsid w:val="45A71A34"/>
    <w:rsid w:val="45BE6EBE"/>
    <w:rsid w:val="463D4D16"/>
    <w:rsid w:val="46490517"/>
    <w:rsid w:val="465346DC"/>
    <w:rsid w:val="467E74F1"/>
    <w:rsid w:val="46973A9F"/>
    <w:rsid w:val="46CD03D6"/>
    <w:rsid w:val="46DB4254"/>
    <w:rsid w:val="46F70FEB"/>
    <w:rsid w:val="47001852"/>
    <w:rsid w:val="47131AAE"/>
    <w:rsid w:val="478236DD"/>
    <w:rsid w:val="47A948D0"/>
    <w:rsid w:val="47B65A57"/>
    <w:rsid w:val="47DB01D8"/>
    <w:rsid w:val="47EA6BCA"/>
    <w:rsid w:val="480F755D"/>
    <w:rsid w:val="48194880"/>
    <w:rsid w:val="48324258"/>
    <w:rsid w:val="485533C5"/>
    <w:rsid w:val="48961184"/>
    <w:rsid w:val="48981FDB"/>
    <w:rsid w:val="489A776F"/>
    <w:rsid w:val="48D12A65"/>
    <w:rsid w:val="48D72831"/>
    <w:rsid w:val="48DA400F"/>
    <w:rsid w:val="48E94252"/>
    <w:rsid w:val="48F826E7"/>
    <w:rsid w:val="48FB15B1"/>
    <w:rsid w:val="492E1C8A"/>
    <w:rsid w:val="49457B9B"/>
    <w:rsid w:val="49767A81"/>
    <w:rsid w:val="49C13E32"/>
    <w:rsid w:val="4A193EF2"/>
    <w:rsid w:val="4A5C41EE"/>
    <w:rsid w:val="4A6B59BD"/>
    <w:rsid w:val="4A911DE8"/>
    <w:rsid w:val="4AB20618"/>
    <w:rsid w:val="4AC44A5C"/>
    <w:rsid w:val="4AD15721"/>
    <w:rsid w:val="4AD650FF"/>
    <w:rsid w:val="4AEC09FB"/>
    <w:rsid w:val="4B286C96"/>
    <w:rsid w:val="4B3D1D4B"/>
    <w:rsid w:val="4B841AD9"/>
    <w:rsid w:val="4B85737C"/>
    <w:rsid w:val="4BE544FF"/>
    <w:rsid w:val="4BF9040A"/>
    <w:rsid w:val="4C0B61D0"/>
    <w:rsid w:val="4C1603E0"/>
    <w:rsid w:val="4C2A55AF"/>
    <w:rsid w:val="4C7F7F32"/>
    <w:rsid w:val="4C9202CE"/>
    <w:rsid w:val="4CBC4A0C"/>
    <w:rsid w:val="4CF2172A"/>
    <w:rsid w:val="4D021D86"/>
    <w:rsid w:val="4D041B29"/>
    <w:rsid w:val="4D1D0B56"/>
    <w:rsid w:val="4D1E3BF0"/>
    <w:rsid w:val="4D216D20"/>
    <w:rsid w:val="4D355F0D"/>
    <w:rsid w:val="4D4B13F3"/>
    <w:rsid w:val="4D5344AC"/>
    <w:rsid w:val="4D6B7D84"/>
    <w:rsid w:val="4D743336"/>
    <w:rsid w:val="4D761F49"/>
    <w:rsid w:val="4DB536B0"/>
    <w:rsid w:val="4DF44835"/>
    <w:rsid w:val="4E031D7A"/>
    <w:rsid w:val="4E3C3FC8"/>
    <w:rsid w:val="4E42314D"/>
    <w:rsid w:val="4E524648"/>
    <w:rsid w:val="4E873E5B"/>
    <w:rsid w:val="4EB4266F"/>
    <w:rsid w:val="4EC13713"/>
    <w:rsid w:val="4F227B55"/>
    <w:rsid w:val="4F3F4D79"/>
    <w:rsid w:val="4F447BCB"/>
    <w:rsid w:val="4F477F24"/>
    <w:rsid w:val="4F491758"/>
    <w:rsid w:val="4F506DD9"/>
    <w:rsid w:val="4F5D14F6"/>
    <w:rsid w:val="4F7B372A"/>
    <w:rsid w:val="4FF50E5C"/>
    <w:rsid w:val="50492ED6"/>
    <w:rsid w:val="504B2981"/>
    <w:rsid w:val="50594E5E"/>
    <w:rsid w:val="50AA427B"/>
    <w:rsid w:val="50AC27F4"/>
    <w:rsid w:val="50E27D28"/>
    <w:rsid w:val="50F30CAD"/>
    <w:rsid w:val="51510BE7"/>
    <w:rsid w:val="51733EAB"/>
    <w:rsid w:val="5176689F"/>
    <w:rsid w:val="51A26F77"/>
    <w:rsid w:val="51A27BDE"/>
    <w:rsid w:val="51BD44CE"/>
    <w:rsid w:val="51BE5C1E"/>
    <w:rsid w:val="51C248A5"/>
    <w:rsid w:val="51CB640B"/>
    <w:rsid w:val="51DE20FB"/>
    <w:rsid w:val="51E1029C"/>
    <w:rsid w:val="520F496B"/>
    <w:rsid w:val="5219008D"/>
    <w:rsid w:val="522B1A1A"/>
    <w:rsid w:val="523B0E89"/>
    <w:rsid w:val="524B2DC8"/>
    <w:rsid w:val="525A0210"/>
    <w:rsid w:val="527148BE"/>
    <w:rsid w:val="52952D55"/>
    <w:rsid w:val="529601E4"/>
    <w:rsid w:val="52AF2B74"/>
    <w:rsid w:val="52D11EE3"/>
    <w:rsid w:val="530110AB"/>
    <w:rsid w:val="53066D0F"/>
    <w:rsid w:val="531941DA"/>
    <w:rsid w:val="531D551D"/>
    <w:rsid w:val="532B0ADB"/>
    <w:rsid w:val="53413B53"/>
    <w:rsid w:val="534E1882"/>
    <w:rsid w:val="53B87F60"/>
    <w:rsid w:val="53E478AF"/>
    <w:rsid w:val="53F65A75"/>
    <w:rsid w:val="541128AF"/>
    <w:rsid w:val="5425305B"/>
    <w:rsid w:val="543563F0"/>
    <w:rsid w:val="543A1E06"/>
    <w:rsid w:val="544069B1"/>
    <w:rsid w:val="5488245D"/>
    <w:rsid w:val="54935E10"/>
    <w:rsid w:val="54A91DF0"/>
    <w:rsid w:val="54CD4A28"/>
    <w:rsid w:val="54D6585E"/>
    <w:rsid w:val="54D6640B"/>
    <w:rsid w:val="54F23F50"/>
    <w:rsid w:val="5515410D"/>
    <w:rsid w:val="551E1D72"/>
    <w:rsid w:val="55536FDA"/>
    <w:rsid w:val="556E388B"/>
    <w:rsid w:val="55806D8B"/>
    <w:rsid w:val="55B31E70"/>
    <w:rsid w:val="55D77168"/>
    <w:rsid w:val="560C77D2"/>
    <w:rsid w:val="56142BD0"/>
    <w:rsid w:val="56554D73"/>
    <w:rsid w:val="56867584"/>
    <w:rsid w:val="56B023EA"/>
    <w:rsid w:val="56F05B65"/>
    <w:rsid w:val="56FA0201"/>
    <w:rsid w:val="572D5C52"/>
    <w:rsid w:val="57473B22"/>
    <w:rsid w:val="575D4AEE"/>
    <w:rsid w:val="5761663B"/>
    <w:rsid w:val="57736AB0"/>
    <w:rsid w:val="57B91294"/>
    <w:rsid w:val="57C07912"/>
    <w:rsid w:val="57FE0017"/>
    <w:rsid w:val="582A4DDF"/>
    <w:rsid w:val="584720E0"/>
    <w:rsid w:val="585A0885"/>
    <w:rsid w:val="586604EA"/>
    <w:rsid w:val="5889335C"/>
    <w:rsid w:val="58C3382F"/>
    <w:rsid w:val="58D27FB8"/>
    <w:rsid w:val="58F9524E"/>
    <w:rsid w:val="593A4990"/>
    <w:rsid w:val="599541CD"/>
    <w:rsid w:val="59A3777C"/>
    <w:rsid w:val="59DB7BE7"/>
    <w:rsid w:val="5A0C1EF9"/>
    <w:rsid w:val="5A352FBE"/>
    <w:rsid w:val="5A390534"/>
    <w:rsid w:val="5A4A63D7"/>
    <w:rsid w:val="5A715E56"/>
    <w:rsid w:val="5A9B04D6"/>
    <w:rsid w:val="5AE44F30"/>
    <w:rsid w:val="5B6F4A8B"/>
    <w:rsid w:val="5B8310E4"/>
    <w:rsid w:val="5BE62FD9"/>
    <w:rsid w:val="5BF74EC7"/>
    <w:rsid w:val="5C1F50E4"/>
    <w:rsid w:val="5C205BA2"/>
    <w:rsid w:val="5C491F27"/>
    <w:rsid w:val="5CC96302"/>
    <w:rsid w:val="5CE63E7E"/>
    <w:rsid w:val="5CF93AE0"/>
    <w:rsid w:val="5CF93B2D"/>
    <w:rsid w:val="5D27508B"/>
    <w:rsid w:val="5D83037A"/>
    <w:rsid w:val="5DA90013"/>
    <w:rsid w:val="5DB9023F"/>
    <w:rsid w:val="5DBB4958"/>
    <w:rsid w:val="5DED7EE9"/>
    <w:rsid w:val="5DFF6F42"/>
    <w:rsid w:val="5E297715"/>
    <w:rsid w:val="5E4443F8"/>
    <w:rsid w:val="5E934DA7"/>
    <w:rsid w:val="5EBB21E3"/>
    <w:rsid w:val="5ED811C0"/>
    <w:rsid w:val="5EE8230E"/>
    <w:rsid w:val="5EFE78C9"/>
    <w:rsid w:val="5F04319F"/>
    <w:rsid w:val="5F125E59"/>
    <w:rsid w:val="5F1D468A"/>
    <w:rsid w:val="5F230C6E"/>
    <w:rsid w:val="5F396D54"/>
    <w:rsid w:val="5F5D650D"/>
    <w:rsid w:val="5F6D55CC"/>
    <w:rsid w:val="5F8C1EAA"/>
    <w:rsid w:val="5FAB09A1"/>
    <w:rsid w:val="5FB21B76"/>
    <w:rsid w:val="5FE559CD"/>
    <w:rsid w:val="5FEB71DA"/>
    <w:rsid w:val="60562F44"/>
    <w:rsid w:val="607A491A"/>
    <w:rsid w:val="60932FCA"/>
    <w:rsid w:val="60D9470F"/>
    <w:rsid w:val="60DD5F31"/>
    <w:rsid w:val="60EB6D00"/>
    <w:rsid w:val="612049BB"/>
    <w:rsid w:val="614F614E"/>
    <w:rsid w:val="6151253D"/>
    <w:rsid w:val="61561B83"/>
    <w:rsid w:val="615841C4"/>
    <w:rsid w:val="615978D1"/>
    <w:rsid w:val="615C785F"/>
    <w:rsid w:val="61B16610"/>
    <w:rsid w:val="61C827FF"/>
    <w:rsid w:val="61CD3451"/>
    <w:rsid w:val="61DD2A6C"/>
    <w:rsid w:val="61E6479E"/>
    <w:rsid w:val="62170D32"/>
    <w:rsid w:val="62292FA7"/>
    <w:rsid w:val="62595B4D"/>
    <w:rsid w:val="62614A02"/>
    <w:rsid w:val="62625805"/>
    <w:rsid w:val="629A2158"/>
    <w:rsid w:val="62AA63A9"/>
    <w:rsid w:val="62AC1A0A"/>
    <w:rsid w:val="62D1432C"/>
    <w:rsid w:val="62E573FE"/>
    <w:rsid w:val="631E68A0"/>
    <w:rsid w:val="632C0E54"/>
    <w:rsid w:val="63780255"/>
    <w:rsid w:val="63806A58"/>
    <w:rsid w:val="639F1C85"/>
    <w:rsid w:val="63D87AEE"/>
    <w:rsid w:val="6411743B"/>
    <w:rsid w:val="642C15E5"/>
    <w:rsid w:val="64301C12"/>
    <w:rsid w:val="64917820"/>
    <w:rsid w:val="649829A9"/>
    <w:rsid w:val="64C42F83"/>
    <w:rsid w:val="64EB67CE"/>
    <w:rsid w:val="656C77A6"/>
    <w:rsid w:val="658729D1"/>
    <w:rsid w:val="65A87E00"/>
    <w:rsid w:val="65AA5DA5"/>
    <w:rsid w:val="65C07D27"/>
    <w:rsid w:val="65D21085"/>
    <w:rsid w:val="660E4EA0"/>
    <w:rsid w:val="6639016F"/>
    <w:rsid w:val="66392D9A"/>
    <w:rsid w:val="663E0A2F"/>
    <w:rsid w:val="66577444"/>
    <w:rsid w:val="6663635F"/>
    <w:rsid w:val="66754F1F"/>
    <w:rsid w:val="669473E5"/>
    <w:rsid w:val="66993F11"/>
    <w:rsid w:val="66A31A8D"/>
    <w:rsid w:val="66B772E6"/>
    <w:rsid w:val="66BB0D4F"/>
    <w:rsid w:val="66C54326"/>
    <w:rsid w:val="66CE13EF"/>
    <w:rsid w:val="66D41C46"/>
    <w:rsid w:val="66DB4D83"/>
    <w:rsid w:val="67105A18"/>
    <w:rsid w:val="671D552C"/>
    <w:rsid w:val="67346614"/>
    <w:rsid w:val="674120F2"/>
    <w:rsid w:val="674E7C3D"/>
    <w:rsid w:val="678C20F6"/>
    <w:rsid w:val="678C7A88"/>
    <w:rsid w:val="67BD6B7E"/>
    <w:rsid w:val="67EB2EF9"/>
    <w:rsid w:val="685F19E3"/>
    <w:rsid w:val="688C2BE0"/>
    <w:rsid w:val="688D6550"/>
    <w:rsid w:val="68994EF5"/>
    <w:rsid w:val="689A2236"/>
    <w:rsid w:val="68B6096A"/>
    <w:rsid w:val="68B80B93"/>
    <w:rsid w:val="68C3014D"/>
    <w:rsid w:val="68E41866"/>
    <w:rsid w:val="68EF29E6"/>
    <w:rsid w:val="690D50F9"/>
    <w:rsid w:val="690E07BC"/>
    <w:rsid w:val="69767FB8"/>
    <w:rsid w:val="697C498C"/>
    <w:rsid w:val="69927E5F"/>
    <w:rsid w:val="69D0221D"/>
    <w:rsid w:val="6A3B3B6D"/>
    <w:rsid w:val="6A4242B5"/>
    <w:rsid w:val="6A5C5C0D"/>
    <w:rsid w:val="6A8272FB"/>
    <w:rsid w:val="6A912B8B"/>
    <w:rsid w:val="6AC235A3"/>
    <w:rsid w:val="6AEC6564"/>
    <w:rsid w:val="6AF44665"/>
    <w:rsid w:val="6B1D6721"/>
    <w:rsid w:val="6B3A0B10"/>
    <w:rsid w:val="6B567508"/>
    <w:rsid w:val="6B6E08BB"/>
    <w:rsid w:val="6B710969"/>
    <w:rsid w:val="6B7B74A0"/>
    <w:rsid w:val="6B9E135C"/>
    <w:rsid w:val="6BDA5FDD"/>
    <w:rsid w:val="6C505E6C"/>
    <w:rsid w:val="6C5B730A"/>
    <w:rsid w:val="6C7B1646"/>
    <w:rsid w:val="6C8C0EA4"/>
    <w:rsid w:val="6CB275EC"/>
    <w:rsid w:val="6CC87B57"/>
    <w:rsid w:val="6CCF3B4B"/>
    <w:rsid w:val="6D1A513E"/>
    <w:rsid w:val="6D28384B"/>
    <w:rsid w:val="6D427557"/>
    <w:rsid w:val="6D6C470B"/>
    <w:rsid w:val="6D6F34FA"/>
    <w:rsid w:val="6D7018D3"/>
    <w:rsid w:val="6D724E66"/>
    <w:rsid w:val="6E027D32"/>
    <w:rsid w:val="6E0659A0"/>
    <w:rsid w:val="6E331948"/>
    <w:rsid w:val="6E3B6AC8"/>
    <w:rsid w:val="6E533D98"/>
    <w:rsid w:val="6E5B0E2F"/>
    <w:rsid w:val="6E5C35A4"/>
    <w:rsid w:val="6E5C7E3A"/>
    <w:rsid w:val="6EA22C01"/>
    <w:rsid w:val="6ED352FB"/>
    <w:rsid w:val="6F154861"/>
    <w:rsid w:val="6F7201AC"/>
    <w:rsid w:val="6F8B1310"/>
    <w:rsid w:val="6FAE2A7D"/>
    <w:rsid w:val="6FAF5830"/>
    <w:rsid w:val="6FD22638"/>
    <w:rsid w:val="6FEA732C"/>
    <w:rsid w:val="701D4BDE"/>
    <w:rsid w:val="70204F9A"/>
    <w:rsid w:val="70897BFE"/>
    <w:rsid w:val="70911BAC"/>
    <w:rsid w:val="70A02736"/>
    <w:rsid w:val="70B43760"/>
    <w:rsid w:val="70BB79D3"/>
    <w:rsid w:val="70C108B5"/>
    <w:rsid w:val="70C20D61"/>
    <w:rsid w:val="70DD3A4C"/>
    <w:rsid w:val="716E429D"/>
    <w:rsid w:val="71701401"/>
    <w:rsid w:val="718129CA"/>
    <w:rsid w:val="71C0365F"/>
    <w:rsid w:val="71C1201B"/>
    <w:rsid w:val="71C32FA0"/>
    <w:rsid w:val="71D61A5A"/>
    <w:rsid w:val="71E865E8"/>
    <w:rsid w:val="721249A8"/>
    <w:rsid w:val="722153EB"/>
    <w:rsid w:val="723247C9"/>
    <w:rsid w:val="72707D11"/>
    <w:rsid w:val="727F33AE"/>
    <w:rsid w:val="72801E0E"/>
    <w:rsid w:val="728D72D4"/>
    <w:rsid w:val="72F6424D"/>
    <w:rsid w:val="72FF004B"/>
    <w:rsid w:val="73351855"/>
    <w:rsid w:val="734168B5"/>
    <w:rsid w:val="7351143E"/>
    <w:rsid w:val="73591E51"/>
    <w:rsid w:val="73750FEF"/>
    <w:rsid w:val="73770529"/>
    <w:rsid w:val="7379604F"/>
    <w:rsid w:val="73A82490"/>
    <w:rsid w:val="73BF77DA"/>
    <w:rsid w:val="73CD213F"/>
    <w:rsid w:val="73D94D40"/>
    <w:rsid w:val="74205BD2"/>
    <w:rsid w:val="74315930"/>
    <w:rsid w:val="74585E26"/>
    <w:rsid w:val="74671F38"/>
    <w:rsid w:val="747B1BB4"/>
    <w:rsid w:val="748A4618"/>
    <w:rsid w:val="74B3090C"/>
    <w:rsid w:val="74B72AE2"/>
    <w:rsid w:val="750000AA"/>
    <w:rsid w:val="75A62A4E"/>
    <w:rsid w:val="75AC272C"/>
    <w:rsid w:val="75BD7F14"/>
    <w:rsid w:val="75BF1D13"/>
    <w:rsid w:val="75D01109"/>
    <w:rsid w:val="75D61CF2"/>
    <w:rsid w:val="760342F6"/>
    <w:rsid w:val="76054C7B"/>
    <w:rsid w:val="76642F03"/>
    <w:rsid w:val="766460CF"/>
    <w:rsid w:val="766E5C13"/>
    <w:rsid w:val="76B455F0"/>
    <w:rsid w:val="76D33CC8"/>
    <w:rsid w:val="76DE134D"/>
    <w:rsid w:val="76EC4465"/>
    <w:rsid w:val="76F33ECC"/>
    <w:rsid w:val="772876AC"/>
    <w:rsid w:val="773418AC"/>
    <w:rsid w:val="77B25FEB"/>
    <w:rsid w:val="77BC77E7"/>
    <w:rsid w:val="77C979EF"/>
    <w:rsid w:val="77F019DE"/>
    <w:rsid w:val="780266F5"/>
    <w:rsid w:val="78203E33"/>
    <w:rsid w:val="7827164B"/>
    <w:rsid w:val="78590CF3"/>
    <w:rsid w:val="788B576D"/>
    <w:rsid w:val="78936238"/>
    <w:rsid w:val="78AD0549"/>
    <w:rsid w:val="78BF7473"/>
    <w:rsid w:val="78E81443"/>
    <w:rsid w:val="79137054"/>
    <w:rsid w:val="791A5958"/>
    <w:rsid w:val="793626A9"/>
    <w:rsid w:val="795F234F"/>
    <w:rsid w:val="796A0C20"/>
    <w:rsid w:val="79721340"/>
    <w:rsid w:val="7988176F"/>
    <w:rsid w:val="79AD7538"/>
    <w:rsid w:val="79B078F9"/>
    <w:rsid w:val="79D00993"/>
    <w:rsid w:val="79DB3109"/>
    <w:rsid w:val="7A0E68EE"/>
    <w:rsid w:val="7A2E61A1"/>
    <w:rsid w:val="7AC23EDC"/>
    <w:rsid w:val="7ACA6D89"/>
    <w:rsid w:val="7ACC0F15"/>
    <w:rsid w:val="7AE90AEC"/>
    <w:rsid w:val="7AF35895"/>
    <w:rsid w:val="7B171426"/>
    <w:rsid w:val="7B2173E8"/>
    <w:rsid w:val="7B252E38"/>
    <w:rsid w:val="7B335DF5"/>
    <w:rsid w:val="7B336A83"/>
    <w:rsid w:val="7B3F069E"/>
    <w:rsid w:val="7B562068"/>
    <w:rsid w:val="7B9D6653"/>
    <w:rsid w:val="7BB30D54"/>
    <w:rsid w:val="7BCB4C79"/>
    <w:rsid w:val="7BD42F30"/>
    <w:rsid w:val="7C417A67"/>
    <w:rsid w:val="7C571654"/>
    <w:rsid w:val="7C683394"/>
    <w:rsid w:val="7C806757"/>
    <w:rsid w:val="7CC44922"/>
    <w:rsid w:val="7CDF36C4"/>
    <w:rsid w:val="7D032BB1"/>
    <w:rsid w:val="7D8379F3"/>
    <w:rsid w:val="7D8A547F"/>
    <w:rsid w:val="7D9879F5"/>
    <w:rsid w:val="7DBD71A6"/>
    <w:rsid w:val="7DC336AA"/>
    <w:rsid w:val="7DC823CC"/>
    <w:rsid w:val="7E050960"/>
    <w:rsid w:val="7E355268"/>
    <w:rsid w:val="7E470AF8"/>
    <w:rsid w:val="7EBA56AC"/>
    <w:rsid w:val="7EC04E5E"/>
    <w:rsid w:val="7F0F03A1"/>
    <w:rsid w:val="7F1955B0"/>
    <w:rsid w:val="7F3217A8"/>
    <w:rsid w:val="7F6852F2"/>
    <w:rsid w:val="7F7211CD"/>
    <w:rsid w:val="7F7818B1"/>
    <w:rsid w:val="7F952167"/>
    <w:rsid w:val="7FB87EFF"/>
    <w:rsid w:val="7FCA06E4"/>
    <w:rsid w:val="7FD0144E"/>
    <w:rsid w:val="7FDD1714"/>
    <w:rsid w:val="7FEF0A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3"/>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5"/>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qFormat/>
    <w:uiPriority w:val="0"/>
    <w:pPr>
      <w:spacing w:line="400" w:lineRule="exact"/>
      <w:ind w:left="2940" w:firstLine="1044" w:firstLineChars="200"/>
      <w:jc w:val="left"/>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8"/>
    <w:unhideWhenUsed/>
    <w:qFormat/>
    <w:uiPriority w:val="0"/>
    <w:pPr>
      <w:shd w:val="clear" w:color="auto" w:fill="000080"/>
    </w:pPr>
    <w:rPr>
      <w:rFonts w:hint="eastAsia" w:ascii="宋体" w:hAnsi="宋体"/>
      <w:kern w:val="0"/>
      <w:sz w:val="20"/>
      <w:szCs w:val="20"/>
    </w:rPr>
  </w:style>
  <w:style w:type="paragraph" w:styleId="16">
    <w:name w:val="annotation text"/>
    <w:basedOn w:val="1"/>
    <w:link w:val="69"/>
    <w:unhideWhenUsed/>
    <w:qFormat/>
    <w:uiPriority w:val="0"/>
    <w:pPr>
      <w:jc w:val="left"/>
    </w:pPr>
  </w:style>
  <w:style w:type="paragraph" w:styleId="17">
    <w:name w:val="Body Text 3"/>
    <w:basedOn w:val="1"/>
    <w:link w:val="70"/>
    <w:qFormat/>
    <w:uiPriority w:val="0"/>
    <w:pPr>
      <w:spacing w:line="500" w:lineRule="exact"/>
    </w:pPr>
    <w:rPr>
      <w:b/>
      <w:bCs/>
      <w:kern w:val="0"/>
      <w:sz w:val="24"/>
    </w:rPr>
  </w:style>
  <w:style w:type="paragraph" w:styleId="18">
    <w:name w:val="Body Text"/>
    <w:basedOn w:val="1"/>
    <w:link w:val="156"/>
    <w:qFormat/>
    <w:uiPriority w:val="0"/>
    <w:pPr>
      <w:spacing w:line="380" w:lineRule="exact"/>
    </w:pPr>
    <w:rPr>
      <w:kern w:val="0"/>
      <w:sz w:val="24"/>
    </w:rPr>
  </w:style>
  <w:style w:type="paragraph" w:styleId="19">
    <w:name w:val="Body Text Indent"/>
    <w:basedOn w:val="1"/>
    <w:next w:val="1"/>
    <w:link w:val="72"/>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99"/>
    <w:pPr>
      <w:adjustRightInd w:val="0"/>
      <w:ind w:left="420" w:right="33"/>
      <w:jc w:val="left"/>
      <w:textAlignment w:val="baseline"/>
    </w:pPr>
    <w:rPr>
      <w:kern w:val="0"/>
      <w:sz w:val="24"/>
      <w:szCs w:val="20"/>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12"/>
    <w:link w:val="73"/>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4"/>
    <w:qFormat/>
    <w:uiPriority w:val="0"/>
    <w:pPr>
      <w:ind w:left="100" w:leftChars="2500"/>
    </w:pPr>
    <w:rPr>
      <w:rFonts w:ascii="宋体" w:hAnsi="Courier New"/>
      <w:kern w:val="0"/>
      <w:sz w:val="20"/>
      <w:szCs w:val="21"/>
    </w:rPr>
  </w:style>
  <w:style w:type="paragraph" w:styleId="28">
    <w:name w:val="Body Text Indent 2"/>
    <w:basedOn w:val="1"/>
    <w:link w:val="75"/>
    <w:qFormat/>
    <w:uiPriority w:val="0"/>
    <w:pPr>
      <w:ind w:firstLine="630"/>
    </w:pPr>
    <w:rPr>
      <w:kern w:val="0"/>
      <w:sz w:val="32"/>
      <w:szCs w:val="20"/>
    </w:rPr>
  </w:style>
  <w:style w:type="paragraph" w:styleId="29">
    <w:name w:val="endnote text"/>
    <w:basedOn w:val="1"/>
    <w:link w:val="76"/>
    <w:unhideWhenUsed/>
    <w:qFormat/>
    <w:uiPriority w:val="99"/>
    <w:pPr>
      <w:snapToGrid w:val="0"/>
      <w:jc w:val="left"/>
    </w:pPr>
  </w:style>
  <w:style w:type="paragraph" w:styleId="30">
    <w:name w:val="Balloon Text"/>
    <w:basedOn w:val="1"/>
    <w:link w:val="77"/>
    <w:semiHidden/>
    <w:qFormat/>
    <w:uiPriority w:val="0"/>
    <w:rPr>
      <w:kern w:val="0"/>
      <w:sz w:val="18"/>
      <w:szCs w:val="18"/>
    </w:rPr>
  </w:style>
  <w:style w:type="paragraph" w:styleId="31">
    <w:name w:val="footer"/>
    <w:basedOn w:val="1"/>
    <w:link w:val="78"/>
    <w:unhideWhenUsed/>
    <w:qFormat/>
    <w:uiPriority w:val="99"/>
    <w:pPr>
      <w:tabs>
        <w:tab w:val="center" w:pos="4153"/>
        <w:tab w:val="right" w:pos="8306"/>
      </w:tabs>
      <w:snapToGrid w:val="0"/>
      <w:jc w:val="left"/>
    </w:pPr>
    <w:rPr>
      <w:kern w:val="0"/>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link w:val="79"/>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8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8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83"/>
    <w:qFormat/>
    <w:uiPriority w:val="10"/>
    <w:pPr>
      <w:spacing w:before="240" w:after="60"/>
      <w:jc w:val="center"/>
      <w:outlineLvl w:val="0"/>
    </w:pPr>
    <w:rPr>
      <w:rFonts w:ascii="Cambria" w:hAnsi="Cambria"/>
      <w:b/>
      <w:bCs/>
      <w:sz w:val="32"/>
      <w:szCs w:val="32"/>
    </w:rPr>
  </w:style>
  <w:style w:type="paragraph" w:styleId="46">
    <w:name w:val="annotation subject"/>
    <w:basedOn w:val="16"/>
    <w:next w:val="16"/>
    <w:link w:val="84"/>
    <w:unhideWhenUsed/>
    <w:qFormat/>
    <w:uiPriority w:val="99"/>
    <w:rPr>
      <w:b/>
      <w:bCs/>
    </w:rPr>
  </w:style>
  <w:style w:type="paragraph" w:styleId="47">
    <w:name w:val="Body Text First Indent 2"/>
    <w:basedOn w:val="19"/>
    <w:next w:val="1"/>
    <w:unhideWhenUsed/>
    <w:qFormat/>
    <w:uiPriority w:val="0"/>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首行缩进"/>
    <w:basedOn w:val="1"/>
    <w:qFormat/>
    <w:uiPriority w:val="0"/>
    <w:pPr>
      <w:ind w:firstLine="480" w:firstLineChars="200"/>
    </w:pPr>
  </w:style>
  <w:style w:type="paragraph" w:customStyle="1" w:styleId="5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60">
    <w:name w:val="标题 1 Char1"/>
    <w:link w:val="2"/>
    <w:qFormat/>
    <w:uiPriority w:val="0"/>
    <w:rPr>
      <w:rFonts w:ascii="Times New Roman" w:hAnsi="Times New Roman" w:eastAsia="宋体" w:cs="Times New Roman"/>
      <w:b/>
      <w:bCs/>
      <w:kern w:val="44"/>
      <w:sz w:val="44"/>
      <w:szCs w:val="44"/>
    </w:rPr>
  </w:style>
  <w:style w:type="character" w:customStyle="1" w:styleId="61">
    <w:name w:val="标题 2 Char1"/>
    <w:link w:val="3"/>
    <w:qFormat/>
    <w:uiPriority w:val="0"/>
    <w:rPr>
      <w:rFonts w:ascii="Arial" w:hAnsi="Arial" w:eastAsia="黑体" w:cs="Times New Roman"/>
      <w:b/>
      <w:bCs/>
      <w:sz w:val="32"/>
      <w:szCs w:val="32"/>
    </w:rPr>
  </w:style>
  <w:style w:type="character" w:customStyle="1" w:styleId="62">
    <w:name w:val="标题 3 Char1"/>
    <w:link w:val="4"/>
    <w:qFormat/>
    <w:uiPriority w:val="0"/>
    <w:rPr>
      <w:rFonts w:ascii="Times New Roman" w:hAnsi="Times New Roman" w:eastAsia="宋体" w:cs="Times New Roman"/>
      <w:b/>
      <w:bCs/>
      <w:sz w:val="32"/>
      <w:szCs w:val="32"/>
    </w:rPr>
  </w:style>
  <w:style w:type="character" w:customStyle="1" w:styleId="63">
    <w:name w:val="标题 5 Char2"/>
    <w:link w:val="5"/>
    <w:qFormat/>
    <w:uiPriority w:val="0"/>
    <w:rPr>
      <w:b/>
      <w:kern w:val="2"/>
      <w:sz w:val="28"/>
      <w:szCs w:val="24"/>
    </w:rPr>
  </w:style>
  <w:style w:type="character" w:customStyle="1" w:styleId="64">
    <w:name w:val="标题 6 Char1"/>
    <w:link w:val="7"/>
    <w:qFormat/>
    <w:uiPriority w:val="0"/>
    <w:rPr>
      <w:rFonts w:ascii="Arial" w:hAnsi="Arial" w:eastAsia="黑体"/>
      <w:b/>
      <w:kern w:val="2"/>
      <w:sz w:val="24"/>
      <w:szCs w:val="24"/>
    </w:rPr>
  </w:style>
  <w:style w:type="character" w:customStyle="1" w:styleId="65">
    <w:name w:val="标题 7 Char1"/>
    <w:link w:val="8"/>
    <w:qFormat/>
    <w:uiPriority w:val="0"/>
    <w:rPr>
      <w:rFonts w:ascii="Times New Roman" w:hAnsi="Times New Roman"/>
      <w:b/>
      <w:kern w:val="2"/>
      <w:sz w:val="24"/>
      <w:szCs w:val="24"/>
    </w:rPr>
  </w:style>
  <w:style w:type="character" w:customStyle="1" w:styleId="66">
    <w:name w:val="标题 8 Char1"/>
    <w:link w:val="9"/>
    <w:qFormat/>
    <w:uiPriority w:val="0"/>
    <w:rPr>
      <w:rFonts w:ascii="Arial" w:hAnsi="Arial" w:eastAsia="黑体"/>
      <w:kern w:val="2"/>
      <w:sz w:val="24"/>
      <w:szCs w:val="24"/>
    </w:rPr>
  </w:style>
  <w:style w:type="character" w:customStyle="1" w:styleId="67">
    <w:name w:val="标题 9 Char1"/>
    <w:link w:val="10"/>
    <w:qFormat/>
    <w:uiPriority w:val="0"/>
    <w:rPr>
      <w:rFonts w:ascii="Arial" w:hAnsi="Arial" w:eastAsia="黑体"/>
      <w:kern w:val="2"/>
      <w:sz w:val="21"/>
      <w:szCs w:val="24"/>
    </w:rPr>
  </w:style>
  <w:style w:type="character" w:customStyle="1" w:styleId="68">
    <w:name w:val="文档结构图 Char1"/>
    <w:link w:val="15"/>
    <w:qFormat/>
    <w:uiPriority w:val="0"/>
    <w:rPr>
      <w:rFonts w:hint="eastAsia" w:ascii="宋体" w:hAnsi="宋体" w:eastAsia="宋体" w:cs="宋体"/>
    </w:rPr>
  </w:style>
  <w:style w:type="character" w:customStyle="1" w:styleId="69">
    <w:name w:val="批注文字 Char3"/>
    <w:link w:val="16"/>
    <w:qFormat/>
    <w:uiPriority w:val="0"/>
    <w:rPr>
      <w:rFonts w:ascii="Times New Roman" w:hAnsi="Times New Roman"/>
      <w:kern w:val="2"/>
      <w:sz w:val="21"/>
      <w:szCs w:val="24"/>
    </w:rPr>
  </w:style>
  <w:style w:type="character" w:customStyle="1" w:styleId="70">
    <w:name w:val="正文文本 3 Char1"/>
    <w:link w:val="17"/>
    <w:qFormat/>
    <w:uiPriority w:val="0"/>
    <w:rPr>
      <w:rFonts w:ascii="Times New Roman" w:hAnsi="Times New Roman" w:eastAsia="宋体" w:cs="Times New Roman"/>
      <w:b/>
      <w:bCs/>
      <w:sz w:val="24"/>
      <w:szCs w:val="24"/>
    </w:rPr>
  </w:style>
  <w:style w:type="character" w:customStyle="1" w:styleId="71">
    <w:name w:val="正文文本 Char2"/>
    <w:qFormat/>
    <w:uiPriority w:val="0"/>
    <w:rPr>
      <w:rFonts w:ascii="Times New Roman" w:hAnsi="Times New Roman" w:eastAsia="宋体" w:cs="Times New Roman"/>
      <w:sz w:val="24"/>
      <w:szCs w:val="24"/>
    </w:rPr>
  </w:style>
  <w:style w:type="character" w:customStyle="1" w:styleId="72">
    <w:name w:val="正文文本缩进 Char1"/>
    <w:link w:val="19"/>
    <w:qFormat/>
    <w:uiPriority w:val="0"/>
    <w:rPr>
      <w:rFonts w:ascii="仿宋_GB2312" w:hAnsi="Times New Roman" w:eastAsia="仿宋_GB2312" w:cs="Times New Roman"/>
      <w:sz w:val="32"/>
      <w:szCs w:val="20"/>
    </w:rPr>
  </w:style>
  <w:style w:type="character" w:customStyle="1" w:styleId="73">
    <w:name w:val="纯文本 Char3"/>
    <w:link w:val="25"/>
    <w:qFormat/>
    <w:uiPriority w:val="0"/>
    <w:rPr>
      <w:rFonts w:ascii="宋体" w:hAnsi="Courier New" w:eastAsia="宋体" w:cs="Courier New"/>
      <w:szCs w:val="21"/>
    </w:rPr>
  </w:style>
  <w:style w:type="character" w:customStyle="1" w:styleId="74">
    <w:name w:val="日期 Char1"/>
    <w:link w:val="27"/>
    <w:qFormat/>
    <w:uiPriority w:val="0"/>
    <w:rPr>
      <w:rFonts w:ascii="宋体" w:hAnsi="Courier New" w:eastAsia="宋体" w:cs="Courier New"/>
      <w:szCs w:val="21"/>
    </w:rPr>
  </w:style>
  <w:style w:type="character" w:customStyle="1" w:styleId="75">
    <w:name w:val="正文文本缩进 2 Char1"/>
    <w:link w:val="28"/>
    <w:qFormat/>
    <w:uiPriority w:val="0"/>
    <w:rPr>
      <w:rFonts w:ascii="Times New Roman" w:hAnsi="Times New Roman" w:eastAsia="宋体" w:cs="Times New Roman"/>
      <w:sz w:val="32"/>
      <w:szCs w:val="20"/>
    </w:rPr>
  </w:style>
  <w:style w:type="character" w:customStyle="1" w:styleId="76">
    <w:name w:val="尾注文本 Char1"/>
    <w:link w:val="29"/>
    <w:qFormat/>
    <w:uiPriority w:val="99"/>
    <w:rPr>
      <w:rFonts w:ascii="Times New Roman" w:hAnsi="Times New Roman"/>
      <w:kern w:val="2"/>
      <w:sz w:val="21"/>
      <w:szCs w:val="24"/>
    </w:rPr>
  </w:style>
  <w:style w:type="character" w:customStyle="1" w:styleId="77">
    <w:name w:val="批注框文本 Char1"/>
    <w:link w:val="30"/>
    <w:semiHidden/>
    <w:qFormat/>
    <w:uiPriority w:val="0"/>
    <w:rPr>
      <w:rFonts w:ascii="Times New Roman" w:hAnsi="Times New Roman" w:eastAsia="宋体" w:cs="Times New Roman"/>
      <w:sz w:val="18"/>
      <w:szCs w:val="18"/>
    </w:rPr>
  </w:style>
  <w:style w:type="character" w:customStyle="1" w:styleId="78">
    <w:name w:val="页脚 Char1"/>
    <w:link w:val="31"/>
    <w:qFormat/>
    <w:uiPriority w:val="99"/>
    <w:rPr>
      <w:sz w:val="18"/>
      <w:szCs w:val="18"/>
    </w:rPr>
  </w:style>
  <w:style w:type="character" w:customStyle="1" w:styleId="79">
    <w:name w:val="页眉 Char1"/>
    <w:link w:val="33"/>
    <w:qFormat/>
    <w:uiPriority w:val="99"/>
    <w:rPr>
      <w:rFonts w:ascii="Times New Roman" w:hAnsi="Times New Roman"/>
      <w:kern w:val="2"/>
      <w:sz w:val="18"/>
      <w:szCs w:val="18"/>
    </w:rPr>
  </w:style>
  <w:style w:type="character" w:customStyle="1" w:styleId="80">
    <w:name w:val="脚注文本 Char1"/>
    <w:link w:val="37"/>
    <w:qFormat/>
    <w:uiPriority w:val="99"/>
    <w:rPr>
      <w:rFonts w:ascii="Times New Roman" w:hAnsi="Times New Roman"/>
      <w:kern w:val="2"/>
      <w:sz w:val="18"/>
      <w:szCs w:val="18"/>
    </w:rPr>
  </w:style>
  <w:style w:type="character" w:customStyle="1" w:styleId="81">
    <w:name w:val="正文文本缩进 3 Char1"/>
    <w:link w:val="39"/>
    <w:qFormat/>
    <w:uiPriority w:val="0"/>
    <w:rPr>
      <w:rFonts w:ascii="Times New Roman" w:hAnsi="Times New Roman" w:eastAsia="宋体" w:cs="Times New Roman"/>
      <w:sz w:val="16"/>
      <w:szCs w:val="16"/>
    </w:rPr>
  </w:style>
  <w:style w:type="character" w:customStyle="1" w:styleId="82">
    <w:name w:val="正文文本 2 Char1"/>
    <w:link w:val="42"/>
    <w:qFormat/>
    <w:uiPriority w:val="0"/>
    <w:rPr>
      <w:rFonts w:ascii="Times New Roman" w:hAnsi="Times New Roman" w:eastAsia="宋体" w:cs="Times New Roman"/>
      <w:szCs w:val="24"/>
    </w:rPr>
  </w:style>
  <w:style w:type="character" w:customStyle="1" w:styleId="83">
    <w:name w:val="标题 Char1"/>
    <w:link w:val="45"/>
    <w:qFormat/>
    <w:uiPriority w:val="10"/>
    <w:rPr>
      <w:rFonts w:ascii="Cambria" w:hAnsi="Cambria" w:cs="Times New Roman"/>
      <w:b/>
      <w:bCs/>
      <w:kern w:val="2"/>
      <w:sz w:val="32"/>
      <w:szCs w:val="32"/>
    </w:rPr>
  </w:style>
  <w:style w:type="character" w:customStyle="1" w:styleId="84">
    <w:name w:val="批注主题 Char1"/>
    <w:link w:val="46"/>
    <w:qFormat/>
    <w:uiPriority w:val="99"/>
    <w:rPr>
      <w:rFonts w:ascii="Times New Roman" w:hAnsi="Times New Roman"/>
      <w:b/>
      <w:bCs/>
      <w:kern w:val="2"/>
      <w:sz w:val="21"/>
      <w:szCs w:val="24"/>
    </w:rPr>
  </w:style>
  <w:style w:type="character" w:customStyle="1" w:styleId="85">
    <w:name w:val="font11"/>
    <w:qFormat/>
    <w:uiPriority w:val="0"/>
    <w:rPr>
      <w:rFonts w:hint="eastAsia" w:ascii="宋体" w:hAnsi="宋体" w:eastAsia="宋体" w:cs="宋体"/>
      <w:color w:val="000000"/>
      <w:sz w:val="20"/>
      <w:szCs w:val="20"/>
      <w:u w:val="none"/>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标题 2 字符"/>
    <w:qFormat/>
    <w:uiPriority w:val="0"/>
    <w:rPr>
      <w:rFonts w:ascii="Arial" w:hAnsi="Arial" w:eastAsia="黑体" w:cs="Times New Roman"/>
      <w:b/>
      <w:bCs/>
      <w:sz w:val="32"/>
      <w:szCs w:val="32"/>
    </w:rPr>
  </w:style>
  <w:style w:type="character" w:customStyle="1" w:styleId="8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9">
    <w:name w:val="批注文字 Char1"/>
    <w:semiHidden/>
    <w:qFormat/>
    <w:locked/>
    <w:uiPriority w:val="0"/>
    <w:rPr>
      <w:rFonts w:ascii="Times New Roman" w:hAnsi="Times New Roman"/>
      <w:kern w:val="2"/>
      <w:sz w:val="21"/>
      <w:szCs w:val="24"/>
    </w:rPr>
  </w:style>
  <w:style w:type="character" w:customStyle="1" w:styleId="90">
    <w:name w:val="页眉 字符"/>
    <w:qFormat/>
    <w:uiPriority w:val="99"/>
    <w:rPr>
      <w:rFonts w:ascii="Times New Roman" w:hAnsi="Times New Roman"/>
      <w:kern w:val="2"/>
      <w:sz w:val="18"/>
      <w:szCs w:val="18"/>
    </w:rPr>
  </w:style>
  <w:style w:type="character" w:customStyle="1" w:styleId="91">
    <w:name w:val="apple-style-span"/>
    <w:qFormat/>
    <w:uiPriority w:val="0"/>
  </w:style>
  <w:style w:type="character" w:customStyle="1" w:styleId="92">
    <w:name w:val="尾注文本 字符"/>
    <w:qFormat/>
    <w:uiPriority w:val="99"/>
    <w:rPr>
      <w:rFonts w:ascii="Times New Roman" w:hAnsi="Times New Roman"/>
      <w:kern w:val="2"/>
      <w:sz w:val="21"/>
      <w:szCs w:val="24"/>
    </w:rPr>
  </w:style>
  <w:style w:type="character" w:customStyle="1" w:styleId="93">
    <w:name w:val="正文文本缩进 字符"/>
    <w:qFormat/>
    <w:uiPriority w:val="0"/>
    <w:rPr>
      <w:rFonts w:ascii="仿宋_GB2312" w:hAnsi="Times New Roman" w:eastAsia="仿宋_GB2312" w:cs="Times New Roman"/>
      <w:sz w:val="32"/>
      <w:szCs w:val="20"/>
    </w:rPr>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正文文本缩进 3 字符"/>
    <w:qFormat/>
    <w:uiPriority w:val="0"/>
    <w:rPr>
      <w:rFonts w:ascii="Times New Roman" w:hAnsi="Times New Roman" w:eastAsia="宋体" w:cs="Times New Roman"/>
      <w:sz w:val="16"/>
      <w:szCs w:val="16"/>
    </w:rPr>
  </w:style>
  <w:style w:type="character" w:customStyle="1" w:styleId="96">
    <w:name w:val="font21"/>
    <w:basedOn w:val="50"/>
    <w:qFormat/>
    <w:uiPriority w:val="0"/>
    <w:rPr>
      <w:rFonts w:hint="eastAsia" w:ascii="宋体" w:hAnsi="宋体" w:eastAsia="宋体" w:cs="宋体"/>
      <w:color w:val="FF0000"/>
      <w:sz w:val="20"/>
      <w:szCs w:val="20"/>
      <w:u w:val="none"/>
    </w:rPr>
  </w:style>
  <w:style w:type="character" w:customStyle="1" w:styleId="97">
    <w:name w:val="页脚 字符"/>
    <w:qFormat/>
    <w:uiPriority w:val="99"/>
  </w:style>
  <w:style w:type="character" w:customStyle="1" w:styleId="98">
    <w:name w:val="标题 7 字符"/>
    <w:qFormat/>
    <w:uiPriority w:val="0"/>
    <w:rPr>
      <w:rFonts w:ascii="Times New Roman" w:hAnsi="Times New Roman"/>
      <w:b/>
      <w:kern w:val="2"/>
      <w:sz w:val="24"/>
      <w:szCs w:val="24"/>
    </w:rPr>
  </w:style>
  <w:style w:type="character" w:customStyle="1" w:styleId="99">
    <w:name w:val="标题 3 字符"/>
    <w:qFormat/>
    <w:uiPriority w:val="0"/>
    <w:rPr>
      <w:rFonts w:ascii="Times New Roman" w:hAnsi="Times New Roman" w:eastAsia="宋体" w:cs="Times New Roman"/>
      <w:b/>
      <w:bCs/>
      <w:sz w:val="32"/>
      <w:szCs w:val="32"/>
    </w:rPr>
  </w:style>
  <w:style w:type="character" w:customStyle="1" w:styleId="100">
    <w:name w:val="正文文本缩进 字符1"/>
    <w:qFormat/>
    <w:uiPriority w:val="0"/>
    <w:rPr>
      <w:rFonts w:ascii="仿宋_GB2312" w:hAnsi="Times New Roman" w:eastAsia="仿宋_GB2312" w:cs="Times New Roman"/>
      <w:sz w:val="32"/>
      <w:szCs w:val="20"/>
    </w:rPr>
  </w:style>
  <w:style w:type="character" w:customStyle="1" w:styleId="101">
    <w:name w:val="批注文字 字符"/>
    <w:qFormat/>
    <w:uiPriority w:val="0"/>
    <w:rPr>
      <w:rFonts w:ascii="Times New Roman" w:hAnsi="Times New Roman"/>
      <w:kern w:val="2"/>
      <w:sz w:val="21"/>
      <w:szCs w:val="24"/>
    </w:rPr>
  </w:style>
  <w:style w:type="character" w:customStyle="1" w:styleId="102">
    <w:name w:val="标题 8 字符"/>
    <w:qFormat/>
    <w:uiPriority w:val="0"/>
    <w:rPr>
      <w:rFonts w:ascii="Arial" w:hAnsi="Arial" w:eastAsia="黑体"/>
      <w:kern w:val="2"/>
      <w:sz w:val="24"/>
      <w:szCs w:val="24"/>
    </w:rPr>
  </w:style>
  <w:style w:type="character" w:customStyle="1" w:styleId="103">
    <w:name w:val="UserStyle_9"/>
    <w:link w:val="104"/>
    <w:qFormat/>
    <w:locked/>
    <w:uiPriority w:val="0"/>
    <w:rPr>
      <w:kern w:val="2"/>
      <w:sz w:val="21"/>
      <w:szCs w:val="24"/>
    </w:rPr>
  </w:style>
  <w:style w:type="paragraph" w:customStyle="1" w:styleId="104">
    <w:name w:val="AnnotationText"/>
    <w:basedOn w:val="1"/>
    <w:link w:val="103"/>
    <w:qFormat/>
    <w:uiPriority w:val="0"/>
    <w:pPr>
      <w:widowControl/>
      <w:jc w:val="left"/>
    </w:pPr>
  </w:style>
  <w:style w:type="character" w:customStyle="1" w:styleId="105">
    <w:name w:val="textcontents"/>
    <w:qFormat/>
    <w:uiPriority w:val="0"/>
  </w:style>
  <w:style w:type="character" w:customStyle="1" w:styleId="106">
    <w:name w:val="批注框文本 字符"/>
    <w:semiHidden/>
    <w:qFormat/>
    <w:uiPriority w:val="0"/>
    <w:rPr>
      <w:rFonts w:ascii="Times New Roman" w:hAnsi="Times New Roman" w:eastAsia="宋体" w:cs="Times New Roman"/>
      <w:sz w:val="18"/>
      <w:szCs w:val="18"/>
    </w:rPr>
  </w:style>
  <w:style w:type="character" w:customStyle="1" w:styleId="107">
    <w:name w:val="批注文字 Char"/>
    <w:qFormat/>
    <w:uiPriority w:val="0"/>
    <w:rPr>
      <w:rFonts w:ascii="Times New Roman" w:hAnsi="Times New Roman"/>
      <w:kern w:val="2"/>
      <w:sz w:val="21"/>
      <w:szCs w:val="24"/>
    </w:rPr>
  </w:style>
  <w:style w:type="character" w:customStyle="1" w:styleId="108">
    <w:name w:val="纯文本 字符"/>
    <w:qFormat/>
    <w:uiPriority w:val="0"/>
    <w:rPr>
      <w:rFonts w:ascii="宋体" w:hAnsi="Courier New" w:eastAsia="宋体" w:cs="Courier New"/>
      <w:szCs w:val="21"/>
    </w:rPr>
  </w:style>
  <w:style w:type="character" w:customStyle="1" w:styleId="109">
    <w:name w:val="正文文本 2 字符"/>
    <w:qFormat/>
    <w:uiPriority w:val="0"/>
    <w:rPr>
      <w:rFonts w:ascii="Times New Roman" w:hAnsi="Times New Roman" w:eastAsia="宋体" w:cs="Times New Roman"/>
      <w:szCs w:val="24"/>
    </w:rPr>
  </w:style>
  <w:style w:type="character" w:customStyle="1" w:styleId="110">
    <w:name w:val="标题 6 字符"/>
    <w:qFormat/>
    <w:uiPriority w:val="0"/>
    <w:rPr>
      <w:rFonts w:ascii="Arial" w:hAnsi="Arial" w:eastAsia="黑体"/>
      <w:b/>
      <w:kern w:val="2"/>
      <w:sz w:val="24"/>
      <w:szCs w:val="24"/>
    </w:rPr>
  </w:style>
  <w:style w:type="character" w:customStyle="1" w:styleId="111">
    <w:name w:val="批注主题 字符"/>
    <w:qFormat/>
    <w:uiPriority w:val="99"/>
    <w:rPr>
      <w:rFonts w:ascii="Times New Roman" w:hAnsi="Times New Roman"/>
      <w:b/>
      <w:bCs/>
      <w:kern w:val="2"/>
      <w:sz w:val="21"/>
      <w:szCs w:val="24"/>
    </w:rPr>
  </w:style>
  <w:style w:type="character" w:customStyle="1" w:styleId="112">
    <w:name w:val="正文2 Char Char"/>
    <w:link w:val="113"/>
    <w:qFormat/>
    <w:uiPriority w:val="0"/>
    <w:rPr>
      <w:kern w:val="2"/>
      <w:sz w:val="24"/>
    </w:rPr>
  </w:style>
  <w:style w:type="paragraph" w:customStyle="1" w:styleId="113">
    <w:name w:val="正文2"/>
    <w:basedOn w:val="1"/>
    <w:link w:val="112"/>
    <w:qFormat/>
    <w:uiPriority w:val="0"/>
    <w:pPr>
      <w:adjustRightInd w:val="0"/>
      <w:spacing w:before="156" w:line="360" w:lineRule="auto"/>
      <w:ind w:firstLine="510" w:firstLineChars="200"/>
    </w:pPr>
    <w:rPr>
      <w:sz w:val="24"/>
      <w:szCs w:val="20"/>
    </w:rPr>
  </w:style>
  <w:style w:type="character" w:customStyle="1" w:styleId="114">
    <w:name w:val="脚注文本 字符"/>
    <w:qFormat/>
    <w:uiPriority w:val="99"/>
    <w:rPr>
      <w:rFonts w:ascii="Times New Roman" w:hAnsi="Times New Roman"/>
      <w:kern w:val="2"/>
      <w:sz w:val="18"/>
      <w:szCs w:val="18"/>
    </w:rPr>
  </w:style>
  <w:style w:type="character" w:customStyle="1" w:styleId="115">
    <w:name w:val="纯文本 Char"/>
    <w:qFormat/>
    <w:uiPriority w:val="0"/>
    <w:rPr>
      <w:rFonts w:ascii="宋体" w:hAnsi="Courier New" w:eastAsia="宋体"/>
      <w:kern w:val="2"/>
      <w:sz w:val="21"/>
      <w:lang w:val="en-US" w:eastAsia="zh-CN" w:bidi="ar-SA"/>
    </w:rPr>
  </w:style>
  <w:style w:type="character" w:customStyle="1" w:styleId="116">
    <w:name w:val="页脚 字符1"/>
    <w:qFormat/>
    <w:uiPriority w:val="99"/>
    <w:rPr>
      <w:sz w:val="18"/>
      <w:szCs w:val="18"/>
    </w:rPr>
  </w:style>
  <w:style w:type="character" w:customStyle="1" w:styleId="117">
    <w:name w:val="font31"/>
    <w:qFormat/>
    <w:uiPriority w:val="0"/>
    <w:rPr>
      <w:rFonts w:hint="eastAsia" w:ascii="宋体" w:hAnsi="宋体" w:eastAsia="宋体" w:cs="宋体"/>
      <w:color w:val="FF0000"/>
      <w:sz w:val="20"/>
      <w:szCs w:val="20"/>
      <w:u w:val="none"/>
    </w:rPr>
  </w:style>
  <w:style w:type="character" w:customStyle="1" w:styleId="118">
    <w:name w:val="正文文本 Char1"/>
    <w:qFormat/>
    <w:locked/>
    <w:uiPriority w:val="0"/>
    <w:rPr>
      <w:sz w:val="24"/>
      <w:szCs w:val="24"/>
    </w:rPr>
  </w:style>
  <w:style w:type="character" w:customStyle="1" w:styleId="119">
    <w:name w:val="标题 5 Char"/>
    <w:qFormat/>
    <w:uiPriority w:val="0"/>
    <w:rPr>
      <w:b/>
      <w:kern w:val="2"/>
      <w:sz w:val="28"/>
      <w:szCs w:val="24"/>
    </w:rPr>
  </w:style>
  <w:style w:type="character" w:customStyle="1" w:styleId="120">
    <w:name w:val="标题 字符"/>
    <w:qFormat/>
    <w:uiPriority w:val="10"/>
    <w:rPr>
      <w:rFonts w:ascii="Cambria" w:hAnsi="Cambria" w:cs="Times New Roman"/>
      <w:b/>
      <w:bCs/>
      <w:kern w:val="2"/>
      <w:sz w:val="32"/>
      <w:szCs w:val="32"/>
    </w:rPr>
  </w:style>
  <w:style w:type="character" w:customStyle="1" w:styleId="121">
    <w:name w:val="标题 1 字符1"/>
    <w:qFormat/>
    <w:uiPriority w:val="0"/>
    <w:rPr>
      <w:rFonts w:ascii="Times New Roman" w:hAnsi="Times New Roman" w:eastAsia="宋体" w:cs="Times New Roman"/>
      <w:b/>
      <w:bCs/>
      <w:kern w:val="44"/>
      <w:sz w:val="44"/>
      <w:szCs w:val="44"/>
    </w:rPr>
  </w:style>
  <w:style w:type="character" w:customStyle="1" w:styleId="122">
    <w:name w:val="批注文字 字符2"/>
    <w:qFormat/>
    <w:uiPriority w:val="0"/>
    <w:rPr>
      <w:rFonts w:ascii="Times New Roman" w:hAnsi="Times New Roman"/>
      <w:kern w:val="2"/>
      <w:sz w:val="21"/>
      <w:szCs w:val="24"/>
    </w:rPr>
  </w:style>
  <w:style w:type="character" w:customStyle="1" w:styleId="123">
    <w:name w:val="正文文本 3 字符"/>
    <w:qFormat/>
    <w:uiPriority w:val="0"/>
    <w:rPr>
      <w:rFonts w:ascii="Times New Roman" w:hAnsi="Times New Roman" w:eastAsia="宋体" w:cs="Times New Roman"/>
      <w:b/>
      <w:bCs/>
      <w:sz w:val="24"/>
      <w:szCs w:val="24"/>
    </w:rPr>
  </w:style>
  <w:style w:type="character" w:customStyle="1" w:styleId="124">
    <w:name w:val="纯文本 字符1"/>
    <w:qFormat/>
    <w:uiPriority w:val="0"/>
    <w:rPr>
      <w:rFonts w:ascii="宋体" w:hAnsi="Courier New"/>
    </w:rPr>
  </w:style>
  <w:style w:type="character" w:customStyle="1" w:styleId="125">
    <w:name w:val="headline-content4"/>
    <w:qFormat/>
    <w:uiPriority w:val="0"/>
  </w:style>
  <w:style w:type="character" w:customStyle="1" w:styleId="126">
    <w:name w:val="正文文本缩进 2 字符"/>
    <w:qFormat/>
    <w:uiPriority w:val="0"/>
    <w:rPr>
      <w:rFonts w:ascii="Times New Roman" w:hAnsi="Times New Roman" w:eastAsia="宋体" w:cs="Times New Roman"/>
      <w:sz w:val="32"/>
      <w:szCs w:val="20"/>
    </w:rPr>
  </w:style>
  <w:style w:type="character" w:customStyle="1" w:styleId="127">
    <w:name w:val="标题 1 字符"/>
    <w:qFormat/>
    <w:uiPriority w:val="9"/>
    <w:rPr>
      <w:rFonts w:ascii="Times New Roman" w:hAnsi="Times New Roman" w:eastAsia="宋体" w:cs="Times New Roman"/>
      <w:b/>
      <w:bCs/>
      <w:kern w:val="44"/>
      <w:sz w:val="44"/>
      <w:szCs w:val="44"/>
    </w:rPr>
  </w:style>
  <w:style w:type="character" w:customStyle="1" w:styleId="128">
    <w:name w:val="文档结构图 字符"/>
    <w:qFormat/>
    <w:uiPriority w:val="0"/>
    <w:rPr>
      <w:rFonts w:hint="eastAsia" w:ascii="宋体" w:hAnsi="宋体" w:eastAsia="宋体" w:cs="宋体"/>
    </w:rPr>
  </w:style>
  <w:style w:type="character" w:customStyle="1" w:styleId="129">
    <w:name w:val="case31"/>
    <w:qFormat/>
    <w:uiPriority w:val="0"/>
    <w:rPr>
      <w:rFonts w:hint="default"/>
      <w:sz w:val="21"/>
      <w:szCs w:val="21"/>
    </w:rPr>
  </w:style>
  <w:style w:type="character" w:customStyle="1" w:styleId="130">
    <w:name w:val="纯文本 字符2"/>
    <w:qFormat/>
    <w:uiPriority w:val="0"/>
    <w:rPr>
      <w:rFonts w:ascii="宋体" w:hAnsi="Courier New" w:eastAsia="宋体" w:cs="Courier New"/>
      <w:szCs w:val="21"/>
    </w:rPr>
  </w:style>
  <w:style w:type="character" w:customStyle="1" w:styleId="131">
    <w:name w:val="NormalCharacter"/>
    <w:qFormat/>
    <w:uiPriority w:val="0"/>
  </w:style>
  <w:style w:type="character" w:customStyle="1" w:styleId="132">
    <w:name w:val="日期 字符"/>
    <w:qFormat/>
    <w:uiPriority w:val="0"/>
    <w:rPr>
      <w:rFonts w:ascii="宋体" w:hAnsi="Courier New" w:eastAsia="宋体" w:cs="Courier New"/>
      <w:szCs w:val="21"/>
    </w:rPr>
  </w:style>
  <w:style w:type="character" w:customStyle="1" w:styleId="133">
    <w:name w:val="正文文本 字符"/>
    <w:qFormat/>
    <w:uiPriority w:val="99"/>
    <w:rPr>
      <w:rFonts w:ascii="Times New Roman" w:hAnsi="Times New Roman" w:eastAsia="宋体" w:cs="Times New Roman"/>
      <w:sz w:val="24"/>
      <w:szCs w:val="24"/>
    </w:rPr>
  </w:style>
  <w:style w:type="character" w:customStyle="1" w:styleId="134">
    <w:name w:val="标题 5 字符"/>
    <w:qFormat/>
    <w:uiPriority w:val="0"/>
    <w:rPr>
      <w:b/>
      <w:kern w:val="2"/>
      <w:sz w:val="28"/>
      <w:szCs w:val="24"/>
    </w:rPr>
  </w:style>
  <w:style w:type="character" w:customStyle="1" w:styleId="135">
    <w:name w:val="标题 9 字符"/>
    <w:qFormat/>
    <w:uiPriority w:val="0"/>
    <w:rPr>
      <w:rFonts w:ascii="Arial" w:hAnsi="Arial" w:eastAsia="黑体"/>
      <w:kern w:val="2"/>
      <w:sz w:val="21"/>
      <w:szCs w:val="24"/>
    </w:rPr>
  </w:style>
  <w:style w:type="paragraph" w:customStyle="1" w:styleId="136">
    <w:name w:val="Table Paragraph"/>
    <w:basedOn w:val="1"/>
    <w:qFormat/>
    <w:uiPriority w:val="1"/>
    <w:pPr>
      <w:jc w:val="left"/>
    </w:pPr>
    <w:rPr>
      <w:rFonts w:ascii="Calibri" w:hAnsi="Calibri"/>
      <w:kern w:val="0"/>
      <w:sz w:val="22"/>
      <w:szCs w:val="22"/>
      <w:lang w:eastAsia="en-US"/>
    </w:rPr>
  </w:style>
  <w:style w:type="paragraph" w:customStyle="1" w:styleId="13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8">
    <w:name w:val="样式 首行缩进:  2 字符"/>
    <w:basedOn w:val="1"/>
    <w:qFormat/>
    <w:uiPriority w:val="0"/>
    <w:pPr>
      <w:spacing w:line="400" w:lineRule="exact"/>
      <w:ind w:firstLine="200" w:firstLineChars="200"/>
    </w:pPr>
    <w:rPr>
      <w:rFonts w:cs="宋体"/>
      <w:sz w:val="24"/>
    </w:rPr>
  </w:style>
  <w:style w:type="paragraph" w:styleId="139">
    <w:name w:val="List Paragraph"/>
    <w:basedOn w:val="1"/>
    <w:qFormat/>
    <w:uiPriority w:val="34"/>
    <w:pPr>
      <w:ind w:firstLine="420" w:firstLineChars="200"/>
    </w:pPr>
  </w:style>
  <w:style w:type="paragraph" w:customStyle="1" w:styleId="14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1">
    <w:name w:val="正文段"/>
    <w:basedOn w:val="1"/>
    <w:qFormat/>
    <w:uiPriority w:val="0"/>
    <w:pPr>
      <w:widowControl/>
      <w:snapToGrid w:val="0"/>
      <w:spacing w:afterLines="50"/>
      <w:ind w:firstLine="200" w:firstLineChars="200"/>
    </w:pPr>
    <w:rPr>
      <w:kern w:val="0"/>
      <w:sz w:val="24"/>
      <w:szCs w:val="20"/>
    </w:rPr>
  </w:style>
  <w:style w:type="paragraph" w:customStyle="1" w:styleId="14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3">
    <w:name w:val="正文正"/>
    <w:basedOn w:val="1"/>
    <w:qFormat/>
    <w:uiPriority w:val="99"/>
    <w:pPr>
      <w:spacing w:line="560" w:lineRule="exact"/>
      <w:ind w:firstLine="561"/>
    </w:pPr>
    <w:rPr>
      <w:rFonts w:eastAsia="仿宋_GB2312"/>
      <w:sz w:val="28"/>
    </w:rPr>
  </w:style>
  <w:style w:type="paragraph" w:customStyle="1" w:styleId="14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表格"/>
    <w:basedOn w:val="1"/>
    <w:qFormat/>
    <w:uiPriority w:val="0"/>
    <w:pPr>
      <w:spacing w:line="400" w:lineRule="exact"/>
    </w:pPr>
    <w:rPr>
      <w:sz w:val="24"/>
    </w:rPr>
  </w:style>
  <w:style w:type="paragraph" w:customStyle="1" w:styleId="147">
    <w:name w:val="纯文本1"/>
    <w:basedOn w:val="1"/>
    <w:qFormat/>
    <w:uiPriority w:val="0"/>
    <w:rPr>
      <w:rFonts w:ascii="宋体" w:hAnsi="Courier New" w:cs="Century"/>
      <w:szCs w:val="21"/>
    </w:rPr>
  </w:style>
  <w:style w:type="paragraph" w:customStyle="1" w:styleId="14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9">
    <w:name w:val="Char1"/>
    <w:basedOn w:val="1"/>
    <w:qFormat/>
    <w:uiPriority w:val="0"/>
    <w:rPr>
      <w:szCs w:val="21"/>
    </w:rPr>
  </w:style>
  <w:style w:type="paragraph" w:customStyle="1" w:styleId="150">
    <w:name w:val="正文首行缩进两字符"/>
    <w:basedOn w:val="1"/>
    <w:qFormat/>
    <w:uiPriority w:val="0"/>
    <w:pPr>
      <w:spacing w:line="360" w:lineRule="auto"/>
      <w:ind w:firstLine="200" w:firstLineChars="200"/>
    </w:pPr>
  </w:style>
  <w:style w:type="paragraph" w:customStyle="1" w:styleId="1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2">
    <w:name w:val="_Style 60"/>
    <w:basedOn w:val="1"/>
    <w:next w:val="139"/>
    <w:qFormat/>
    <w:uiPriority w:val="99"/>
    <w:pPr>
      <w:ind w:firstLine="420" w:firstLineChars="200"/>
    </w:pPr>
  </w:style>
  <w:style w:type="table" w:customStyle="1" w:styleId="15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4">
    <w:name w:val="_Style 129"/>
    <w:basedOn w:val="1"/>
    <w:next w:val="139"/>
    <w:qFormat/>
    <w:uiPriority w:val="99"/>
    <w:pPr>
      <w:ind w:firstLine="420" w:firstLineChars="200"/>
    </w:pPr>
  </w:style>
  <w:style w:type="character" w:customStyle="1" w:styleId="155">
    <w:name w:val="纯文本 Char1"/>
    <w:qFormat/>
    <w:locked/>
    <w:uiPriority w:val="0"/>
    <w:rPr>
      <w:rFonts w:ascii="宋体" w:hAnsi="Courier New" w:cs="Courier New"/>
      <w:szCs w:val="21"/>
    </w:rPr>
  </w:style>
  <w:style w:type="character" w:customStyle="1" w:styleId="156">
    <w:name w:val="正文文本 Char"/>
    <w:link w:val="18"/>
    <w:qFormat/>
    <w:uiPriority w:val="0"/>
    <w:rPr>
      <w:rFonts w:ascii="Times New Roman" w:hAnsi="Times New Roman" w:eastAsia="宋体" w:cs="Times New Roman"/>
      <w:sz w:val="24"/>
      <w:szCs w:val="24"/>
    </w:rPr>
  </w:style>
  <w:style w:type="character" w:customStyle="1" w:styleId="157">
    <w:name w:val="标题 1 Char"/>
    <w:qFormat/>
    <w:uiPriority w:val="9"/>
    <w:rPr>
      <w:rFonts w:ascii="Times New Roman" w:hAnsi="Times New Roman" w:eastAsia="宋体" w:cs="Times New Roman"/>
      <w:b/>
      <w:bCs/>
      <w:kern w:val="44"/>
      <w:sz w:val="44"/>
      <w:szCs w:val="44"/>
    </w:rPr>
  </w:style>
  <w:style w:type="character" w:customStyle="1" w:styleId="158">
    <w:name w:val="标题 2 Char"/>
    <w:qFormat/>
    <w:uiPriority w:val="0"/>
    <w:rPr>
      <w:rFonts w:ascii="Arial" w:hAnsi="Arial" w:eastAsia="黑体" w:cs="Times New Roman"/>
      <w:b/>
      <w:bCs/>
      <w:sz w:val="32"/>
      <w:szCs w:val="32"/>
    </w:rPr>
  </w:style>
  <w:style w:type="character" w:customStyle="1" w:styleId="159">
    <w:name w:val="标题 3 Char"/>
    <w:qFormat/>
    <w:uiPriority w:val="0"/>
    <w:rPr>
      <w:rFonts w:ascii="Times New Roman" w:hAnsi="Times New Roman" w:eastAsia="宋体" w:cs="Times New Roman"/>
      <w:b/>
      <w:bCs/>
      <w:sz w:val="32"/>
      <w:szCs w:val="32"/>
    </w:rPr>
  </w:style>
  <w:style w:type="character" w:customStyle="1" w:styleId="160">
    <w:name w:val="标题 5 Char1"/>
    <w:qFormat/>
    <w:uiPriority w:val="0"/>
    <w:rPr>
      <w:b/>
      <w:kern w:val="2"/>
      <w:sz w:val="28"/>
      <w:szCs w:val="24"/>
    </w:rPr>
  </w:style>
  <w:style w:type="character" w:customStyle="1" w:styleId="161">
    <w:name w:val="标题 6 Char"/>
    <w:qFormat/>
    <w:uiPriority w:val="0"/>
    <w:rPr>
      <w:rFonts w:ascii="Arial" w:hAnsi="Arial" w:eastAsia="黑体"/>
      <w:b/>
      <w:kern w:val="2"/>
      <w:sz w:val="24"/>
      <w:szCs w:val="24"/>
    </w:rPr>
  </w:style>
  <w:style w:type="character" w:customStyle="1" w:styleId="162">
    <w:name w:val="标题 7 Char"/>
    <w:qFormat/>
    <w:uiPriority w:val="0"/>
    <w:rPr>
      <w:rFonts w:ascii="Times New Roman" w:hAnsi="Times New Roman"/>
      <w:b/>
      <w:kern w:val="2"/>
      <w:sz w:val="24"/>
      <w:szCs w:val="24"/>
    </w:rPr>
  </w:style>
  <w:style w:type="character" w:customStyle="1" w:styleId="163">
    <w:name w:val="标题 8 Char"/>
    <w:qFormat/>
    <w:uiPriority w:val="0"/>
    <w:rPr>
      <w:rFonts w:ascii="Arial" w:hAnsi="Arial" w:eastAsia="黑体"/>
      <w:kern w:val="2"/>
      <w:sz w:val="24"/>
      <w:szCs w:val="24"/>
    </w:rPr>
  </w:style>
  <w:style w:type="character" w:customStyle="1" w:styleId="164">
    <w:name w:val="标题 9 Char"/>
    <w:qFormat/>
    <w:uiPriority w:val="0"/>
    <w:rPr>
      <w:rFonts w:ascii="Arial" w:hAnsi="Arial" w:eastAsia="黑体"/>
      <w:kern w:val="2"/>
      <w:sz w:val="21"/>
      <w:szCs w:val="24"/>
    </w:rPr>
  </w:style>
  <w:style w:type="paragraph" w:customStyle="1" w:styleId="165">
    <w:name w:val="_Style 161"/>
    <w:basedOn w:val="1"/>
    <w:next w:val="139"/>
    <w:qFormat/>
    <w:uiPriority w:val="99"/>
    <w:pPr>
      <w:ind w:firstLine="420" w:firstLineChars="200"/>
    </w:pPr>
  </w:style>
  <w:style w:type="character" w:customStyle="1" w:styleId="166">
    <w:name w:val="文档结构图 Char"/>
    <w:qFormat/>
    <w:uiPriority w:val="0"/>
    <w:rPr>
      <w:rFonts w:hint="eastAsia" w:ascii="宋体" w:hAnsi="宋体" w:eastAsia="宋体" w:cs="宋体"/>
    </w:rPr>
  </w:style>
  <w:style w:type="character" w:customStyle="1" w:styleId="167">
    <w:name w:val="批注文字 Char2"/>
    <w:qFormat/>
    <w:uiPriority w:val="0"/>
    <w:rPr>
      <w:rFonts w:ascii="Times New Roman" w:hAnsi="Times New Roman"/>
      <w:kern w:val="2"/>
      <w:sz w:val="21"/>
      <w:szCs w:val="24"/>
    </w:rPr>
  </w:style>
  <w:style w:type="character" w:customStyle="1" w:styleId="168">
    <w:name w:val="正文文本 3 Char"/>
    <w:qFormat/>
    <w:uiPriority w:val="0"/>
    <w:rPr>
      <w:rFonts w:ascii="Times New Roman" w:hAnsi="Times New Roman" w:eastAsia="宋体" w:cs="Times New Roman"/>
      <w:b/>
      <w:bCs/>
      <w:sz w:val="24"/>
      <w:szCs w:val="24"/>
    </w:rPr>
  </w:style>
  <w:style w:type="character" w:customStyle="1" w:styleId="169">
    <w:name w:val="正文文本缩进 Char"/>
    <w:qFormat/>
    <w:uiPriority w:val="0"/>
    <w:rPr>
      <w:rFonts w:ascii="仿宋_GB2312" w:hAnsi="Times New Roman" w:eastAsia="仿宋_GB2312" w:cs="Times New Roman"/>
      <w:sz w:val="32"/>
      <w:szCs w:val="20"/>
    </w:rPr>
  </w:style>
  <w:style w:type="character" w:customStyle="1" w:styleId="170">
    <w:name w:val="纯文本 Char2"/>
    <w:qFormat/>
    <w:uiPriority w:val="0"/>
    <w:rPr>
      <w:rFonts w:ascii="宋体" w:hAnsi="Courier New" w:eastAsia="宋体" w:cs="Courier New"/>
      <w:szCs w:val="21"/>
    </w:rPr>
  </w:style>
  <w:style w:type="character" w:customStyle="1" w:styleId="171">
    <w:name w:val="日期 Char"/>
    <w:qFormat/>
    <w:uiPriority w:val="0"/>
    <w:rPr>
      <w:rFonts w:ascii="宋体" w:hAnsi="Courier New" w:eastAsia="宋体" w:cs="Courier New"/>
      <w:szCs w:val="21"/>
    </w:rPr>
  </w:style>
  <w:style w:type="character" w:customStyle="1" w:styleId="172">
    <w:name w:val="正文文本缩进 2 Char"/>
    <w:qFormat/>
    <w:uiPriority w:val="0"/>
    <w:rPr>
      <w:rFonts w:ascii="Times New Roman" w:hAnsi="Times New Roman" w:eastAsia="宋体" w:cs="Times New Roman"/>
      <w:sz w:val="32"/>
      <w:szCs w:val="20"/>
    </w:rPr>
  </w:style>
  <w:style w:type="character" w:customStyle="1" w:styleId="173">
    <w:name w:val="尾注文本 Char"/>
    <w:qFormat/>
    <w:uiPriority w:val="99"/>
    <w:rPr>
      <w:rFonts w:ascii="Times New Roman" w:hAnsi="Times New Roman"/>
      <w:kern w:val="2"/>
      <w:sz w:val="21"/>
      <w:szCs w:val="24"/>
    </w:rPr>
  </w:style>
  <w:style w:type="character" w:customStyle="1" w:styleId="174">
    <w:name w:val="批注框文本 Char"/>
    <w:semiHidden/>
    <w:qFormat/>
    <w:uiPriority w:val="0"/>
    <w:rPr>
      <w:rFonts w:ascii="Times New Roman" w:hAnsi="Times New Roman" w:eastAsia="宋体" w:cs="Times New Roman"/>
      <w:sz w:val="18"/>
      <w:szCs w:val="18"/>
    </w:rPr>
  </w:style>
  <w:style w:type="character" w:customStyle="1" w:styleId="175">
    <w:name w:val="页脚 Char"/>
    <w:qFormat/>
    <w:uiPriority w:val="99"/>
    <w:rPr>
      <w:sz w:val="18"/>
      <w:szCs w:val="18"/>
    </w:rPr>
  </w:style>
  <w:style w:type="character" w:customStyle="1" w:styleId="176">
    <w:name w:val="页眉 Char"/>
    <w:qFormat/>
    <w:uiPriority w:val="99"/>
    <w:rPr>
      <w:rFonts w:ascii="Times New Roman" w:hAnsi="Times New Roman"/>
      <w:kern w:val="2"/>
      <w:sz w:val="18"/>
      <w:szCs w:val="18"/>
    </w:rPr>
  </w:style>
  <w:style w:type="character" w:customStyle="1" w:styleId="177">
    <w:name w:val="脚注文本 Char"/>
    <w:qFormat/>
    <w:uiPriority w:val="99"/>
    <w:rPr>
      <w:rFonts w:ascii="Times New Roman" w:hAnsi="Times New Roman"/>
      <w:kern w:val="2"/>
      <w:sz w:val="18"/>
      <w:szCs w:val="18"/>
    </w:rPr>
  </w:style>
  <w:style w:type="character" w:customStyle="1" w:styleId="178">
    <w:name w:val="正文文本缩进 3 Char"/>
    <w:qFormat/>
    <w:uiPriority w:val="0"/>
    <w:rPr>
      <w:rFonts w:ascii="Times New Roman" w:hAnsi="Times New Roman" w:eastAsia="宋体" w:cs="Times New Roman"/>
      <w:sz w:val="16"/>
      <w:szCs w:val="16"/>
    </w:rPr>
  </w:style>
  <w:style w:type="character" w:customStyle="1" w:styleId="179">
    <w:name w:val="正文文本 2 Char"/>
    <w:qFormat/>
    <w:uiPriority w:val="0"/>
    <w:rPr>
      <w:rFonts w:ascii="Times New Roman" w:hAnsi="Times New Roman" w:eastAsia="宋体" w:cs="Times New Roman"/>
      <w:szCs w:val="24"/>
    </w:rPr>
  </w:style>
  <w:style w:type="character" w:customStyle="1" w:styleId="180">
    <w:name w:val="标题 Char"/>
    <w:qFormat/>
    <w:uiPriority w:val="10"/>
    <w:rPr>
      <w:rFonts w:ascii="Cambria" w:hAnsi="Cambria" w:cs="Times New Roman"/>
      <w:b/>
      <w:bCs/>
      <w:kern w:val="2"/>
      <w:sz w:val="32"/>
      <w:szCs w:val="32"/>
    </w:rPr>
  </w:style>
  <w:style w:type="character" w:customStyle="1" w:styleId="181">
    <w:name w:val="批注主题 Char"/>
    <w:qFormat/>
    <w:uiPriority w:val="99"/>
    <w:rPr>
      <w:rFonts w:ascii="Times New Roman" w:hAnsi="Times New Roman"/>
      <w:b/>
      <w:bCs/>
      <w:kern w:val="2"/>
      <w:sz w:val="21"/>
      <w:szCs w:val="24"/>
    </w:rPr>
  </w:style>
  <w:style w:type="character" w:customStyle="1" w:styleId="182">
    <w:name w:val="vxe-cell--label"/>
    <w:basedOn w:val="50"/>
    <w:qFormat/>
    <w:uiPriority w:val="0"/>
  </w:style>
  <w:style w:type="character" w:customStyle="1" w:styleId="183">
    <w:name w:val="未处理的提及1"/>
    <w:basedOn w:val="50"/>
    <w:semiHidden/>
    <w:unhideWhenUsed/>
    <w:qFormat/>
    <w:uiPriority w:val="99"/>
    <w:rPr>
      <w:color w:val="605E5C"/>
      <w:shd w:val="clear" w:color="auto" w:fill="E1DFDD"/>
    </w:rPr>
  </w:style>
  <w:style w:type="character" w:customStyle="1" w:styleId="184">
    <w:name w:val="样式1 Char"/>
    <w:link w:val="185"/>
    <w:qFormat/>
    <w:uiPriority w:val="0"/>
    <w:rPr>
      <w:rFonts w:ascii="宋体" w:hAnsi="宋体"/>
      <w:b/>
      <w:kern w:val="2"/>
      <w:sz w:val="24"/>
    </w:rPr>
  </w:style>
  <w:style w:type="paragraph" w:customStyle="1" w:styleId="185">
    <w:name w:val="样式1"/>
    <w:basedOn w:val="1"/>
    <w:link w:val="184"/>
    <w:qFormat/>
    <w:uiPriority w:val="0"/>
    <w:pPr>
      <w:spacing w:before="120" w:after="120" w:line="300" w:lineRule="auto"/>
    </w:pPr>
    <w:rPr>
      <w:rFonts w:ascii="宋体" w:hAnsi="宋体"/>
      <w:b/>
      <w:sz w:val="24"/>
      <w:szCs w:val="20"/>
    </w:rPr>
  </w:style>
  <w:style w:type="paragraph" w:customStyle="1" w:styleId="186">
    <w:name w:val="msolistparagraph"/>
    <w:basedOn w:val="1"/>
    <w:qFormat/>
    <w:uiPriority w:val="0"/>
    <w:pPr>
      <w:ind w:firstLine="420" w:firstLineChars="200"/>
    </w:pPr>
  </w:style>
  <w:style w:type="paragraph" w:customStyle="1" w:styleId="18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8">
    <w:name w:val="bodytextbb1bodybtcontents01"/>
    <w:basedOn w:val="1"/>
    <w:qFormat/>
    <w:uiPriority w:val="0"/>
    <w:pPr>
      <w:widowControl/>
      <w:spacing w:before="100" w:beforeAutospacing="1" w:after="100" w:afterAutospacing="1"/>
      <w:jc w:val="left"/>
    </w:pPr>
    <w:rPr>
      <w:rFonts w:cs="宋体"/>
      <w:kern w:val="0"/>
    </w:rPr>
  </w:style>
  <w:style w:type="character" w:customStyle="1" w:styleId="189">
    <w:name w:val="正文文本 字符1"/>
    <w:qFormat/>
    <w:uiPriority w:val="99"/>
    <w:rPr>
      <w:kern w:val="2"/>
      <w:sz w:val="21"/>
      <w:szCs w:val="24"/>
    </w:rPr>
  </w:style>
  <w:style w:type="paragraph" w:customStyle="1" w:styleId="190">
    <w:name w:val="列出段落12"/>
    <w:basedOn w:val="1"/>
    <w:qFormat/>
    <w:uiPriority w:val="0"/>
    <w:pPr>
      <w:ind w:firstLine="420" w:firstLineChars="200"/>
    </w:pPr>
  </w:style>
  <w:style w:type="paragraph" w:customStyle="1" w:styleId="191">
    <w:name w:val="Table Text"/>
    <w:basedOn w:val="1"/>
    <w:semiHidden/>
    <w:qFormat/>
    <w:uiPriority w:val="0"/>
    <w:rPr>
      <w:rFonts w:ascii="宋体" w:hAnsi="宋体" w:cs="宋体"/>
      <w:sz w:val="24"/>
      <w:lang w:eastAsia="en-US"/>
    </w:rPr>
  </w:style>
  <w:style w:type="character" w:customStyle="1" w:styleId="192">
    <w:name w:val="15"/>
    <w:basedOn w:val="50"/>
    <w:qFormat/>
    <w:uiPriority w:val="0"/>
    <w:rPr>
      <w:rFonts w:hint="default" w:ascii="Times New Roman" w:hAnsi="Times New Roman" w:cs="Times New Roman"/>
    </w:rPr>
  </w:style>
  <w:style w:type="paragraph" w:customStyle="1" w:styleId="193">
    <w:name w:val="Char"/>
    <w:basedOn w:val="1"/>
    <w:unhideWhenUsed/>
    <w:qFormat/>
    <w:uiPriority w:val="99"/>
  </w:style>
  <w:style w:type="paragraph" w:customStyle="1" w:styleId="194">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8" Type="http://schemas.openxmlformats.org/officeDocument/2006/relationships/image" Target="media/image3.png"/><Relationship Id="rId17" Type="http://schemas.openxmlformats.org/officeDocument/2006/relationships/image" Target="https://www.gov.cn/zhengce/content/202509/W020250930645245947614.png" TargetMode="Externa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105</Pages>
  <Words>10994</Words>
  <Characters>11725</Characters>
  <Lines>502</Lines>
  <Paragraphs>141</Paragraphs>
  <TotalTime>54</TotalTime>
  <ScaleCrop>false</ScaleCrop>
  <LinksUpToDate>false</LinksUpToDate>
  <CharactersWithSpaces>11768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2023-11-20T11:04:00Z</dcterms:created>
  <dc:creator>番茄花园</dc:creator>
  <cp:lastModifiedBy>wps</cp:lastModifiedBy>
  <cp:lastPrinted>2026-05-18T00:34:00Z</cp:lastPrinted>
  <dcterms:modified xsi:type="dcterms:W3CDTF">2026-06-15T03:17:29Z</dcterms:modified>
  <dc:title>公开招标采购文件范本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9C9065D6D2CF4115B72EE8D0E95C2D3A_13</vt:lpwstr>
  </property>
  <property fmtid="{D5CDD505-2E9C-101B-9397-08002B2CF9AE}" pid="4" name="KSOTemplateDocerSaveRecord">
    <vt:lpwstr>eyJoZGlkIjoiNzI5OWM3OGY1NTAzMjZjNjUxMTAzMDE0ZGZiNTY1MWMiLCJ1c2VySWQiOiI4MDU1NDc2MDIifQ==</vt:lpwstr>
  </property>
</Properties>
</file>