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5F76" w14:textId="79BA61FD" w:rsidR="00AC40A4" w:rsidRDefault="00943151">
      <w:pPr>
        <w:jc w:val="center"/>
        <w:rPr>
          <w:rFonts w:ascii="宋体" w:eastAsia="宋体" w:hAnsi="宋体" w:cs="Tahoma"/>
          <w:color w:val="000000"/>
          <w:sz w:val="36"/>
          <w:szCs w:val="36"/>
        </w:rPr>
      </w:pPr>
      <w:r w:rsidRPr="00943151">
        <w:rPr>
          <w:rFonts w:ascii="宋体" w:eastAsia="宋体" w:hAnsi="宋体" w:cs="Tahoma" w:hint="eastAsia"/>
          <w:color w:val="000000"/>
          <w:sz w:val="36"/>
          <w:szCs w:val="36"/>
        </w:rPr>
        <w:t>全高</w:t>
      </w:r>
      <w:proofErr w:type="gramStart"/>
      <w:r w:rsidRPr="00943151">
        <w:rPr>
          <w:rFonts w:ascii="宋体" w:eastAsia="宋体" w:hAnsi="宋体" w:cs="Tahoma" w:hint="eastAsia"/>
          <w:color w:val="000000"/>
          <w:sz w:val="36"/>
          <w:szCs w:val="36"/>
        </w:rPr>
        <w:t>清电子</w:t>
      </w:r>
      <w:proofErr w:type="gramEnd"/>
      <w:r w:rsidRPr="00943151">
        <w:rPr>
          <w:rFonts w:ascii="宋体" w:eastAsia="宋体" w:hAnsi="宋体" w:cs="Tahoma" w:hint="eastAsia"/>
          <w:color w:val="000000"/>
          <w:sz w:val="36"/>
          <w:szCs w:val="36"/>
        </w:rPr>
        <w:t>内镜系统</w:t>
      </w:r>
      <w:r w:rsidRPr="00943151">
        <w:rPr>
          <w:rFonts w:ascii="宋体" w:eastAsia="宋体" w:hAnsi="宋体" w:cs="Tahoma" w:hint="eastAsia"/>
          <w:color w:val="000000"/>
          <w:sz w:val="36"/>
          <w:szCs w:val="36"/>
        </w:rPr>
        <w:t>采购需求</w:t>
      </w:r>
    </w:p>
    <w:p w14:paraId="1411B4C9" w14:textId="77777777" w:rsidR="00943151" w:rsidRPr="00943151" w:rsidRDefault="00943151">
      <w:pPr>
        <w:jc w:val="center"/>
        <w:rPr>
          <w:rFonts w:ascii="宋体" w:eastAsia="宋体" w:hAnsi="宋体" w:hint="eastAsia"/>
          <w:b/>
          <w:sz w:val="36"/>
          <w:szCs w:val="36"/>
        </w:rPr>
      </w:pP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8585"/>
      </w:tblGrid>
      <w:tr w:rsidR="00AC40A4" w14:paraId="71800992" w14:textId="77777777">
        <w:tc>
          <w:tcPr>
            <w:tcW w:w="8585" w:type="dxa"/>
          </w:tcPr>
          <w:p w14:paraId="206AF62C" w14:textId="77777777" w:rsidR="00AC40A4" w:rsidRDefault="001F2714">
            <w:pPr>
              <w:pStyle w:val="ac"/>
              <w:tabs>
                <w:tab w:val="left" w:pos="3865"/>
              </w:tabs>
              <w:spacing w:before="154" w:line="380" w:lineRule="exact"/>
              <w:ind w:right="295" w:firstLineChars="0" w:firstLine="0"/>
              <w:jc w:val="left"/>
              <w:rPr>
                <w:rFonts w:hint="eastAsia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技术参数：</w:t>
            </w:r>
          </w:p>
          <w:p w14:paraId="299C2025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</w:rPr>
              <w:t>一、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  <w:t>图像处理装置</w:t>
            </w:r>
          </w:p>
          <w:p w14:paraId="6589FCE3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▲1、整体设计要求：光源主机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体式设计，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主机带触控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面板。</w:t>
            </w:r>
          </w:p>
          <w:p w14:paraId="79B77B4F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▲2、光源≥5色LED，为内镜提供真实的色彩还原。</w:t>
            </w:r>
          </w:p>
          <w:p w14:paraId="0F0286A7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3、测光模式：</w:t>
            </w:r>
          </w:p>
          <w:p w14:paraId="6EF47F5E" w14:textId="77777777" w:rsidR="00AC40A4" w:rsidRDefault="001F2714">
            <w:pPr>
              <w:ind w:firstLineChars="150" w:firstLine="420"/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（1）自动测光：根据中央部分最亮处和外围部分的平均亮度处进行调节；</w:t>
            </w:r>
          </w:p>
          <w:p w14:paraId="34C73D06" w14:textId="77777777" w:rsidR="00AC40A4" w:rsidRDefault="001F2714">
            <w:pPr>
              <w:ind w:firstLineChars="150" w:firstLine="420"/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（2）峰值测光：根据内镜图像的最亮处调节；</w:t>
            </w:r>
          </w:p>
          <w:p w14:paraId="5A7CDD07" w14:textId="77777777" w:rsidR="00AC40A4" w:rsidRDefault="001F2714">
            <w:pPr>
              <w:ind w:firstLineChars="150" w:firstLine="420"/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（3）平均测光：根据内镜图像的平均亮度处进行调节。</w:t>
            </w:r>
          </w:p>
          <w:p w14:paraId="03384B2F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4、冻结模式：冻结内镜图像。</w:t>
            </w:r>
          </w:p>
          <w:p w14:paraId="21A9044C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5、预冻结模式：在冻结操作和显示前的设置时间段里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捕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抓到的图像中选择模糊度最低的图像。</w:t>
            </w:r>
          </w:p>
          <w:p w14:paraId="6C169041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6、信号输出：可选择SDI(12G-SDI、3G-SDI、HD-SDI或SD-SDI)、等端口，图像锐化、清晰可将毛细血管和细微的黏膜结构准确清晰的显示出来。</w:t>
            </w:r>
          </w:p>
          <w:p w14:paraId="38A90ABF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7、具备窄带成像技术，可处理≥两种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窄带光得到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的图像。两种特殊光可穿透黏膜表层，显示表浅血管和粘膜下层内血管，得到白光下无法发现的细微病变。</w:t>
            </w:r>
          </w:p>
          <w:p w14:paraId="480E020D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▲8、具备至少3种特殊光观察模式，显著提高早期病变检出率，为精准诊断与治疗提供可靠依据。</w:t>
            </w:r>
          </w:p>
          <w:p w14:paraId="5C717D32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lastRenderedPageBreak/>
              <w:t>9、具备构造和色彩强调成像技术：联合强调粘膜表面的结构、色调和亮度，得到白光下粘膜纹理更清晰更容易观察病变。</w:t>
            </w:r>
          </w:p>
          <w:p w14:paraId="08DCC427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10、具备保持对比度的亮度成像技术：提高较暗部分的亮度，利于观察深层腔体结构。</w:t>
            </w:r>
          </w:p>
          <w:p w14:paraId="185DCF9B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11、内镜图像大小可选择。</w:t>
            </w:r>
          </w:p>
          <w:p w14:paraId="61F23311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12、观察模式支持16:9或4:3的纵横比切换。</w:t>
            </w:r>
          </w:p>
          <w:p w14:paraId="239DF123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13、可以远程遥控控制录像机、打印机和图像归档系统等。</w:t>
            </w:r>
          </w:p>
          <w:p w14:paraId="7D389D02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14、储存记忆功能：即使图像处理装置关闭后，设置也会被保存在内存中。</w:t>
            </w:r>
          </w:p>
          <w:p w14:paraId="7FEC58FF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15、用户设定，至少可以录入15个用户及以上。</w:t>
            </w:r>
          </w:p>
          <w:p w14:paraId="291F37D5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16、患者数据预录入：可在术前输入不少于45名患者的数据。</w:t>
            </w:r>
          </w:p>
          <w:p w14:paraId="2DADB056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17、可兼容便携式存储器，并可连接及上传数据，可以直接记录高清格式的内镜图片。</w:t>
            </w:r>
          </w:p>
          <w:p w14:paraId="5589F630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18、色调调节可以进行红色、蓝色、色度三种及以上调节，各有≥±8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挡可选择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。</w:t>
            </w:r>
          </w:p>
          <w:p w14:paraId="29A22006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19、自动增益功能：因内镜先端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部距离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目标较远而使光线不足时，图像信号可以自动增强。</w:t>
            </w:r>
          </w:p>
          <w:p w14:paraId="4BB351C8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20、可实现画中画功能，有效辅助观察。</w:t>
            </w:r>
          </w:p>
          <w:p w14:paraId="6E104E53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★21、可兼容已上市同品牌系列的支气管镜 ，胃镜、肠镜、超声内镜等。（佐证材料需提供生产厂家的宣传彩页或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图或产品说明书，提供复印件加盖供应商公章）</w:t>
            </w:r>
          </w:p>
          <w:p w14:paraId="18070A94" w14:textId="77777777" w:rsidR="00AC40A4" w:rsidRDefault="001F2714">
            <w:pP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  <w:t>二、电子上消化道内窥镜</w:t>
            </w:r>
          </w:p>
          <w:p w14:paraId="612D7D2C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lastRenderedPageBreak/>
              <w:t>1、高放大倍率结合宽（广域）景深图像，使整个视野范围内的成像更清晰，切线角度观察消化道内移动目标时，能清晰稳定成像。</w:t>
            </w:r>
          </w:p>
          <w:p w14:paraId="0DA4360D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2、视野角度正常≥140°，近焦≥60°；</w:t>
            </w:r>
          </w:p>
          <w:p w14:paraId="2927DDAC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3、景深：正常模式≥3-100mm、近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焦模式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≤1.5-5.5mm;</w:t>
            </w:r>
          </w:p>
          <w:p w14:paraId="7C9AA784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4、先端部外径 ≤10.0mm；</w:t>
            </w:r>
          </w:p>
          <w:p w14:paraId="796FDD68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5、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插入部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外径 ≤9.6mm；弯曲部角度：上≥210度、下≥90度；左≥100度、右≥100度；钳子管道内径≥2.8mm； </w:t>
            </w:r>
          </w:p>
          <w:p w14:paraId="4AABB1DA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6、具备副送水功能：内镜具备副送水管道（非附件管道），能连接内镜专用送水泵，可有效冲洗粘膜表面保持诊疗过程中消化道视野清洗。 </w:t>
            </w:r>
          </w:p>
          <w:p w14:paraId="3CB23A7B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7、具备光学放大功能，临床中辅助病变进行有效光学诊断。</w:t>
            </w:r>
          </w:p>
          <w:p w14:paraId="3CB3117A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★8、可搭配同品牌（非子品牌）消化内镜治疗耗材（送水送气按钮、吸引按钮、洗消刷、先端帽等配件及消化道支架类基础类产品除外），如ERCP类碎石器或ESD类黏膜（高频）切开刀，与内镜适配性更优，减少对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内镜钳道及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先端部件的磨损，在诊疗操作中提升临床操作安全性。（佐证材料需提供生产厂家的宣传彩页或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图或产品说明书，提供复印件加盖供应商公章）</w:t>
            </w:r>
          </w:p>
          <w:p w14:paraId="27A7D35A" w14:textId="77777777" w:rsidR="00AC40A4" w:rsidRDefault="001F2714">
            <w:pPr>
              <w:spacing w:afterLines="25" w:after="78" w:line="420" w:lineRule="exact"/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</w:rPr>
              <w:t xml:space="preserve">三、电子结肠内窥镜 </w:t>
            </w:r>
          </w:p>
          <w:p w14:paraId="6C63DDC3" w14:textId="77777777" w:rsidR="00AC40A4" w:rsidRDefault="001F2714">
            <w:pPr>
              <w:pStyle w:val="a7"/>
              <w:widowControl/>
              <w:spacing w:line="27" w:lineRule="atLeast"/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1、硬度可调功能：操作医生可根据个人爱好调整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插入部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的硬度，根据临床中的情况可调整必要的硬度等，应对不同术者、患者、检查场景进行插入；</w:t>
            </w:r>
          </w:p>
          <w:p w14:paraId="78D35427" w14:textId="77777777" w:rsidR="00AC40A4" w:rsidRDefault="001F2714">
            <w:pPr>
              <w:pStyle w:val="a7"/>
              <w:widowControl/>
              <w:spacing w:line="27" w:lineRule="atLeast"/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lastRenderedPageBreak/>
              <w:t>2、带副送水功能，能够有效冲洗粘膜表层粘液和血块，有利于微小病变的发现，避免漏诊。同时及时发现出血点，进行迅速止血。</w:t>
            </w:r>
          </w:p>
          <w:p w14:paraId="64941CEC" w14:textId="77777777" w:rsidR="00AC40A4" w:rsidRDefault="001F2714">
            <w:pPr>
              <w:pStyle w:val="a7"/>
              <w:widowControl/>
              <w:spacing w:line="27" w:lineRule="atLeast"/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3、具备光学放大功能，临床中辅助病变进行有效光学诊断。</w:t>
            </w:r>
          </w:p>
          <w:p w14:paraId="3F70213C" w14:textId="77777777" w:rsidR="00AC40A4" w:rsidRDefault="001F2714">
            <w:pPr>
              <w:pStyle w:val="a7"/>
              <w:widowControl/>
              <w:spacing w:line="27" w:lineRule="atLeast"/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4、视野角度正常≥140°，近焦≥60°；</w:t>
            </w:r>
          </w:p>
          <w:p w14:paraId="4BB7D3F6" w14:textId="77777777" w:rsidR="00AC40A4" w:rsidRDefault="001F2714">
            <w:pPr>
              <w:pStyle w:val="a7"/>
              <w:widowControl/>
              <w:spacing w:line="27" w:lineRule="atLeast"/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5、景深：正常模式≥3-100mm、近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焦模式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≤1.5-5.5mm;</w:t>
            </w:r>
          </w:p>
          <w:p w14:paraId="664B640C" w14:textId="77777777" w:rsidR="00AC40A4" w:rsidRDefault="001F2714">
            <w:pPr>
              <w:pStyle w:val="a7"/>
              <w:widowControl/>
              <w:spacing w:line="27" w:lineRule="atLeast"/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先端部外径 ≤13.2mm；</w:t>
            </w:r>
          </w:p>
          <w:p w14:paraId="754A1ED6" w14:textId="77777777" w:rsidR="00AC40A4" w:rsidRDefault="001F2714">
            <w:pPr>
              <w:pStyle w:val="a7"/>
              <w:widowControl/>
              <w:spacing w:line="27" w:lineRule="atLeast"/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7、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插入部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外径 ≥12.5mm；弯曲部角度：上≥180度、下≥180度；左≥160度、右≥160度；钳子管道内径≥3.7mm；</w:t>
            </w:r>
          </w:p>
          <w:p w14:paraId="378DE8F6" w14:textId="77777777" w:rsidR="00AC40A4" w:rsidRDefault="001F2714">
            <w:pPr>
              <w:pStyle w:val="a7"/>
              <w:widowControl/>
              <w:spacing w:line="27" w:lineRule="atLeast"/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8、具备副送水功能：内镜具备副送水管道（非附件管道），能连接内镜专用送水泵，可有效冲洗粘膜表面保持诊疗过程中消化道视野清洗。 </w:t>
            </w:r>
          </w:p>
          <w:p w14:paraId="5E105732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★9、可搭配同品牌（非子品牌）消化内镜治疗耗材（送水送气按钮、吸引按钮、洗消刷、先端帽等配件及消化道支架类基础类产品除外），如ESD类黏膜（高频）切开刀等，与内镜适配性更优，减少对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内镜钳道及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先端部件的磨损，在诊疗操作中提升临床操作安全性。（佐证材料需提供生产厂家的宣传彩页或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图或产品说明书，提供复印件加盖供应商公章）</w:t>
            </w:r>
          </w:p>
          <w:p w14:paraId="0D134380" w14:textId="77777777" w:rsidR="00AC40A4" w:rsidRDefault="001F2714">
            <w:pP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10、高放大倍率结合宽（广域）景深图像，使整个视野范围内的成像更清晰，切向角度观察消化道内移动目标时，能清晰稳定成像。</w:t>
            </w:r>
          </w:p>
          <w:p w14:paraId="4845A4AD" w14:textId="77777777" w:rsidR="00AC40A4" w:rsidRDefault="001F2714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高清晰度液晶监视器</w:t>
            </w:r>
          </w:p>
          <w:p w14:paraId="7FAD11FC" w14:textId="77777777" w:rsidR="00AC40A4" w:rsidRDefault="001F2714">
            <w:pP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1、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液晶面板不小于31英寸，可与全数字信号兼容，提供稳定、无闪烁的超高清晰图像；</w:t>
            </w:r>
          </w:p>
          <w:p w14:paraId="05324F49" w14:textId="77777777" w:rsidR="00AC40A4" w:rsidRDefault="001F2714">
            <w:pP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lastRenderedPageBreak/>
              <w:t>2、视野角度：≥170度（垂直和水平）；</w:t>
            </w:r>
          </w:p>
          <w:p w14:paraId="3E95437B" w14:textId="77777777" w:rsidR="00AC40A4" w:rsidRDefault="001F2714">
            <w:pP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3、翻转模式：旋转;</w:t>
            </w:r>
          </w:p>
          <w:p w14:paraId="7F4AA0CB" w14:textId="77777777" w:rsidR="00AC40A4" w:rsidRDefault="001F2714">
            <w:pP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4、分辨率/长宽比：≥3840X2160像素 /16：9;</w:t>
            </w:r>
          </w:p>
          <w:p w14:paraId="6D078727" w14:textId="77777777" w:rsidR="00AC40A4" w:rsidRDefault="001F2714">
            <w:pP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5、对比度：≥1000:1；</w:t>
            </w:r>
          </w:p>
          <w:p w14:paraId="54D8C34D" w14:textId="77777777" w:rsidR="00AC40A4" w:rsidRDefault="001F2714">
            <w:pP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6、色域：≥BT.2020/BT.709</w:t>
            </w:r>
          </w:p>
          <w:p w14:paraId="1AC93C9D" w14:textId="77777777" w:rsidR="00AC40A4" w:rsidRDefault="001F2714">
            <w:pP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7、色量：≥10亿；</w:t>
            </w:r>
          </w:p>
          <w:p w14:paraId="35270C22" w14:textId="77777777" w:rsidR="00AC40A4" w:rsidRDefault="001F2714">
            <w:pPr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8、背光源：LED。</w:t>
            </w:r>
          </w:p>
          <w:p w14:paraId="36093790" w14:textId="77777777" w:rsidR="00AC40A4" w:rsidRDefault="001F2714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台车套组</w:t>
            </w:r>
          </w:p>
          <w:p w14:paraId="1AA56688" w14:textId="77777777" w:rsidR="00AC40A4" w:rsidRDefault="001F2714">
            <w:pP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1、上下左右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可旋式支架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，方便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固定固定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液晶显示器，方便操作者不同角度观察图像。</w:t>
            </w:r>
          </w:p>
          <w:p w14:paraId="565B335D" w14:textId="77777777" w:rsidR="00AC40A4" w:rsidRDefault="001F2714">
            <w:pP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2、可升降支架，可同时悬挂两根镜子。</w:t>
            </w:r>
          </w:p>
          <w:p w14:paraId="03CE6D53" w14:textId="77777777" w:rsidR="00AC40A4" w:rsidRDefault="001F2714">
            <w:pP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3、可调节底板，随时调整主机放置高度，以便配合周边设备同时配置。</w:t>
            </w:r>
          </w:p>
          <w:p w14:paraId="2144CA44" w14:textId="77777777" w:rsidR="00AC40A4" w:rsidRDefault="001F2714">
            <w:pP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4、可拉伸键盘托盘，方便医生不同角度操作。光滑防水设计,键盘面无接缝,符合医院的卫生要求.</w:t>
            </w:r>
          </w:p>
          <w:p w14:paraId="7B3DCC62" w14:textId="77777777" w:rsidR="00AC40A4" w:rsidRDefault="001F2714">
            <w:pP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5、内置式电源，保证人身安全。</w:t>
            </w:r>
          </w:p>
          <w:p w14:paraId="7DAD1706" w14:textId="77777777" w:rsidR="00AC40A4" w:rsidRDefault="001F2714">
            <w:pP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配置清单：</w:t>
            </w:r>
          </w:p>
          <w:tbl>
            <w:tblPr>
              <w:tblW w:w="8078" w:type="dxa"/>
              <w:tblLook w:val="04A0" w:firstRow="1" w:lastRow="0" w:firstColumn="1" w:lastColumn="0" w:noHBand="0" w:noVBand="1"/>
            </w:tblPr>
            <w:tblGrid>
              <w:gridCol w:w="703"/>
              <w:gridCol w:w="3204"/>
              <w:gridCol w:w="1805"/>
              <w:gridCol w:w="1183"/>
              <w:gridCol w:w="1183"/>
            </w:tblGrid>
            <w:tr w:rsidR="00AC40A4" w14:paraId="206FEEA2" w14:textId="77777777">
              <w:trPr>
                <w:trHeight w:val="629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ADAA84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  <w:lang w:bidi="ar"/>
                    </w:rPr>
                    <w:t>编号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73667D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  <w:lang w:bidi="ar"/>
                    </w:rPr>
                    <w:t>产品名称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711597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  <w:lang w:bidi="ar"/>
                    </w:rPr>
                    <w:t>数量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87A39F4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单位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652F835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保修</w:t>
                  </w:r>
                </w:p>
              </w:tc>
            </w:tr>
            <w:tr w:rsidR="00AC40A4" w14:paraId="159EF0BD" w14:textId="77777777">
              <w:trPr>
                <w:trHeight w:val="629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0CDF32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1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47BEE3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图像处理装置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FC569F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8F2305B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台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A38E335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3年</w:t>
                  </w:r>
                </w:p>
              </w:tc>
            </w:tr>
            <w:tr w:rsidR="00AC40A4" w14:paraId="04A1D7E7" w14:textId="77777777">
              <w:trPr>
                <w:trHeight w:val="629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7AD599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2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4F8E11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电子上消化道内窥镜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5A03E5" w14:textId="59137A0C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6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38FA94A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条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9869FC5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3年</w:t>
                  </w:r>
                </w:p>
              </w:tc>
            </w:tr>
            <w:tr w:rsidR="00AC40A4" w14:paraId="4E7633A3" w14:textId="77777777">
              <w:trPr>
                <w:trHeight w:val="629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09A8B8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3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699F4B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电子结肠内窥镜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F3A9BF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4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97627E2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条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922C982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3年</w:t>
                  </w:r>
                </w:p>
              </w:tc>
            </w:tr>
            <w:tr w:rsidR="00AC40A4" w14:paraId="5309F5F9" w14:textId="77777777">
              <w:trPr>
                <w:trHeight w:val="629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5B4FEF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4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55A0CA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高清晰度液晶监视器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3946F5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1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C516453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台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67E7E8D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3年</w:t>
                  </w:r>
                </w:p>
              </w:tc>
            </w:tr>
            <w:tr w:rsidR="00AC40A4" w14:paraId="47D13D2C" w14:textId="77777777">
              <w:trPr>
                <w:trHeight w:val="629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5AFC4D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5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9FBF69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台车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4A190F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1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1F7451A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套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BD63EB4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3年</w:t>
                  </w:r>
                </w:p>
              </w:tc>
            </w:tr>
            <w:tr w:rsidR="00AC40A4" w14:paraId="4D67A377" w14:textId="77777777">
              <w:trPr>
                <w:trHeight w:val="629"/>
              </w:trPr>
              <w:tc>
                <w:tcPr>
                  <w:tcW w:w="807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E4E9E2" w14:textId="77777777" w:rsidR="00AC40A4" w:rsidRDefault="001F2714">
                  <w:pPr>
                    <w:widowControl/>
                    <w:tabs>
                      <w:tab w:val="left" w:pos="3785"/>
                    </w:tabs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lastRenderedPageBreak/>
                    <w:tab/>
                    <w:t>配件</w:t>
                  </w:r>
                </w:p>
              </w:tc>
            </w:tr>
            <w:tr w:rsidR="00AC40A4" w14:paraId="0ABFF954" w14:textId="77777777">
              <w:trPr>
                <w:trHeight w:val="629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E0664A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6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CBA3A9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保养装置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F68538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2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D9A7065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台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0DB40D9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1年</w:t>
                  </w:r>
                </w:p>
              </w:tc>
            </w:tr>
            <w:tr w:rsidR="00AC40A4" w14:paraId="462EAA66" w14:textId="77777777">
              <w:trPr>
                <w:trHeight w:val="629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45AECD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7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757C3B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送水装置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C1258C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2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5C03AB5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台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1C6E742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1年</w:t>
                  </w:r>
                </w:p>
              </w:tc>
            </w:tr>
            <w:tr w:rsidR="00AC40A4" w14:paraId="08CE0411" w14:textId="77777777">
              <w:trPr>
                <w:trHeight w:val="629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D647AE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8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441565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送气装置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BEE50B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2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62860F9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台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FAFA4C2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1年</w:t>
                  </w:r>
                </w:p>
              </w:tc>
            </w:tr>
            <w:tr w:rsidR="00AC40A4" w14:paraId="2EA5A541" w14:textId="77777777">
              <w:trPr>
                <w:trHeight w:val="502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BAC08B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9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4C306C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图文工作站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6EC050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2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F0C9226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套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C03AB25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1年</w:t>
                  </w:r>
                </w:p>
              </w:tc>
            </w:tr>
            <w:tr w:rsidR="00AC40A4" w14:paraId="57CFD656" w14:textId="77777777">
              <w:trPr>
                <w:trHeight w:val="502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0DD854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10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933FCAA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二氧化碳水封瓶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308BC6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2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D6DE11C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EDF2B8A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/</w:t>
                  </w:r>
                </w:p>
              </w:tc>
            </w:tr>
            <w:tr w:rsidR="00AC40A4" w14:paraId="523396CA" w14:textId="77777777">
              <w:trPr>
                <w:trHeight w:val="502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DEF089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11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05908DF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测漏器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BB5075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2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7C21F59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条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21B5783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/</w:t>
                  </w:r>
                </w:p>
              </w:tc>
            </w:tr>
            <w:tr w:rsidR="00AC40A4" w14:paraId="7AA2C4B9" w14:textId="77777777">
              <w:trPr>
                <w:trHeight w:val="502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B0654E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12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6B411B4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图像采集加密狗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9DE14F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2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2B60A7C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套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2EE210C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/</w:t>
                  </w:r>
                </w:p>
              </w:tc>
            </w:tr>
            <w:tr w:rsidR="00AC40A4" w14:paraId="524FBFE2" w14:textId="77777777">
              <w:trPr>
                <w:trHeight w:val="502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A3ED5B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13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373ED05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送水送气按钮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F5241F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20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2E34848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1B5DE9F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/</w:t>
                  </w:r>
                </w:p>
              </w:tc>
            </w:tr>
            <w:tr w:rsidR="00AC40A4" w14:paraId="0B2D8A48" w14:textId="77777777">
              <w:trPr>
                <w:trHeight w:val="502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F7AFCF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14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5D775B8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吸引按钮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6966FB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20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C8FE405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38F7FAE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/</w:t>
                  </w:r>
                </w:p>
              </w:tc>
            </w:tr>
            <w:tr w:rsidR="00AC40A4" w14:paraId="7E32B9AA" w14:textId="77777777">
              <w:trPr>
                <w:trHeight w:val="502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87F635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15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48B8150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钳子管道开口阀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54F149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2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4C9A143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包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7FCBC23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/</w:t>
                  </w:r>
                </w:p>
              </w:tc>
            </w:tr>
            <w:tr w:rsidR="00AC40A4" w14:paraId="39AA7A0E" w14:textId="77777777">
              <w:trPr>
                <w:trHeight w:val="502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DAED0B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16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B31DE09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清洗长刷</w:t>
                  </w:r>
                  <w:proofErr w:type="gramEnd"/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17A50F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20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677FA57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条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B481F4A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/</w:t>
                  </w:r>
                </w:p>
              </w:tc>
            </w:tr>
            <w:tr w:rsidR="00AC40A4" w14:paraId="3DADFAE2" w14:textId="77777777">
              <w:trPr>
                <w:trHeight w:val="520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D325CE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17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EB6BB34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清洗短刷</w:t>
                  </w:r>
                  <w:proofErr w:type="gramEnd"/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277610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20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CCE7EFF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条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887249B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/</w:t>
                  </w:r>
                </w:p>
              </w:tc>
            </w:tr>
            <w:tr w:rsidR="00AC40A4" w14:paraId="6901E176" w14:textId="77777777">
              <w:trPr>
                <w:trHeight w:val="549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EF9C04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18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5DBD46C" w14:textId="77777777" w:rsidR="00AC40A4" w:rsidRDefault="001F271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空气消毒机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5D9729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3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E4D2F93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台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700E301" w14:textId="77777777" w:rsidR="00AC40A4" w:rsidRDefault="001F27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/</w:t>
                  </w:r>
                </w:p>
              </w:tc>
            </w:tr>
          </w:tbl>
          <w:p w14:paraId="32963949" w14:textId="77777777" w:rsidR="00AC40A4" w:rsidRDefault="00AC40A4">
            <w:pPr>
              <w:pStyle w:val="a8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3DB1B866" w14:textId="77777777" w:rsidR="00AC40A4" w:rsidRDefault="00AC40A4">
      <w:pPr>
        <w:rPr>
          <w:rFonts w:ascii="宋体" w:eastAsia="宋体" w:hAnsi="宋体" w:hint="eastAsia"/>
          <w:sz w:val="24"/>
          <w:szCs w:val="24"/>
        </w:rPr>
      </w:pPr>
    </w:p>
    <w:sectPr w:rsidR="00AC4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69D4" w14:textId="77777777" w:rsidR="00726C80" w:rsidRDefault="00726C80" w:rsidP="00943151">
      <w:pPr>
        <w:rPr>
          <w:rFonts w:hint="eastAsia"/>
        </w:rPr>
      </w:pPr>
      <w:r>
        <w:separator/>
      </w:r>
    </w:p>
  </w:endnote>
  <w:endnote w:type="continuationSeparator" w:id="0">
    <w:p w14:paraId="4875C3CD" w14:textId="77777777" w:rsidR="00726C80" w:rsidRDefault="00726C80" w:rsidP="009431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长城仿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noto sans tha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DA6B" w14:textId="77777777" w:rsidR="00726C80" w:rsidRDefault="00726C80" w:rsidP="00943151">
      <w:pPr>
        <w:rPr>
          <w:rFonts w:hint="eastAsia"/>
        </w:rPr>
      </w:pPr>
      <w:r>
        <w:separator/>
      </w:r>
    </w:p>
  </w:footnote>
  <w:footnote w:type="continuationSeparator" w:id="0">
    <w:p w14:paraId="169021BE" w14:textId="77777777" w:rsidR="00726C80" w:rsidRDefault="00726C80" w:rsidP="0094315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C83"/>
    <w:multiLevelType w:val="multilevel"/>
    <w:tmpl w:val="01A53C83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160" w:hanging="72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77097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2F"/>
    <w:rsid w:val="00086489"/>
    <w:rsid w:val="000D0257"/>
    <w:rsid w:val="00101D3E"/>
    <w:rsid w:val="00124A38"/>
    <w:rsid w:val="001F2714"/>
    <w:rsid w:val="00330576"/>
    <w:rsid w:val="0039243A"/>
    <w:rsid w:val="003E2DA1"/>
    <w:rsid w:val="00423B61"/>
    <w:rsid w:val="00433A2B"/>
    <w:rsid w:val="00436CF0"/>
    <w:rsid w:val="00471F63"/>
    <w:rsid w:val="004F4042"/>
    <w:rsid w:val="005012C0"/>
    <w:rsid w:val="00521128"/>
    <w:rsid w:val="00543C99"/>
    <w:rsid w:val="00596B8C"/>
    <w:rsid w:val="005B4A69"/>
    <w:rsid w:val="005E422F"/>
    <w:rsid w:val="006775D4"/>
    <w:rsid w:val="00685891"/>
    <w:rsid w:val="00697E33"/>
    <w:rsid w:val="006C7CA6"/>
    <w:rsid w:val="00726C80"/>
    <w:rsid w:val="00732EAB"/>
    <w:rsid w:val="00737B24"/>
    <w:rsid w:val="007445E8"/>
    <w:rsid w:val="0076456C"/>
    <w:rsid w:val="00791B76"/>
    <w:rsid w:val="00806E80"/>
    <w:rsid w:val="00840506"/>
    <w:rsid w:val="008E3E38"/>
    <w:rsid w:val="00943151"/>
    <w:rsid w:val="0096649F"/>
    <w:rsid w:val="00992268"/>
    <w:rsid w:val="00A30D93"/>
    <w:rsid w:val="00A47EA0"/>
    <w:rsid w:val="00AA3968"/>
    <w:rsid w:val="00AC1D72"/>
    <w:rsid w:val="00AC40A4"/>
    <w:rsid w:val="00AF07A2"/>
    <w:rsid w:val="00C04926"/>
    <w:rsid w:val="00C2634C"/>
    <w:rsid w:val="00CD5957"/>
    <w:rsid w:val="00CF48E9"/>
    <w:rsid w:val="00D056AD"/>
    <w:rsid w:val="00D33332"/>
    <w:rsid w:val="00D514AF"/>
    <w:rsid w:val="00DB6CF7"/>
    <w:rsid w:val="00DC6AFD"/>
    <w:rsid w:val="00DD4A41"/>
    <w:rsid w:val="00DF67CF"/>
    <w:rsid w:val="00E17052"/>
    <w:rsid w:val="00E262EF"/>
    <w:rsid w:val="00E30045"/>
    <w:rsid w:val="00E423DC"/>
    <w:rsid w:val="00EA0FA9"/>
    <w:rsid w:val="00EC6DF0"/>
    <w:rsid w:val="00ED3C7B"/>
    <w:rsid w:val="00EF0F87"/>
    <w:rsid w:val="00F328E1"/>
    <w:rsid w:val="00F417CB"/>
    <w:rsid w:val="00FB44BB"/>
    <w:rsid w:val="00FE3171"/>
    <w:rsid w:val="0E1958F3"/>
    <w:rsid w:val="0F027A22"/>
    <w:rsid w:val="155D0ED5"/>
    <w:rsid w:val="17BA09E5"/>
    <w:rsid w:val="1CA23428"/>
    <w:rsid w:val="1D301662"/>
    <w:rsid w:val="26274599"/>
    <w:rsid w:val="36887550"/>
    <w:rsid w:val="3B7B4415"/>
    <w:rsid w:val="46652242"/>
    <w:rsid w:val="478909A7"/>
    <w:rsid w:val="478F3CF7"/>
    <w:rsid w:val="543E18F6"/>
    <w:rsid w:val="55AD1979"/>
    <w:rsid w:val="56DD18EE"/>
    <w:rsid w:val="6BBF5ABD"/>
    <w:rsid w:val="6FC84312"/>
    <w:rsid w:val="76366437"/>
    <w:rsid w:val="79FB3107"/>
    <w:rsid w:val="7E683E22"/>
    <w:rsid w:val="FFFC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73F61"/>
  <w15:docId w15:val="{AE1B9D8A-88BB-4EDE-A2E3-8808CCEB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paragraph" w:styleId="a8">
    <w:name w:val="Title"/>
    <w:basedOn w:val="a"/>
    <w:next w:val="a"/>
    <w:link w:val="a9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文档正文"/>
    <w:basedOn w:val="a"/>
    <w:uiPriority w:val="99"/>
    <w:qFormat/>
    <w:pPr>
      <w:adjustRightInd w:val="0"/>
      <w:spacing w:line="480" w:lineRule="atLeast"/>
      <w:ind w:firstLineChars="200" w:firstLine="567"/>
      <w:textAlignment w:val="baseline"/>
    </w:pPr>
    <w:rPr>
      <w:rFonts w:ascii="长城仿宋"/>
      <w:kern w:val="0"/>
      <w:szCs w:val="20"/>
    </w:rPr>
  </w:style>
  <w:style w:type="character" w:customStyle="1" w:styleId="a9">
    <w:name w:val="标题 字符"/>
    <w:basedOn w:val="a0"/>
    <w:link w:val="a8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szCs w:val="24"/>
      <w:lang w:val="zh-CN" w:bidi="zh-CN"/>
    </w:rPr>
  </w:style>
  <w:style w:type="paragraph" w:customStyle="1" w:styleId="ad">
    <w:name w:val="表格内文字"/>
    <w:basedOn w:val="a"/>
    <w:qFormat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1256</Words>
  <Characters>1358</Characters>
  <Application>Microsoft Office Word</Application>
  <DocSecurity>0</DocSecurity>
  <Lines>123</Lines>
  <Paragraphs>174</Paragraphs>
  <ScaleCrop>false</ScaleCrop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5</cp:revision>
  <cp:lastPrinted>2024-04-26T20:07:00Z</cp:lastPrinted>
  <dcterms:created xsi:type="dcterms:W3CDTF">2025-02-08T17:41:00Z</dcterms:created>
  <dcterms:modified xsi:type="dcterms:W3CDTF">2026-06-10T08:14:00Z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8167E1EDC1DCEA8A11702B66FCD5F1A7_42</vt:lpwstr>
  </property>
  <property fmtid="{D5CDD505-2E9C-101B-9397-08002B2CF9AE}" pid="4" name="KSOTemplateDocerSaveRecord">
    <vt:lpwstr>eyJoZGlkIjoiYWNkMjE1Zjg4YzMzNTllN2Y3NmU1NjdmNjgzODZkNTgiLCJ1c2VySWQiOiI4ODEyNzQ5MjgifQ==</vt:lpwstr>
  </property>
</Properties>
</file>