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C7C7" w14:textId="77777777" w:rsidR="00C16825" w:rsidRDefault="00C16825">
      <w:pPr>
        <w:jc w:val="center"/>
        <w:rPr>
          <w:b/>
          <w:bCs/>
          <w:sz w:val="30"/>
          <w:szCs w:val="30"/>
        </w:rPr>
      </w:pPr>
    </w:p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8379"/>
      </w:tblGrid>
      <w:tr w:rsidR="00C16825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442B764D" w:rsidR="00C16825" w:rsidRDefault="00CC6EA4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CC6EA4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可加温腔镜加压冲洗系统</w:t>
            </w:r>
            <w:r w:rsidR="00000000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C16825" w14:paraId="2BD5AD4C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C16825" w:rsidRDefault="00C16825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C16825" w14:paraId="7AA11FC9" w14:textId="77777777">
        <w:trPr>
          <w:trHeight w:val="1640"/>
        </w:trPr>
        <w:tc>
          <w:tcPr>
            <w:tcW w:w="701" w:type="dxa"/>
            <w:vAlign w:val="center"/>
          </w:tcPr>
          <w:p w14:paraId="7529A8F6" w14:textId="77777777" w:rsidR="00C16825" w:rsidRDefault="00000000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8379" w:type="dxa"/>
            <w:vAlign w:val="center"/>
          </w:tcPr>
          <w:p w14:paraId="63632CA3" w14:textId="77777777" w:rsidR="00C16825" w:rsidRDefault="00000000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 xml:space="preserve">适用范围及用途：泌尿系碎石过程中，起水泵作用。 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 xml:space="preserve">                                                                       </w:t>
            </w:r>
          </w:p>
        </w:tc>
      </w:tr>
      <w:tr w:rsidR="00C16825" w14:paraId="05CE3A4A" w14:textId="77777777">
        <w:trPr>
          <w:trHeight w:val="2000"/>
        </w:trPr>
        <w:tc>
          <w:tcPr>
            <w:tcW w:w="701" w:type="dxa"/>
            <w:vAlign w:val="center"/>
          </w:tcPr>
          <w:p w14:paraId="0306CF0E" w14:textId="77777777" w:rsidR="00C16825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二</w:t>
            </w:r>
          </w:p>
        </w:tc>
        <w:tc>
          <w:tcPr>
            <w:tcW w:w="8379" w:type="dxa"/>
            <w:vAlign w:val="center"/>
          </w:tcPr>
          <w:p w14:paraId="0FB0FBFE" w14:textId="77777777" w:rsidR="00C16825" w:rsidRDefault="00000000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0"/>
                <w:szCs w:val="20"/>
                <w:lang w:bidi="ar"/>
              </w:rPr>
              <w:t>设备配置与要求：设备的标准配置及必备的配套附件。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t>1 恒温器 1台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2 灌注泵 1台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3 一次性使用加温冲洗管路 5套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4 台车 1台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5 电源线 220v 1根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 xml:space="preserve">6 </w:t>
            </w:r>
            <w:proofErr w:type="gramStart"/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t>温控线</w:t>
            </w:r>
            <w:proofErr w:type="gramEnd"/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t xml:space="preserve"> 1根                                                                          </w:t>
            </w:r>
          </w:p>
        </w:tc>
      </w:tr>
      <w:tr w:rsidR="00C16825" w14:paraId="71512BB0" w14:textId="77777777">
        <w:trPr>
          <w:trHeight w:val="2000"/>
        </w:trPr>
        <w:tc>
          <w:tcPr>
            <w:tcW w:w="701" w:type="dxa"/>
            <w:vAlign w:val="center"/>
          </w:tcPr>
          <w:p w14:paraId="00EEE6CF" w14:textId="77777777" w:rsidR="00C16825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三</w:t>
            </w:r>
          </w:p>
        </w:tc>
        <w:tc>
          <w:tcPr>
            <w:tcW w:w="8379" w:type="dxa"/>
            <w:vAlign w:val="center"/>
          </w:tcPr>
          <w:p w14:paraId="0A309616" w14:textId="77777777" w:rsidR="00C16825" w:rsidRDefault="00000000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0"/>
                <w:szCs w:val="20"/>
                <w:lang w:bidi="ar"/>
              </w:rPr>
              <w:t>技术参数与性能要求：包含设备的核心性能参数、关键的硬件配置、软件模块功能、数据与系统兼容性（产生接口费用，由投标公司承担）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 xml:space="preserve"> 一、技术参数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1.组成：由灌注泵、恒温器、一次性使用加温冲洗管路组成。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2.系统工作电源：AC220V,50Hz，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3.环境温度: +10℃～+40℃。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4.相对湿度：≤80%。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 xml:space="preserve">5.大气压强：50 </w:t>
            </w:r>
            <w:proofErr w:type="spellStart"/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t>kpa</w:t>
            </w:r>
            <w:proofErr w:type="spellEnd"/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t>～106kpa。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6.灌注泵功率≤40VA。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7.具有</w:t>
            </w:r>
            <w:proofErr w:type="gramStart"/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t>软镜和硬镜两种</w:t>
            </w:r>
            <w:proofErr w:type="gramEnd"/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t>工作模式，</w:t>
            </w:r>
            <w:proofErr w:type="gramStart"/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t>硬镜工作</w:t>
            </w:r>
            <w:proofErr w:type="gramEnd"/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t>模式具备恒流和脉冲功能。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8.冲洗压力可调节范围：5.3kpa～33.3kpa（40mmHg～250mmHg）。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9.工作流量可调节范围：（0～535）ml/min。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10.恒温器功≤率750VA。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11.温度可调节范围：25℃～37℃，精确度达0.1℃，最高温度不超过37℃。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12.恒温器控温模式采用数字显示控制系统，完全由微电脑智能控制。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13.一次性使用加温冲洗管路无菌提供，经环氧乙烷灭菌。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二、技术特点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1、灌注方式有多种工作模式设置,适应</w:t>
            </w:r>
            <w:proofErr w:type="gramStart"/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t>不同镜种的</w:t>
            </w:r>
            <w:proofErr w:type="gramEnd"/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t>使用。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2、设备液晶显示屏数字化颜色动态智能显示。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3、恒温器安全模块控制单元通过反馈保护装置实时采集</w:t>
            </w:r>
            <w:proofErr w:type="gramStart"/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t>体关键</w:t>
            </w:r>
            <w:proofErr w:type="gramEnd"/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t>数据进行分析处理，及时自动控制加温启动、暂停、报警和停止操作。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4、可加温腔镜加压冲洗系统智能加温加压，在保证手术安全情况下、低水压、低水量、仍能保持视野清晰。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5、可加温腔镜加压冲洗系统在水压、水流、水温恒定的情况下，接近人体温度保证护术中病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lastRenderedPageBreak/>
              <w:t>人的舒适度,手术恢复时间缩短。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6、灌注泵压力数值调节最小单位为1mmHg，流量数值调节最小值为10ml/min以达到精确</w:t>
            </w:r>
            <w:proofErr w:type="gramStart"/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t>控压控流</w:t>
            </w:r>
            <w:proofErr w:type="gramEnd"/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t>的要求。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>7、恒温器温度数值可调节最小单位为0.1℃，以达到精确控温要求。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0"/>
                <w:szCs w:val="20"/>
                <w:lang w:bidi="ar"/>
              </w:rPr>
              <w:br/>
              <w:t xml:space="preserve">8、配套的一次性使用加温冲洗管路采用水气分离专利技术，使管路与主机压力传感器无菌隔离，预防交叉感染。                                                              </w:t>
            </w:r>
          </w:p>
        </w:tc>
      </w:tr>
      <w:tr w:rsidR="00C16825" w14:paraId="1F8C2C57" w14:textId="77777777">
        <w:trPr>
          <w:trHeight w:val="2000"/>
        </w:trPr>
        <w:tc>
          <w:tcPr>
            <w:tcW w:w="701" w:type="dxa"/>
            <w:vAlign w:val="center"/>
          </w:tcPr>
          <w:p w14:paraId="109E36B5" w14:textId="77777777" w:rsidR="00C16825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lastRenderedPageBreak/>
              <w:t>四</w:t>
            </w:r>
          </w:p>
        </w:tc>
        <w:tc>
          <w:tcPr>
            <w:tcW w:w="8379" w:type="dxa"/>
            <w:vAlign w:val="center"/>
          </w:tcPr>
          <w:p w14:paraId="3459AA9C" w14:textId="290C4856" w:rsidR="00C16825" w:rsidRDefault="00000000">
            <w:pPr>
              <w:widowControl/>
              <w:jc w:val="left"/>
              <w:textAlignment w:val="center"/>
            </w:pPr>
            <w:r>
              <w:rPr>
                <w:rStyle w:val="font121"/>
                <w:rFonts w:hint="default"/>
                <w:lang w:bidi="ar"/>
              </w:rPr>
              <w:t>配套试剂</w:t>
            </w:r>
            <w:r>
              <w:rPr>
                <w:rStyle w:val="font131"/>
                <w:lang w:bidi="ar"/>
              </w:rPr>
              <w:t>/</w:t>
            </w:r>
            <w:r>
              <w:rPr>
                <w:rStyle w:val="font121"/>
                <w:rFonts w:hint="default"/>
                <w:lang w:bidi="ar"/>
              </w:rPr>
              <w:t xml:space="preserve">耗材要求：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C16825" w14:paraId="24CC56E9" w14:textId="77777777">
        <w:trPr>
          <w:trHeight w:val="2000"/>
        </w:trPr>
        <w:tc>
          <w:tcPr>
            <w:tcW w:w="701" w:type="dxa"/>
            <w:vAlign w:val="center"/>
          </w:tcPr>
          <w:p w14:paraId="54A92E24" w14:textId="77777777" w:rsidR="00C16825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五</w:t>
            </w:r>
          </w:p>
        </w:tc>
        <w:tc>
          <w:tcPr>
            <w:tcW w:w="8379" w:type="dxa"/>
            <w:shd w:val="clear" w:color="auto" w:fill="FFFFFF"/>
            <w:vAlign w:val="center"/>
          </w:tcPr>
          <w:p w14:paraId="39DE99A7" w14:textId="77777777" w:rsidR="00C16825" w:rsidRDefault="00000000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售后服务要求（免费保修期≥__</w:t>
            </w:r>
            <w:r>
              <w:rPr>
                <w:rStyle w:val="font141"/>
                <w:rFonts w:hint="default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__年，现场响应时间：≤__</w:t>
            </w:r>
            <w:r>
              <w:rPr>
                <w:rStyle w:val="font141"/>
                <w:rFonts w:hint="default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__小时，维修期间提供备用机，设备技术培训，设备使用年限≥____年等）</w:t>
            </w:r>
          </w:p>
        </w:tc>
      </w:tr>
      <w:tr w:rsidR="00C16825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77777777" w:rsidR="00C16825" w:rsidRDefault="00000000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</w:t>
            </w:r>
            <w:proofErr w:type="gramStart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做废</w:t>
            </w:r>
            <w:proofErr w:type="gramEnd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0061D8B1" w14:textId="77777777" w:rsidR="00C16825" w:rsidRDefault="00C16825"/>
    <w:sectPr w:rsidR="00C16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var ( --dsw-font-markdown-table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C16825"/>
    <w:rsid w:val="002E3ACD"/>
    <w:rsid w:val="00C16825"/>
    <w:rsid w:val="00CC6EA4"/>
    <w:rsid w:val="052615FE"/>
    <w:rsid w:val="055C1AD8"/>
    <w:rsid w:val="0839318B"/>
    <w:rsid w:val="0A9B415C"/>
    <w:rsid w:val="0FE070E2"/>
    <w:rsid w:val="106946FA"/>
    <w:rsid w:val="122D4A14"/>
    <w:rsid w:val="13702473"/>
    <w:rsid w:val="14C0309A"/>
    <w:rsid w:val="15840859"/>
    <w:rsid w:val="161F0A58"/>
    <w:rsid w:val="18065216"/>
    <w:rsid w:val="197E0A92"/>
    <w:rsid w:val="1BC2741A"/>
    <w:rsid w:val="1BE453D0"/>
    <w:rsid w:val="1BF146E6"/>
    <w:rsid w:val="1C864BDA"/>
    <w:rsid w:val="1FD7404C"/>
    <w:rsid w:val="23CA19C3"/>
    <w:rsid w:val="26A1116C"/>
    <w:rsid w:val="276F6341"/>
    <w:rsid w:val="2811394C"/>
    <w:rsid w:val="2C470AB3"/>
    <w:rsid w:val="2E855ADF"/>
    <w:rsid w:val="2EEB0D06"/>
    <w:rsid w:val="303C51B0"/>
    <w:rsid w:val="304212B8"/>
    <w:rsid w:val="30527354"/>
    <w:rsid w:val="34083F6D"/>
    <w:rsid w:val="340A2063"/>
    <w:rsid w:val="34336FAF"/>
    <w:rsid w:val="37DC2334"/>
    <w:rsid w:val="385C3F07"/>
    <w:rsid w:val="3BB70085"/>
    <w:rsid w:val="3DF022AF"/>
    <w:rsid w:val="45693CEF"/>
    <w:rsid w:val="46205A1C"/>
    <w:rsid w:val="48D86E8E"/>
    <w:rsid w:val="49942AC5"/>
    <w:rsid w:val="49965FC8"/>
    <w:rsid w:val="4E5A531C"/>
    <w:rsid w:val="4FAB39C4"/>
    <w:rsid w:val="503E2F33"/>
    <w:rsid w:val="504C354E"/>
    <w:rsid w:val="50E90E4D"/>
    <w:rsid w:val="51CB3123"/>
    <w:rsid w:val="55A463B5"/>
    <w:rsid w:val="577325B6"/>
    <w:rsid w:val="583C0450"/>
    <w:rsid w:val="59B5223B"/>
    <w:rsid w:val="5D8F5D8E"/>
    <w:rsid w:val="5E17116A"/>
    <w:rsid w:val="6142619F"/>
    <w:rsid w:val="62115573"/>
    <w:rsid w:val="62BB5B68"/>
    <w:rsid w:val="65374A9B"/>
    <w:rsid w:val="65DB0E2C"/>
    <w:rsid w:val="68045EB2"/>
    <w:rsid w:val="68D73C8C"/>
    <w:rsid w:val="6C734478"/>
    <w:rsid w:val="6E9A0985"/>
    <w:rsid w:val="6F83507F"/>
    <w:rsid w:val="6FB33650"/>
    <w:rsid w:val="6FEF5A34"/>
    <w:rsid w:val="6FFD6F48"/>
    <w:rsid w:val="72721ECF"/>
    <w:rsid w:val="73BC69EE"/>
    <w:rsid w:val="73FC77D8"/>
    <w:rsid w:val="76041DAB"/>
    <w:rsid w:val="7AA26CC1"/>
    <w:rsid w:val="7CC20EBA"/>
    <w:rsid w:val="7E425EB3"/>
    <w:rsid w:val="7EC8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A2072"/>
  <w15:docId w15:val="{4E24BAC1-C832-4A5F-A567-94C90503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2">
    <w:name w:val="font12"/>
    <w:basedOn w:val="a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11">
    <w:name w:val="font111"/>
    <w:basedOn w:val="a0"/>
    <w:rPr>
      <w:rFonts w:ascii="Calibri" w:hAnsi="Calibri" w:cs="Calibri"/>
      <w:color w:val="0F1115"/>
      <w:sz w:val="24"/>
      <w:szCs w:val="24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21">
    <w:name w:val="font121"/>
    <w:basedOn w:val="a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31">
    <w:name w:val="font131"/>
    <w:basedOn w:val="a0"/>
    <w:rPr>
      <w:rFonts w:ascii="var ( --dsw-font-markdown-table" w:eastAsia="var ( --dsw-font-markdown-table" w:hAnsi="var ( --dsw-font-markdown-table" w:cs="var ( --dsw-font-markdown-table"/>
      <w:b/>
      <w:bCs/>
      <w:color w:val="000000"/>
      <w:sz w:val="24"/>
      <w:szCs w:val="24"/>
      <w:u w:val="none"/>
    </w:rPr>
  </w:style>
  <w:style w:type="character" w:customStyle="1" w:styleId="font141">
    <w:name w:val="font141"/>
    <w:basedOn w:val="a0"/>
    <w:rPr>
      <w:rFonts w:ascii="宋体" w:eastAsia="宋体" w:hAnsi="宋体" w:cs="宋体" w:hint="eastAsia"/>
      <w:b/>
      <w:bCs/>
      <w:color w:val="0F1115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680</Characters>
  <Application>Microsoft Office Word</Application>
  <DocSecurity>0</DocSecurity>
  <Lines>40</Lines>
  <Paragraphs>19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2</cp:revision>
  <dcterms:created xsi:type="dcterms:W3CDTF">2026-02-23T07:12:00Z</dcterms:created>
  <dcterms:modified xsi:type="dcterms:W3CDTF">2026-06-09T06:36:00Z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eyJoZGlkIjoiYWNkMjE1Zjg4YzMzNTllN2Y3NmU1NjdmNjgzODZkNTgiLCJ1c2VySWQiOiI4ODEyNzQ5MjgifQ==</vt:lpwstr>
  </property>
  <property fmtid="{D5CDD505-2E9C-101B-9397-08002B2CF9AE}" pid="4" name="ICV">
    <vt:lpwstr>0CE6D2431A5841CFBFEC27E9A6BAEC2E_13</vt:lpwstr>
  </property>
</Properties>
</file>