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C13430" w:rsidRDefault="00C13430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C13430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35B7DCF5" w:rsidR="00C13430" w:rsidRDefault="00614408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614408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内窥镜用超声诊断设备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C13430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C13430" w:rsidRDefault="00C13430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C13430" w14:paraId="18DD7D40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C13430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355F3EC1" w14:textId="77777777" w:rsidR="00C13430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1.确定消化道粘膜下肿瘤的起源与性质。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2.判断消化系肿瘤的侵犯深度及手术切除的可能性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3.胆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胰系统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肿瘤筛查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4.慢性胰腺炎诊断</w:t>
            </w:r>
          </w:p>
        </w:tc>
      </w:tr>
      <w:tr w:rsidR="00C13430" w14:paraId="2841EE81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C1343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546333F6" w14:textId="77777777" w:rsidR="00C13430" w:rsidRDefault="00000000">
            <w:pPr>
              <w:widowControl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1.超声处理软件1套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2.超声主机一台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3.推车1台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4.探头驱动器1个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5.双频12MHz+20MHz变频探头2根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6.双频胆胰探头1根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7.专用键盘1个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8.驱动器支臂1个</w:t>
            </w:r>
          </w:p>
        </w:tc>
      </w:tr>
      <w:tr w:rsidR="00C13430" w14:paraId="00EAB9F1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C1343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5BF229B3" w14:textId="77777777" w:rsidR="00C1343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1.成像模式：B模式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2.▲产品形态：一体便携式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3.图像旋转：在图像冻结状态下，支持360°任意方向、角度旋转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▲图像回放：可实现≥1500帧图像回放。图像回放帧数直接影响动态影像的连续性，较高的帧数可更精准捕捉病变的实时动态特征，为提升诊断准确性、降低漏诊风险并辅助术中精准定位与评估，图像回放帧数越高越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5.图像标注：在图像冻结状态下，支持在图像上进行箭头和文字标注操作，单幅图像≥26组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6.长度测量：在图像冻结状态下，支持单幅图像上两点之间长度测量≥26组，通过多维度采样显著提升病变范围量化精度，降低单次测量误差导致的误判风险，为精准分期、手术规划及疗效评估提供统计学支持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7.▲面积和周长测量：在图像冻结状态下，支持单幅图像上周长和面积测量数据≥26组，多维度的数据帮助医生精准诊断病情、制定个性化治疗方案、评估治疗效果、赋能教学与科研等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8.TGC分段增益：支持≥8段TGC明暗调节功能，每段1-20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档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超声图像增益可调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9.对比度：支持1-10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档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超声图像对比度可调，通过多层级灰度区分强化组织界面辨识度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10.画中画：支持超声图像和内镜图像的同屏同步同尺寸实时显示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11.超声图像支持灰阶图、伪彩图，增加对灰阶超声图像的视觉分辨率，有效减少黏膜早期癌变的漏诊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12.4B模式：支持4幅图像同时显示，每幅图像均可独立进行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切帧显示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13.局部放大：支持图像局部放大，呈现更清晰的组织细节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.▲双幅成像：支持同屏同时显示中心频率为12MHz和20MHz的一幅冻结图像及一幅激活图像，既能清晰勾勒出脏器深层组织以及远处病灶轮廓，又可精准捕捉消化道壁的细微结构变化，快速甄别出病变的位置、大小、深度、性质等关键要素，精准判断病情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15.内置存储硬盘≥1TB，支持存储手术视频录像，方便术后复查及病例追溯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16.患者检查信息管理：支持对患者检查信息库进行检索、查看、编辑、保存、 预览、报告打印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17.患者检查信息传输：支持DIC0M标准协议，通过网络可传输患者检查信息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18.▲快速标记：可以设置并使用自定义按键，在图像上可快速进行标识，并支持标识编辑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19.▲应用场景：可根据不同的用户习惯设置不同的默认参数，最多可设置20组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20.数据接口：传输协议支持USB2.0、USB 3.0、TCP/IP、DIC0M协议；存储格式支持BMP、PNG、JPG、TIFF、Run（AVI、WMV）、DICOMDIR等格式，视频输出支持HDMI、SDI、DP、S-Vide、CVBS等多种模式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21.记录回放原始数据：支持记录和回放采集到的超声原始数据，可在离线模式下使用范围调节、对比度调节、TGC调节、标注、测量功能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22.▲支持一键切换两种探头频率，不用更换探头，完成“从表及里”的全面评估满足对消化道肿瘤精准的分期诊断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23.▲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二维码报告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：支持将超声图像和报告生成二维码，在区域平台协作项目中通过加密整合影像、诊断及操作数据并一键生成电子标识，实现诊疗信息安全高效跨平台协作，减少人工误差并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优化全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流程管理，需要网络支持。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24.▲内置可充电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锂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离子电池，充满最长待机90分钟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25.▲支持轨迹球和手势操作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26.兼容性：兼容消化、变频消化、小肠、胆胰、变频胆胰探头，满足多场景应用需求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27.▲主机使用年限≥10年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内窥镜用超声探头：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▲变频消化超声探头1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工作频率：12MHz+20MHz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±10%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，支持两个频率一键切换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图像几何畸变：≤10%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扫描角度：环形360°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工作长度：2100mm±10%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探头外径：≤2.5mm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▲胆胰超声探头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工作频率：20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±10%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MHz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图像几何畸变：≤10%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扫描角度：环形360°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工作长度：2100mm±10%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兼容导丝：标称直径≤0.035inch（0.89mm）的斑马导丝</w:t>
            </w:r>
          </w:p>
          <w:p w14:paraId="0B6650B0" w14:textId="77777777" w:rsidR="00C13430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28.如产生接口费用，由投标公司承担。</w:t>
            </w:r>
          </w:p>
        </w:tc>
      </w:tr>
      <w:tr w:rsidR="00C13430" w14:paraId="3D8FCE76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C1343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2375544C" w14:textId="77777777" w:rsidR="00C13430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配套试剂/耗材要求：无</w:t>
            </w:r>
          </w:p>
        </w:tc>
      </w:tr>
      <w:tr w:rsidR="00C13430" w14:paraId="3B6BE54E" w14:textId="77777777">
        <w:trPr>
          <w:trHeight w:val="2000"/>
        </w:trPr>
        <w:tc>
          <w:tcPr>
            <w:tcW w:w="701" w:type="dxa"/>
            <w:vAlign w:val="center"/>
          </w:tcPr>
          <w:p w14:paraId="7D1DF1A4" w14:textId="77777777" w:rsidR="00C1343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C13430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售后服务要求（免费保修期：自货物验收合格之日起，内窥镜用超声诊断设备主机及探头驱动器质保期为12个月， 配件质保期为3个月，内窥镜用超声探头质保期为3个月或使用50次内(以先到为准),质保期满后，可提供终身维修现场响应时间：≤__24__小时，维修期间可供备用机，设备技术培训，设备使用年限≥__10__年）</w:t>
            </w:r>
          </w:p>
        </w:tc>
      </w:tr>
      <w:tr w:rsidR="00C13430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C13430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C13430" w:rsidRDefault="00C13430"/>
    <w:sectPr w:rsidR="00C13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B66E" w14:textId="77777777" w:rsidR="008901B4" w:rsidRDefault="008901B4" w:rsidP="00614408">
      <w:r>
        <w:separator/>
      </w:r>
    </w:p>
  </w:endnote>
  <w:endnote w:type="continuationSeparator" w:id="0">
    <w:p w14:paraId="4C01EFAA" w14:textId="77777777" w:rsidR="008901B4" w:rsidRDefault="008901B4" w:rsidP="0061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var ( --dsw-font-markdown-tabl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B1D6" w14:textId="77777777" w:rsidR="008901B4" w:rsidRDefault="008901B4" w:rsidP="00614408">
      <w:r>
        <w:separator/>
      </w:r>
    </w:p>
  </w:footnote>
  <w:footnote w:type="continuationSeparator" w:id="0">
    <w:p w14:paraId="1D7DAEC9" w14:textId="77777777" w:rsidR="008901B4" w:rsidRDefault="008901B4" w:rsidP="00614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172A27"/>
    <w:rsid w:val="00172A27"/>
    <w:rsid w:val="00614408"/>
    <w:rsid w:val="00756EA6"/>
    <w:rsid w:val="008901B4"/>
    <w:rsid w:val="00A04A38"/>
    <w:rsid w:val="00A8590B"/>
    <w:rsid w:val="00AB6394"/>
    <w:rsid w:val="00C13430"/>
    <w:rsid w:val="063D464A"/>
    <w:rsid w:val="091E2504"/>
    <w:rsid w:val="0A9B415C"/>
    <w:rsid w:val="0BEC359B"/>
    <w:rsid w:val="0FE070E2"/>
    <w:rsid w:val="18065216"/>
    <w:rsid w:val="197E0A92"/>
    <w:rsid w:val="223D47BB"/>
    <w:rsid w:val="237C76C6"/>
    <w:rsid w:val="284827A1"/>
    <w:rsid w:val="293F2D39"/>
    <w:rsid w:val="340A2063"/>
    <w:rsid w:val="36F210B1"/>
    <w:rsid w:val="3FB5435F"/>
    <w:rsid w:val="40900279"/>
    <w:rsid w:val="4D5369C5"/>
    <w:rsid w:val="4D5A1EF6"/>
    <w:rsid w:val="4E8770E5"/>
    <w:rsid w:val="53AB0651"/>
    <w:rsid w:val="55A463B5"/>
    <w:rsid w:val="5A145AD8"/>
    <w:rsid w:val="5FC86933"/>
    <w:rsid w:val="62BB5B68"/>
    <w:rsid w:val="64465512"/>
    <w:rsid w:val="76787B6C"/>
    <w:rsid w:val="7F73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B3A48"/>
  <w15:docId w15:val="{2CDEC8FE-32D8-494C-B2FA-57108D8F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F1115"/>
      <w:sz w:val="24"/>
      <w:szCs w:val="24"/>
      <w:u w:val="none"/>
    </w:rPr>
  </w:style>
  <w:style w:type="character" w:customStyle="1" w:styleId="font131">
    <w:name w:val="font131"/>
    <w:basedOn w:val="a0"/>
    <w:rPr>
      <w:rFonts w:ascii="宋体" w:eastAsia="宋体" w:hAnsi="宋体" w:cs="宋体" w:hint="eastAsia"/>
      <w:b/>
      <w:bCs/>
      <w:color w:val="0F1115"/>
      <w:sz w:val="18"/>
      <w:szCs w:val="18"/>
      <w:u w:val="none"/>
    </w:rPr>
  </w:style>
  <w:style w:type="character" w:customStyle="1" w:styleId="font141">
    <w:name w:val="font141"/>
    <w:basedOn w:val="a0"/>
    <w:rPr>
      <w:rFonts w:ascii="宋体" w:eastAsia="宋体" w:hAnsi="宋体" w:cs="宋体" w:hint="eastAsia"/>
      <w:color w:val="0F1115"/>
      <w:sz w:val="18"/>
      <w:szCs w:val="18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F1115"/>
      <w:sz w:val="16"/>
      <w:szCs w:val="16"/>
      <w:u w:val="none"/>
    </w:rPr>
  </w:style>
  <w:style w:type="character" w:customStyle="1" w:styleId="font151">
    <w:name w:val="font151"/>
    <w:basedOn w:val="a0"/>
    <w:rPr>
      <w:rFonts w:ascii="宋体" w:eastAsia="宋体" w:hAnsi="宋体" w:cs="宋体" w:hint="eastAsia"/>
      <w:b/>
      <w:bCs/>
      <w:color w:val="0F1115"/>
      <w:sz w:val="16"/>
      <w:szCs w:val="16"/>
      <w:u w:val="none"/>
    </w:rPr>
  </w:style>
  <w:style w:type="character" w:customStyle="1" w:styleId="font161">
    <w:name w:val="font161"/>
    <w:basedOn w:val="a0"/>
    <w:rPr>
      <w:rFonts w:ascii="宋体" w:eastAsia="宋体" w:hAnsi="宋体" w:cs="宋体" w:hint="eastAsia"/>
      <w:b/>
      <w:bCs/>
      <w:color w:val="000000"/>
      <w:sz w:val="16"/>
      <w:szCs w:val="16"/>
      <w:u w:val="none"/>
    </w:rPr>
  </w:style>
  <w:style w:type="character" w:customStyle="1" w:styleId="font171">
    <w:name w:val="font171"/>
    <w:basedOn w:val="a0"/>
    <w:rPr>
      <w:rFonts w:ascii="宋体" w:eastAsia="宋体" w:hAnsi="宋体" w:cs="宋体" w:hint="eastAsia"/>
      <w:color w:val="FF0000"/>
      <w:sz w:val="16"/>
      <w:szCs w:val="16"/>
      <w:u w:val="none"/>
    </w:rPr>
  </w:style>
  <w:style w:type="character" w:customStyle="1" w:styleId="font181">
    <w:name w:val="font181"/>
    <w:basedOn w:val="a0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91">
    <w:name w:val="font191"/>
    <w:basedOn w:val="a0"/>
    <w:rPr>
      <w:rFonts w:ascii="宋体" w:eastAsia="宋体" w:hAnsi="宋体" w:cs="宋体" w:hint="eastAsia"/>
      <w:b/>
      <w:bCs/>
      <w:color w:val="FF0000"/>
      <w:sz w:val="16"/>
      <w:szCs w:val="16"/>
      <w:u w:val="none"/>
    </w:rPr>
  </w:style>
  <w:style w:type="character" w:customStyle="1" w:styleId="font121">
    <w:name w:val="font121"/>
    <w:basedOn w:val="a0"/>
    <w:rPr>
      <w:rFonts w:ascii="var ( --dsw-font-markdown-table" w:eastAsia="var ( --dsw-font-markdown-table" w:hAnsi="var ( --dsw-font-markdown-table" w:cs="var ( --dsw-font-markdown-table"/>
      <w:color w:val="000000"/>
      <w:sz w:val="24"/>
      <w:szCs w:val="24"/>
      <w:u w:val="none"/>
    </w:rPr>
  </w:style>
  <w:style w:type="character" w:customStyle="1" w:styleId="font201">
    <w:name w:val="font201"/>
    <w:basedOn w:val="a0"/>
    <w:rPr>
      <w:rFonts w:ascii="宋体" w:eastAsia="宋体" w:hAnsi="宋体" w:cs="宋体" w:hint="eastAsia"/>
      <w:color w:val="0F1115"/>
      <w:sz w:val="24"/>
      <w:szCs w:val="24"/>
      <w:u w:val="single"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951</Words>
  <Characters>1086</Characters>
  <Application>Microsoft Office Word</Application>
  <DocSecurity>0</DocSecurity>
  <Lines>57</Lines>
  <Paragraphs>18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2026-06-04T08:32:00Z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eyJoZGlkIjoiZjIzMDM5NDcyM2Q5YWFhMzRlNDNkYjMwMTNiMjM0ZjciLCJ1c2VySWQiOiI1Mzg1NDA0MDAifQ==</vt:lpwstr>
  </property>
  <property fmtid="{D5CDD505-2E9C-101B-9397-08002B2CF9AE}" pid="4" name="ICV">
    <vt:lpwstr>2DE63ADBA1A64EFAA8A1D85947963BCC_13</vt:lpwstr>
  </property>
</Properties>
</file>