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198A" w14:textId="77777777" w:rsidR="00F91043" w:rsidRDefault="00000000">
      <w:pPr>
        <w:pStyle w:val="a3"/>
        <w:spacing w:before="382" w:line="288" w:lineRule="auto"/>
        <w:jc w:val="center"/>
        <w:outlineLvl w:val="0"/>
        <w:rPr>
          <w:rFonts w:ascii="Arial" w:hint="eastAsia"/>
          <w:sz w:val="21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spacing w:val="-1"/>
          <w:sz w:val="40"/>
          <w:szCs w:val="40"/>
          <w:lang w:eastAsia="zh-CN"/>
        </w:rPr>
        <w:t>中药代煎、配送及膏方服务需求参数</w:t>
      </w:r>
    </w:p>
    <w:p w14:paraId="6A23AF2D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一</w:t>
      </w:r>
      <w:r>
        <w:rPr>
          <w:rFonts w:ascii="仿宋_GB2312" w:eastAsia="仿宋_GB2312" w:hAnsi="仿宋_GB2312" w:cs="仿宋_GB2312" w:hint="eastAsia"/>
          <w:b/>
          <w:bCs/>
          <w:spacing w:val="69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项目概况与适用范围</w:t>
      </w:r>
    </w:p>
    <w:p w14:paraId="76044EB3" w14:textId="77777777" w:rsidR="00F91043" w:rsidRDefault="00000000">
      <w:pPr>
        <w:pStyle w:val="a3"/>
        <w:spacing w:before="106" w:line="288" w:lineRule="auto"/>
        <w:ind w:right="13" w:firstLineChars="200" w:firstLine="474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24"/>
          <w:szCs w:val="24"/>
          <w:lang w:eastAsia="zh-CN"/>
        </w:rPr>
        <w:t>【采购人】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桂林医科大学第一附属医院</w:t>
      </w:r>
    </w:p>
    <w:p w14:paraId="1E4C24D0" w14:textId="77777777" w:rsidR="00F91043" w:rsidRDefault="00000000">
      <w:pPr>
        <w:pStyle w:val="a3"/>
        <w:spacing w:before="106" w:line="288" w:lineRule="auto"/>
        <w:ind w:right="13" w:firstLineChars="200" w:firstLine="474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24"/>
          <w:szCs w:val="24"/>
          <w:lang w:eastAsia="zh-CN"/>
        </w:rPr>
        <w:t>【服务地点】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乐群院区 、漓东院区</w:t>
      </w:r>
    </w:p>
    <w:p w14:paraId="6A2CF5BC" w14:textId="77777777" w:rsidR="00F91043" w:rsidRDefault="00000000">
      <w:pPr>
        <w:pStyle w:val="a3"/>
        <w:spacing w:before="106" w:line="288" w:lineRule="auto"/>
        <w:ind w:right="13" w:firstLineChars="200" w:firstLine="474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24"/>
          <w:szCs w:val="24"/>
          <w:lang w:eastAsia="zh-CN"/>
        </w:rPr>
        <w:t>【服务期限】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1年</w:t>
      </w:r>
    </w:p>
    <w:p w14:paraId="59DC13A6" w14:textId="77777777" w:rsidR="00F91043" w:rsidRDefault="00000000">
      <w:pPr>
        <w:pStyle w:val="a3"/>
        <w:spacing w:before="106" w:line="288" w:lineRule="auto"/>
        <w:ind w:right="13" w:firstLineChars="200" w:firstLine="474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24"/>
          <w:szCs w:val="24"/>
          <w:lang w:eastAsia="zh-CN"/>
        </w:rPr>
        <w:t>【结算方式】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最终费用由双方按实际发生数量进行定期结算：</w:t>
      </w:r>
    </w:p>
    <w:p w14:paraId="6AEAA5C9" w14:textId="77777777" w:rsidR="00F91043" w:rsidRDefault="00000000">
      <w:pPr>
        <w:pStyle w:val="a3"/>
        <w:spacing w:before="106" w:line="288" w:lineRule="auto"/>
        <w:ind w:right="13" w:firstLineChars="200" w:firstLine="472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(1)代煎服务费=实际中药饮片处方付（剂）数×中标代煎服务费单价；</w:t>
      </w:r>
    </w:p>
    <w:p w14:paraId="46E71218" w14:textId="77777777" w:rsidR="00F91043" w:rsidRDefault="00000000">
      <w:pPr>
        <w:pStyle w:val="a3"/>
        <w:spacing w:before="106" w:line="288" w:lineRule="auto"/>
        <w:ind w:right="13" w:firstLineChars="200" w:firstLine="472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(2)膏方制作服务费=实际中药膏方处方付（剂）数×中标制作服务费单价。</w:t>
      </w:r>
    </w:p>
    <w:p w14:paraId="29AE0926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 xml:space="preserve">二、服务商资格条件 </w:t>
      </w:r>
    </w:p>
    <w:p w14:paraId="14A1B5E6" w14:textId="77777777" w:rsidR="00F91043" w:rsidRDefault="00000000">
      <w:pPr>
        <w:pStyle w:val="a3"/>
        <w:spacing w:before="120" w:line="288" w:lineRule="auto"/>
        <w:ind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（一）基本资格</w:t>
      </w:r>
    </w:p>
    <w:p w14:paraId="1ACBE9C9" w14:textId="77777777" w:rsidR="00F91043" w:rsidRDefault="00000000">
      <w:pPr>
        <w:pStyle w:val="a3"/>
        <w:spacing w:before="10" w:line="288" w:lineRule="auto"/>
        <w:ind w:right="13" w:firstLineChars="200" w:firstLine="472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(1)具有中药饮片调剂及中药煎煮中心，严格根据《药品经营质量管理规范》、《药品生产质量管理规范》、《医院中药饮片管理规范》、《医疗机构中药煎药室管理规范》、《中医养生保健技术操作规范（Ⅱ）膏方》、《国家药品包装容器（材料）标准》等相关法律法规的要求，进行中药饮片的调剂与代煎、中药膏方的制作以及配送等工作；</w:t>
      </w:r>
    </w:p>
    <w:p w14:paraId="1BD48476" w14:textId="77777777" w:rsidR="00F91043" w:rsidRDefault="00000000">
      <w:pPr>
        <w:pStyle w:val="a3"/>
        <w:spacing w:before="10" w:line="288" w:lineRule="auto"/>
        <w:ind w:right="13" w:firstLineChars="200" w:firstLine="472"/>
        <w:jc w:val="both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(2)中药饮片储存和调配、煎煮、膏方制作、配送所使用的场地、设备、环境卫生和人员资质等符合国家相关法律法规的要求，保障中药饮片质量储存要求。</w:t>
      </w:r>
    </w:p>
    <w:p w14:paraId="42EA5E6F" w14:textId="77777777" w:rsidR="00F91043" w:rsidRDefault="00000000">
      <w:pPr>
        <w:pStyle w:val="a3"/>
        <w:spacing w:before="120" w:line="288" w:lineRule="auto"/>
        <w:ind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（二）特定资质</w:t>
      </w:r>
    </w:p>
    <w:p w14:paraId="3435B1AD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spacing w:val="-4"/>
          <w:sz w:val="24"/>
          <w:szCs w:val="24"/>
          <w:highlight w:val="yellow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(1)须持有《药品经营许可证》（经营方式含“批发”）或《药品生产许可证》；</w:t>
      </w:r>
    </w:p>
    <w:p w14:paraId="0AEDFC2A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(2)近三年未发生重大质量安全事故；</w:t>
      </w:r>
    </w:p>
    <w:p w14:paraId="66EF8137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color w:val="7030A0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7030A0"/>
          <w:spacing w:val="-4"/>
          <w:sz w:val="24"/>
          <w:szCs w:val="24"/>
          <w:lang w:eastAsia="zh-CN"/>
        </w:rPr>
        <w:t>(3)本项目不得转包或违法分包。</w:t>
      </w:r>
    </w:p>
    <w:p w14:paraId="0D3D1066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bookmarkStart w:id="0" w:name="OLE_LINK2"/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 xml:space="preserve">三、技术与服务要求 </w:t>
      </w:r>
    </w:p>
    <w:bookmarkEnd w:id="0"/>
    <w:p w14:paraId="7AAABE5E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（一）仓储与场地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9"/>
        <w:gridCol w:w="6473"/>
      </w:tblGrid>
      <w:tr w:rsidR="00F91043" w14:paraId="301123CE" w14:textId="77777777">
        <w:tc>
          <w:tcPr>
            <w:tcW w:w="2079" w:type="dxa"/>
          </w:tcPr>
          <w:p w14:paraId="03560786" w14:textId="77777777" w:rsidR="00F91043" w:rsidRDefault="00000000">
            <w:pPr>
              <w:pStyle w:val="a3"/>
              <w:widowControl/>
              <w:spacing w:before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不同区域</w:t>
            </w:r>
          </w:p>
        </w:tc>
        <w:tc>
          <w:tcPr>
            <w:tcW w:w="6473" w:type="dxa"/>
          </w:tcPr>
          <w:p w14:paraId="166B5E66" w14:textId="77777777" w:rsidR="00F91043" w:rsidRDefault="00000000">
            <w:pPr>
              <w:pStyle w:val="a3"/>
              <w:widowControl/>
              <w:spacing w:before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场地要求</w:t>
            </w:r>
          </w:p>
        </w:tc>
      </w:tr>
      <w:tr w:rsidR="00F91043" w14:paraId="37A67BB4" w14:textId="77777777">
        <w:tc>
          <w:tcPr>
            <w:tcW w:w="2079" w:type="dxa"/>
          </w:tcPr>
          <w:p w14:paraId="1C976AE2" w14:textId="77777777" w:rsidR="00F91043" w:rsidRDefault="00000000">
            <w:pPr>
              <w:pStyle w:val="a3"/>
              <w:widowControl/>
              <w:spacing w:before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煎药场地</w:t>
            </w:r>
          </w:p>
        </w:tc>
        <w:tc>
          <w:tcPr>
            <w:tcW w:w="6473" w:type="dxa"/>
          </w:tcPr>
          <w:p w14:paraId="77EC19CB" w14:textId="77777777" w:rsidR="00F91043" w:rsidRDefault="00000000">
            <w:pPr>
              <w:pStyle w:val="a3"/>
              <w:widowControl/>
              <w:spacing w:before="120" w:line="288" w:lineRule="auto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面积不小于800平方米，布局合理，设置独立操作区、浸泡区、煎煮区、清洗区、储药区、更衣室等，外用药、妊娠用药专用煎药机并分区标识。</w:t>
            </w:r>
          </w:p>
        </w:tc>
      </w:tr>
      <w:tr w:rsidR="00F91043" w14:paraId="34DD140B" w14:textId="77777777">
        <w:tc>
          <w:tcPr>
            <w:tcW w:w="2079" w:type="dxa"/>
          </w:tcPr>
          <w:p w14:paraId="08E48515" w14:textId="77777777" w:rsidR="00F91043" w:rsidRDefault="00000000">
            <w:pPr>
              <w:pStyle w:val="a3"/>
              <w:widowControl/>
              <w:spacing w:before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分拣场地</w:t>
            </w:r>
          </w:p>
        </w:tc>
        <w:tc>
          <w:tcPr>
            <w:tcW w:w="6473" w:type="dxa"/>
          </w:tcPr>
          <w:p w14:paraId="41D21E31" w14:textId="77777777" w:rsidR="00F91043" w:rsidRDefault="00000000">
            <w:pPr>
              <w:pStyle w:val="a3"/>
              <w:widowControl/>
              <w:spacing w:before="120" w:line="288" w:lineRule="auto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面积不小于</w:t>
            </w:r>
            <w:r>
              <w:rPr>
                <w:rFonts w:ascii="仿宋_GB2312" w:eastAsia="仿宋_GB2312" w:hAnsi="仿宋_GB2312" w:cs="仿宋_GB2312"/>
                <w:spacing w:val="-2"/>
                <w:sz w:val="24"/>
                <w:szCs w:val="24"/>
                <w:lang w:eastAsia="zh-CN"/>
              </w:rPr>
              <w:t>200平方米，布局合理，防止差错与交叉污染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。</w:t>
            </w:r>
          </w:p>
        </w:tc>
      </w:tr>
      <w:tr w:rsidR="00F91043" w14:paraId="26D3C813" w14:textId="77777777">
        <w:tc>
          <w:tcPr>
            <w:tcW w:w="2079" w:type="dxa"/>
          </w:tcPr>
          <w:p w14:paraId="2056C676" w14:textId="77777777" w:rsidR="00F91043" w:rsidRDefault="00000000">
            <w:pPr>
              <w:pStyle w:val="a3"/>
              <w:widowControl/>
              <w:spacing w:before="120" w:line="288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  <w:t>膏方制作场地</w:t>
            </w:r>
          </w:p>
        </w:tc>
        <w:tc>
          <w:tcPr>
            <w:tcW w:w="6473" w:type="dxa"/>
          </w:tcPr>
          <w:p w14:paraId="3C0855E3" w14:textId="77777777" w:rsidR="00F91043" w:rsidRDefault="00000000">
            <w:pPr>
              <w:pStyle w:val="a3"/>
              <w:widowControl/>
              <w:spacing w:before="120" w:line="288" w:lineRule="auto"/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t>设置独立的膏方制作区域（可在现有煎药场地中划分独立区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  <w:lang w:eastAsia="zh-CN"/>
              </w:rPr>
              <w:lastRenderedPageBreak/>
              <w:t>域，应与煎药室分开），包括浸泡、煎煮、浓缩、收膏、凉膏、分装等功能区。其中煎熬膏方场地不得小于20平方米，凉膏场地不得小于5平方米，并能有效防止差错和交叉污染。凉膏间应配备温湿度调控设备，温度保持在20℃以下，湿度保持在55%-75%。</w:t>
            </w:r>
          </w:p>
        </w:tc>
      </w:tr>
    </w:tbl>
    <w:p w14:paraId="25AF35E1" w14:textId="77777777" w:rsidR="00F91043" w:rsidRDefault="00000000">
      <w:pPr>
        <w:pStyle w:val="a3"/>
        <w:spacing w:before="120" w:line="288" w:lineRule="auto"/>
        <w:ind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lastRenderedPageBreak/>
        <w:t>（二）设备与设施</w:t>
      </w:r>
    </w:p>
    <w:p w14:paraId="4DB2BC53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(1)配备与业务规模匹配的煎药机、包装机、智能调剂系统等；</w:t>
      </w:r>
    </w:p>
    <w:p w14:paraId="5CEF8FD9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(2)计量器具、温湿度监测设备等定期校准或检定，提供校检报告；</w:t>
      </w:r>
    </w:p>
    <w:p w14:paraId="6D6E4D8C" w14:textId="77777777" w:rsidR="00F91043" w:rsidRDefault="00000000">
      <w:pPr>
        <w:spacing w:line="288" w:lineRule="auto"/>
        <w:ind w:firstLineChars="200" w:firstLine="472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(3)关键环节（调剂、加药等）全程视频监控，每张处方拍照，相关视频与照片至少保存1年，电子监控录像至少保存1个月。</w:t>
      </w:r>
    </w:p>
    <w:p w14:paraId="3BA1EC45" w14:textId="77777777" w:rsidR="00F91043" w:rsidRDefault="00000000">
      <w:pPr>
        <w:pStyle w:val="a3"/>
        <w:spacing w:before="6" w:line="288" w:lineRule="auto"/>
        <w:ind w:right="52" w:firstLineChars="200" w:firstLine="482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（三）配送服务要求</w:t>
      </w:r>
    </w:p>
    <w:p w14:paraId="4DF1E902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患者如有配送需求，须免费配送到家。</w:t>
      </w:r>
    </w:p>
    <w:p w14:paraId="5484D8AD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(1)配送范围：桂林市区及所辖各县城；</w:t>
      </w:r>
    </w:p>
    <w:p w14:paraId="077954B8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(2)配送时限及地点：</w:t>
      </w:r>
    </w:p>
    <w:p w14:paraId="54B3D196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【交付医院】</w:t>
      </w:r>
    </w:p>
    <w:p w14:paraId="117C50EB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节假日配送时间按医院节假日工作安排执行，如遇特殊情况双方再进行协商，周一至周日服务商配送到医院时间及地</w:t>
      </w: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点（根据处方来源，分别配送至相应院区）：</w:t>
      </w:r>
    </w:p>
    <w:p w14:paraId="693910A6" w14:textId="77777777" w:rsidR="00F91043" w:rsidRDefault="00000000">
      <w:pPr>
        <w:numPr>
          <w:ilvl w:val="0"/>
          <w:numId w:val="1"/>
        </w:num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门诊代煎中药交付时间：</w:t>
      </w:r>
    </w:p>
    <w:p w14:paraId="4D40A2DF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I.当日12:00前的门诊处方，患者自取的须于当日16:30前送达医院相应院区中药房；选择上门配送的，于当日20:00前配送到家。</w:t>
      </w:r>
    </w:p>
    <w:p w14:paraId="43B51470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II.当日12:00-18:00的门诊处方，患者自取的须于次日上午10:00前送达医院两院区中药房发药窗口。</w:t>
      </w:r>
    </w:p>
    <w:p w14:paraId="14DDD4D9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(2)住院部代煎中药交付时间</w:t>
      </w:r>
    </w:p>
    <w:p w14:paraId="1D3B393D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I.当日12:00前（包括前一天17:30后）的住院处方，应于当日17:00前送达医院两院区相关临床科室护士站；</w:t>
      </w:r>
    </w:p>
    <w:p w14:paraId="040F99AD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II.医院当日12:00-17:30的住院处方，应于次日10:00前送达医院相应临床科室护士站；</w:t>
      </w:r>
    </w:p>
    <w:p w14:paraId="65874462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III.医院当日17:30-24:00的住院处方，应于次日17:00前送达医院相应临床科室护士站；</w:t>
      </w:r>
    </w:p>
    <w:p w14:paraId="115748D5" w14:textId="77777777" w:rsidR="00F91043" w:rsidRDefault="00000000">
      <w:pPr>
        <w:wordWrap w:val="0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0000FF"/>
          <w:sz w:val="24"/>
          <w:szCs w:val="24"/>
          <w:lang w:eastAsia="zh-CN"/>
        </w:rPr>
        <w:t>③急煎中药饮片代煎处方交付时间:三小时内送达医院两院区相关临床科室护士站。</w:t>
      </w:r>
    </w:p>
    <w:p w14:paraId="5C91D610" w14:textId="77777777" w:rsidR="00F91043" w:rsidRDefault="00000000">
      <w:pPr>
        <w:pStyle w:val="a3"/>
        <w:spacing w:before="6" w:line="288" w:lineRule="auto"/>
        <w:ind w:right="52" w:firstLineChars="200" w:firstLine="482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（四）药学服务与人员要求</w:t>
      </w:r>
    </w:p>
    <w:p w14:paraId="61CE16FA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(1)服务配套的岗位人员（如煎药及膏方制作负责人、审方人员、调剂人员、复核人员、煎药人员、膏方制作人员）须具备中药学专业学历或中药师及以上职称，煎药人员须经相关中药培训机构培训合格，有相关工作经验者优先；</w:t>
      </w:r>
    </w:p>
    <w:p w14:paraId="3A5455A1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lastRenderedPageBreak/>
        <w:t>(2)煎药及膏方制作人员须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每年体检一次，传染病、皮肤病、乙肝病毒携带者不得从事相关工作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5065CF0A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(3)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服务商应配备药学专业技术人员提供用药咨询、到货验收指导、用药风险沟通等服务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。</w:t>
      </w:r>
    </w:p>
    <w:p w14:paraId="6CC48C65" w14:textId="77777777" w:rsidR="00F91043" w:rsidRDefault="00000000">
      <w:pPr>
        <w:pStyle w:val="a3"/>
        <w:spacing w:before="6" w:line="288" w:lineRule="auto"/>
        <w:ind w:leftChars="200" w:left="420" w:right="52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（五）质量与追溯</w:t>
      </w:r>
    </w:p>
    <w:p w14:paraId="4B4AEFC2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(1)全流程符合GSP、GMP及相关规范要求；</w:t>
      </w:r>
    </w:p>
    <w:p w14:paraId="14DCC311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(2)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建立药品追溯与召回机制，随货同行单、发票信息完整一致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743411A1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(3)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建立代煎药品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及膏方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留样制度，留样至少保存7天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0C953F02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(4)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煎煮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制作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过程全程监控，监控数据保存不少于60天，医院有权随时抽查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549EEA65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(5)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对破损、近效期、滞销药品按医院制度及时退换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6F930725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(6)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原始纸质记录及电子记录至少保存1年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。</w:t>
      </w:r>
    </w:p>
    <w:p w14:paraId="76860A34" w14:textId="77777777" w:rsidR="00F91043" w:rsidRDefault="00000000">
      <w:pPr>
        <w:pStyle w:val="a3"/>
        <w:numPr>
          <w:ilvl w:val="0"/>
          <w:numId w:val="2"/>
        </w:numPr>
        <w:spacing w:before="6" w:line="288" w:lineRule="auto"/>
        <w:ind w:right="52" w:firstLineChars="200" w:firstLine="482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合规与考核</w:t>
      </w:r>
    </w:p>
    <w:p w14:paraId="0F425F29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7030A0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7030A0"/>
          <w:sz w:val="24"/>
          <w:szCs w:val="24"/>
          <w:lang w:eastAsia="zh-CN"/>
        </w:rPr>
        <w:t>(1)</w:t>
      </w:r>
      <w:r>
        <w:rPr>
          <w:rFonts w:ascii="仿宋_GB2312" w:eastAsia="仿宋_GB2312" w:hAnsi="仿宋_GB2312" w:cs="仿宋_GB2312"/>
          <w:color w:val="7030A0"/>
          <w:sz w:val="24"/>
          <w:szCs w:val="24"/>
          <w:lang w:eastAsia="zh-CN"/>
        </w:rPr>
        <w:t>承诺不转包、不违法分包，不得将代煎</w:t>
      </w:r>
      <w:r>
        <w:rPr>
          <w:rFonts w:ascii="仿宋_GB2312" w:eastAsia="仿宋_GB2312" w:hAnsi="仿宋_GB2312" w:cs="仿宋_GB2312" w:hint="eastAsia"/>
          <w:color w:val="7030A0"/>
          <w:sz w:val="24"/>
          <w:szCs w:val="24"/>
          <w:lang w:eastAsia="zh-CN"/>
        </w:rPr>
        <w:t>、制膏及配送</w:t>
      </w:r>
      <w:r>
        <w:rPr>
          <w:rFonts w:ascii="仿宋_GB2312" w:eastAsia="仿宋_GB2312" w:hAnsi="仿宋_GB2312" w:cs="仿宋_GB2312"/>
          <w:color w:val="7030A0"/>
          <w:sz w:val="24"/>
          <w:szCs w:val="24"/>
          <w:lang w:eastAsia="zh-CN"/>
        </w:rPr>
        <w:t>服务进行再委托</w:t>
      </w:r>
      <w:r>
        <w:rPr>
          <w:rFonts w:ascii="仿宋_GB2312" w:eastAsia="仿宋_GB2312" w:hAnsi="仿宋_GB2312" w:cs="仿宋_GB2312" w:hint="eastAsia"/>
          <w:color w:val="7030A0"/>
          <w:sz w:val="24"/>
          <w:szCs w:val="24"/>
          <w:lang w:eastAsia="zh-CN"/>
        </w:rPr>
        <w:t>；</w:t>
      </w:r>
    </w:p>
    <w:p w14:paraId="00495B86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(2)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接受医院日常考核与年度考核，考核指标包括但不限于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：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配送及时率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及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准确率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票货一致性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处方审核率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及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调剂复核率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均要求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100%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每剂药重量误差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在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±5%以内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膏方制作合格率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患者满意度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及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投诉率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。</w:t>
      </w:r>
    </w:p>
    <w:p w14:paraId="1948DCED" w14:textId="77777777" w:rsidR="00F91043" w:rsidRDefault="00000000">
      <w:pPr>
        <w:pStyle w:val="a3"/>
        <w:numPr>
          <w:ilvl w:val="0"/>
          <w:numId w:val="2"/>
        </w:numPr>
        <w:spacing w:before="6" w:line="288" w:lineRule="auto"/>
        <w:ind w:right="52" w:firstLineChars="200" w:firstLine="482"/>
        <w:jc w:val="both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  <w:lang w:eastAsia="zh-CN"/>
        </w:rPr>
        <w:t>应急预案</w:t>
      </w:r>
    </w:p>
    <w:p w14:paraId="1B504140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(1)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制定详细的安全事故应急预案及药品运输、配送应急预案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；</w:t>
      </w:r>
    </w:p>
    <w:p w14:paraId="70E3EB3A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(2)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eastAsia="zh-CN"/>
        </w:rPr>
        <w:t>节假日与极端天气期间保持不间断服务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。</w:t>
      </w:r>
    </w:p>
    <w:p w14:paraId="72C3FE36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四、商务条款与要求</w:t>
      </w:r>
    </w:p>
    <w:p w14:paraId="63FC5E6B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hint="eastAsia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（一）价格要求</w:t>
      </w:r>
    </w:p>
    <w:p w14:paraId="63BF1200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(1)中药饮片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代煎服务费报价不得高于 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.5元/付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；</w:t>
      </w:r>
    </w:p>
    <w:p w14:paraId="34226FC1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(2)中药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膏方制作服务费报价不得高于 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.5元/付（按30付起计算）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；</w:t>
      </w:r>
    </w:p>
    <w:p w14:paraId="28260C37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(3)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本项目为包干报价，应包括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中药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饮片保管、调剂、人工劳务、税费、运输费、信息系统对接费等所有费用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，医院不再另外支付任何费用；</w:t>
      </w:r>
    </w:p>
    <w:p w14:paraId="56AF704C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（二）履约保证</w:t>
      </w:r>
    </w:p>
    <w:p w14:paraId="2373F70B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(1)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对超时配送、质量不达标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拒绝提供服务等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考核指标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设定违约金与扣分机制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；</w:t>
      </w:r>
    </w:p>
    <w:p w14:paraId="32D915E6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b/>
          <w:bCs/>
          <w:spacing w:val="-2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(2)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严重情形可暂停或取消资格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。</w:t>
      </w:r>
    </w:p>
    <w:p w14:paraId="4D29D52C" w14:textId="77777777" w:rsidR="00F91043" w:rsidRDefault="00000000">
      <w:pPr>
        <w:pStyle w:val="a3"/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（三）发票与结算</w:t>
      </w:r>
    </w:p>
    <w:p w14:paraId="58E3D0CD" w14:textId="77777777" w:rsidR="00F91043" w:rsidRDefault="00000000">
      <w:pPr>
        <w:pStyle w:val="a3"/>
        <w:spacing w:before="6" w:line="288" w:lineRule="auto"/>
        <w:ind w:right="52" w:firstLineChars="200" w:firstLine="480"/>
        <w:jc w:val="both"/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4"/>
          <w:szCs w:val="24"/>
          <w:lang w:eastAsia="zh-CN"/>
        </w:rPr>
        <w:t>按医院财务制度开具增值税专用发票；账期与结算流程以合同约定为准。</w:t>
      </w:r>
    </w:p>
    <w:p w14:paraId="1C5AB07F" w14:textId="2F818575" w:rsidR="00F91043" w:rsidRPr="00F24E74" w:rsidRDefault="00000000" w:rsidP="00F24E74">
      <w:pPr>
        <w:pStyle w:val="a3"/>
        <w:numPr>
          <w:ilvl w:val="0"/>
          <w:numId w:val="3"/>
        </w:numPr>
        <w:spacing w:before="120" w:line="288" w:lineRule="auto"/>
        <w:ind w:left="22" w:firstLineChars="200" w:firstLine="478"/>
        <w:jc w:val="both"/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</w:pPr>
      <w:r w:rsidRPr="00F24E74">
        <w:rPr>
          <w:rFonts w:ascii="仿宋_GB2312" w:eastAsia="仿宋_GB2312" w:hAnsi="仿宋_GB2312" w:cs="仿宋_GB2312" w:hint="eastAsia"/>
          <w:b/>
          <w:bCs/>
          <w:spacing w:val="-2"/>
          <w:sz w:val="24"/>
          <w:szCs w:val="24"/>
          <w:lang w:eastAsia="zh-CN"/>
        </w:rPr>
        <w:t>投标文件组成（建议目录）</w:t>
      </w:r>
    </w:p>
    <w:p w14:paraId="5E31BC3F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(1)</w:t>
      </w:r>
      <w:r>
        <w:rPr>
          <w:rFonts w:ascii="仿宋_GB2312" w:eastAsia="仿宋_GB2312" w:hAnsi="仿宋_GB2312" w:cs="仿宋_GB2312" w:hint="eastAsia"/>
          <w:b/>
          <w:bCs/>
          <w:color w:val="auto"/>
          <w:szCs w:val="24"/>
          <w:lang w:eastAsia="zh-CN"/>
        </w:rPr>
        <w:t>资格性文件：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营业执照、药品经营许可证/生产许可证、法定代表人身份证明/授权书、广西中药药事质控中心评估备案证明（或承诺函）等；</w:t>
      </w:r>
    </w:p>
    <w:p w14:paraId="350F9AFF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lastRenderedPageBreak/>
        <w:t>(2)</w:t>
      </w:r>
      <w:r>
        <w:rPr>
          <w:rFonts w:ascii="仿宋_GB2312" w:eastAsia="仿宋_GB2312" w:hAnsi="仿宋_GB2312" w:cs="仿宋_GB2312" w:hint="eastAsia"/>
          <w:b/>
          <w:bCs/>
          <w:color w:val="auto"/>
          <w:szCs w:val="24"/>
          <w:lang w:eastAsia="zh-CN"/>
        </w:rPr>
        <w:t>合规性文件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：信用记录查询截图、无重大违法记录声明、信用承诺函、近三年无重大质量安全事故声明等；</w:t>
      </w:r>
    </w:p>
    <w:p w14:paraId="32BA07DF" w14:textId="77777777" w:rsidR="00F91043" w:rsidRDefault="00000000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(3)</w:t>
      </w:r>
      <w:r>
        <w:rPr>
          <w:rFonts w:ascii="仿宋_GB2312" w:eastAsia="仿宋_GB2312" w:hAnsi="仿宋_GB2312" w:cs="仿宋_GB2312" w:hint="eastAsia"/>
          <w:b/>
          <w:bCs/>
          <w:color w:val="auto"/>
          <w:szCs w:val="24"/>
          <w:lang w:eastAsia="zh-CN"/>
        </w:rPr>
        <w:t>技术与服务能力证明文件：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仓储、场地能力说明（含面积、布局、设备清单）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质量体系与追溯方案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应急与7×24小时服务方案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药学服务方案（含人员配置、资质证书、社保证明）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信息系统对接方案及安全认证证明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膏方制作专项方案（含设备清单、操作流程、质控措施、人员配置）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、</w:t>
      </w:r>
      <w:r>
        <w:rPr>
          <w:rFonts w:ascii="仿宋_GB2312" w:eastAsia="仿宋_GB2312" w:hAnsi="仿宋_GB2312" w:cs="仿宋_GB2312"/>
          <w:color w:val="auto"/>
          <w:szCs w:val="24"/>
          <w:lang w:eastAsia="zh-CN"/>
        </w:rPr>
        <w:t>配送时效承诺及物流保障方案（含桂林市区及县城配送网络说明）</w:t>
      </w: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；</w:t>
      </w:r>
    </w:p>
    <w:p w14:paraId="3C8858CB" w14:textId="77548723" w:rsidR="00F91043" w:rsidRPr="00F24E74" w:rsidRDefault="00000000" w:rsidP="00F24E74">
      <w:pPr>
        <w:pStyle w:val="a4"/>
        <w:spacing w:line="288" w:lineRule="auto"/>
        <w:ind w:firstLineChars="200" w:firstLine="480"/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sectPr w:rsidR="00F91043" w:rsidRPr="00F24E74">
          <w:pgSz w:w="11906" w:h="16839"/>
          <w:pgMar w:top="1417" w:right="1785" w:bottom="1417" w:left="1785" w:header="0" w:footer="0" w:gutter="0"/>
          <w:cols w:space="0"/>
        </w:sectPr>
      </w:pPr>
      <w:r>
        <w:rPr>
          <w:rFonts w:ascii="仿宋_GB2312" w:eastAsia="仿宋_GB2312" w:hAnsi="仿宋_GB2312" w:cs="仿宋_GB2312" w:hint="eastAsia"/>
          <w:color w:val="auto"/>
          <w:szCs w:val="24"/>
          <w:lang w:eastAsia="zh-CN"/>
        </w:rPr>
        <w:t>(4)其他（招标文件要求的格式性文件与声明）</w:t>
      </w:r>
    </w:p>
    <w:p w14:paraId="52C04B70" w14:textId="77777777" w:rsidR="00F91043" w:rsidRDefault="00F91043">
      <w:pPr>
        <w:pStyle w:val="a3"/>
        <w:spacing w:before="30" w:line="288" w:lineRule="auto"/>
        <w:jc w:val="both"/>
        <w:rPr>
          <w:rFonts w:hint="eastAsia"/>
          <w:spacing w:val="-8"/>
          <w:lang w:eastAsia="zh-CN"/>
        </w:rPr>
      </w:pPr>
    </w:p>
    <w:sectPr w:rsidR="00F91043">
      <w:pgSz w:w="16839" w:h="11906" w:orient="landscape"/>
      <w:pgMar w:top="1219" w:right="1417" w:bottom="1219" w:left="1417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50D7" w14:textId="77777777" w:rsidR="00181CD6" w:rsidRDefault="00181CD6">
      <w:r>
        <w:separator/>
      </w:r>
    </w:p>
  </w:endnote>
  <w:endnote w:type="continuationSeparator" w:id="0">
    <w:p w14:paraId="5499446E" w14:textId="77777777" w:rsidR="00181CD6" w:rsidRDefault="0018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宋体-简">
    <w:altName w:val="宋体"/>
    <w:charset w:val="00"/>
    <w:family w:val="auto"/>
    <w:pitch w:val="default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53309FE0-4170-4D2F-ABD0-E1FACA0EBFC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DE9E0D9-0B9C-4448-9E47-348B6B56780A}"/>
    <w:embedBold r:id="rId3" w:subsetted="1" w:fontKey="{92507F10-1257-4A25-AE46-66895EDAD1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0D12" w14:textId="77777777" w:rsidR="00181CD6" w:rsidRDefault="00181CD6">
      <w:r>
        <w:separator/>
      </w:r>
    </w:p>
  </w:footnote>
  <w:footnote w:type="continuationSeparator" w:id="0">
    <w:p w14:paraId="4D138D30" w14:textId="77777777" w:rsidR="00181CD6" w:rsidRDefault="0018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DE2B26"/>
    <w:multiLevelType w:val="singleLevel"/>
    <w:tmpl w:val="BADE2B2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3531FC5"/>
    <w:multiLevelType w:val="singleLevel"/>
    <w:tmpl w:val="23531FC5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3FA73F2"/>
    <w:multiLevelType w:val="singleLevel"/>
    <w:tmpl w:val="43FA73F2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74E1388E"/>
    <w:multiLevelType w:val="singleLevel"/>
    <w:tmpl w:val="74E1388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6808178">
    <w:abstractNumId w:val="2"/>
  </w:num>
  <w:num w:numId="2" w16cid:durableId="1093474769">
    <w:abstractNumId w:val="1"/>
  </w:num>
  <w:num w:numId="3" w16cid:durableId="126290307">
    <w:abstractNumId w:val="0"/>
  </w:num>
  <w:num w:numId="4" w16cid:durableId="94446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jQwMDVkZDdhMjcxZTkxMzVkMDliZTlmN2E2NGY1ODYifQ=="/>
  </w:docVars>
  <w:rsids>
    <w:rsidRoot w:val="00F91043"/>
    <w:rsid w:val="00181CD6"/>
    <w:rsid w:val="00A262DF"/>
    <w:rsid w:val="00DB09B1"/>
    <w:rsid w:val="00F24E74"/>
    <w:rsid w:val="00F91043"/>
    <w:rsid w:val="01421528"/>
    <w:rsid w:val="0385022A"/>
    <w:rsid w:val="074B3B88"/>
    <w:rsid w:val="0957205A"/>
    <w:rsid w:val="0E816213"/>
    <w:rsid w:val="110D76E6"/>
    <w:rsid w:val="11B27077"/>
    <w:rsid w:val="17846A71"/>
    <w:rsid w:val="1A105A46"/>
    <w:rsid w:val="1D22584F"/>
    <w:rsid w:val="1D840EA8"/>
    <w:rsid w:val="1DB02F51"/>
    <w:rsid w:val="2095515C"/>
    <w:rsid w:val="20B84339"/>
    <w:rsid w:val="26480D7A"/>
    <w:rsid w:val="26F21528"/>
    <w:rsid w:val="28372507"/>
    <w:rsid w:val="299527AA"/>
    <w:rsid w:val="2BB65035"/>
    <w:rsid w:val="2D7A129D"/>
    <w:rsid w:val="2DF434B8"/>
    <w:rsid w:val="31B151B7"/>
    <w:rsid w:val="40BA21A6"/>
    <w:rsid w:val="46A10565"/>
    <w:rsid w:val="497B6D45"/>
    <w:rsid w:val="4B0B682C"/>
    <w:rsid w:val="4D1170BC"/>
    <w:rsid w:val="4E3B193B"/>
    <w:rsid w:val="4E837643"/>
    <w:rsid w:val="58187012"/>
    <w:rsid w:val="5B934F60"/>
    <w:rsid w:val="5BC62FAF"/>
    <w:rsid w:val="5C7F4D5E"/>
    <w:rsid w:val="601C1981"/>
    <w:rsid w:val="601F0531"/>
    <w:rsid w:val="611F2BE9"/>
    <w:rsid w:val="63A02E0A"/>
    <w:rsid w:val="68C92DDE"/>
    <w:rsid w:val="69873EB8"/>
    <w:rsid w:val="6E235275"/>
    <w:rsid w:val="71610EF1"/>
    <w:rsid w:val="737258FA"/>
    <w:rsid w:val="765A5B60"/>
    <w:rsid w:val="76757E29"/>
    <w:rsid w:val="7E023274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FF20"/>
  <w15:docId w15:val="{C2DA48E0-BA51-4800-AC1A-2F2422C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Times New Roman Regular" w:eastAsia="Times New Roman Regular" w:hAnsi="Times New Roman Regular" w:cs="Times New Roman Regular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-简" w:eastAsia="宋体-简" w:hAnsi="宋体-简" w:cs="宋体-简"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8">
    <w:name w:val="header"/>
    <w:basedOn w:val="a"/>
    <w:link w:val="a9"/>
    <w:rsid w:val="00F24E7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24E7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a">
    <w:name w:val="footer"/>
    <w:basedOn w:val="a"/>
    <w:link w:val="ab"/>
    <w:rsid w:val="00F24E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24E7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1232</Words>
  <Characters>1307</Characters>
  <Application>Microsoft Office Word</Application>
  <DocSecurity>0</DocSecurity>
  <Lines>81</Lines>
  <Paragraphs>84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daililin</dc:creator>
  <cp:lastModifiedBy>Administrator</cp:lastModifiedBy>
  <cp:revision>3</cp:revision>
  <dcterms:created xsi:type="dcterms:W3CDTF">2026-04-27T09:50:00Z</dcterms:created>
  <dcterms:modified xsi:type="dcterms:W3CDTF">2026-05-09T08:34:00Z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2026-04-27T09:51:06Z</vt:filetime>
  </property>
  <property fmtid="{D5CDD505-2E9C-101B-9397-08002B2CF9AE}" pid="4" name="KSOProductBuildVer">
    <vt:lpwstr>2052-12.1.0.25865</vt:lpwstr>
  </property>
  <property fmtid="{D5CDD505-2E9C-101B-9397-08002B2CF9AE}" pid="5" name="ICV">
    <vt:lpwstr>23B1B3299B1E49DFA768C14212F1892C_13</vt:lpwstr>
  </property>
  <property fmtid="{D5CDD505-2E9C-101B-9397-08002B2CF9AE}" pid="6" name="KSOTemplateDocerSaveRecord">
    <vt:lpwstr>eyJoZGlkIjoiYTk1OGY3NDFiNTQzZGU1YzAzZTk2ZWQ2MzkxYmNlYmIiLCJ1c2VySWQiOiI3MTE3ODUxMzgifQ==</vt:lpwstr>
  </property>
</Properties>
</file>