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364C93" w:rsidRDefault="00364C93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379"/>
      </w:tblGrid>
      <w:tr w:rsidR="00364C93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099972E1" w:rsidR="00364C93" w:rsidRDefault="00946F04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946F04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全自动粪便分析系统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364C93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364C93" w:rsidRDefault="00364C93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364C93" w14:paraId="05CE3A4A" w14:textId="77777777">
        <w:trPr>
          <w:trHeight w:val="2000"/>
        </w:trPr>
        <w:tc>
          <w:tcPr>
            <w:tcW w:w="701" w:type="dxa"/>
            <w:vAlign w:val="center"/>
          </w:tcPr>
          <w:p w14:paraId="0306CF0E" w14:textId="77777777" w:rsidR="00364C93" w:rsidRDefault="0000000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79" w:type="dxa"/>
            <w:vAlign w:val="center"/>
          </w:tcPr>
          <w:p w14:paraId="0FB0FBFE" w14:textId="77777777" w:rsidR="00364C93" w:rsidRDefault="00000000">
            <w:pPr>
              <w:widowControl/>
              <w:spacing w:after="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用于粪便样本全自动检测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临床适用范围：消化系统疾病筛查与诊断和病毒性腹泻诊断</w:t>
            </w:r>
          </w:p>
        </w:tc>
      </w:tr>
      <w:tr w:rsidR="00364C93" w14:paraId="71512BB0" w14:textId="77777777">
        <w:trPr>
          <w:trHeight w:val="2000"/>
        </w:trPr>
        <w:tc>
          <w:tcPr>
            <w:tcW w:w="701" w:type="dxa"/>
            <w:vAlign w:val="center"/>
          </w:tcPr>
          <w:p w14:paraId="00EEE6CF" w14:textId="77777777" w:rsidR="00364C93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79" w:type="dxa"/>
            <w:vAlign w:val="center"/>
          </w:tcPr>
          <w:p w14:paraId="0A309616" w14:textId="77777777" w:rsidR="00364C93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一、标准配置：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1、主机系统、试剂卡通道、样本处理模块等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2、控制系统及软件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二、必备配套附件：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1、台式电脑  一台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2、连接线及接口配件</w:t>
            </w:r>
          </w:p>
        </w:tc>
      </w:tr>
      <w:tr w:rsidR="00364C93" w14:paraId="1F8C2C57" w14:textId="77777777">
        <w:trPr>
          <w:trHeight w:val="2000"/>
        </w:trPr>
        <w:tc>
          <w:tcPr>
            <w:tcW w:w="701" w:type="dxa"/>
            <w:vAlign w:val="center"/>
          </w:tcPr>
          <w:p w14:paraId="109E36B5" w14:textId="77777777" w:rsidR="00364C93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79" w:type="dxa"/>
            <w:vAlign w:val="center"/>
          </w:tcPr>
          <w:p w14:paraId="3459AA9C" w14:textId="77777777" w:rsidR="00364C93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技术参数与性能要求：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一、核心性能参数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▲1、检测速度：要求≥80标本/小时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▲2、检出率：对粪便中有形成分（如寄生虫卵、细胞等）的检出率应≥90%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★3、重复性：有形成分检测的变异系数（CV）≤20%（浓度50-200个/μL）或≤15%（浓度＞200个/μL）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★4、携带污染率：≤0.05%，避免样本间的交叉污染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5、检出符合率：与人工镜检结果的符合率≥80%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6、颜色性状识别准确率：≥95%，自动判别粪便的颜色、性状等理学指标，减少人工判断误差。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二、关键硬件配置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1、标本处理模块：具备自动稀释、高频混匀、沉降过滤功能，有效去除杂质。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2、显微镜成像系统：配备高倍物镜（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40倍）、低倍物镜（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10倍），分辨率≥1600×1200像素，支持自动对焦、多视野扫描和断层扫描。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3、胶体金检测模块：支持隐血、转铁蛋白、轮状病毒等项目的自动检测，检测卡容量≥200人份，可实现多项目同时检测。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4、进样系统：采用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轨道式进样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或转盘式进样。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5、清洗系统：具备关机自动清洗等功能，有效防止管路堵塞和交叉污染。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6、生物安全防护系统：全程封闭式设计，配备废弃物处理装置，保障实验室环境安全。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三、软件模块功能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1、图像识别与分析模块：自动识别粪便中的有形成分（如红细胞、白细胞、寄生虫卵等），提供定量计数、分类标记等功能，支持人工审核和修正。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2、数据管理模块：可存储、查询、编辑样本信息和检测结果，实现样本信息的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lastRenderedPageBreak/>
              <w:t>快速录入。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四、数据与系统兼容性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3、LIS/HIS接口：支持与医院实验室信息系统（LIS）或医院信息系统（HIS）的双向通信。</w:t>
            </w:r>
          </w:p>
        </w:tc>
      </w:tr>
      <w:tr w:rsidR="00364C93" w14:paraId="24CC56E9" w14:textId="77777777">
        <w:trPr>
          <w:trHeight w:val="2000"/>
        </w:trPr>
        <w:tc>
          <w:tcPr>
            <w:tcW w:w="701" w:type="dxa"/>
            <w:vAlign w:val="center"/>
          </w:tcPr>
          <w:p w14:paraId="54A92E24" w14:textId="77777777" w:rsidR="00364C93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79" w:type="dxa"/>
            <w:shd w:val="clear" w:color="auto" w:fill="FFFFFF"/>
            <w:vAlign w:val="center"/>
          </w:tcPr>
          <w:p w14:paraId="39DE99A7" w14:textId="77777777" w:rsidR="00364C93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耗材要求：设备是否需要使用试剂/耗材？试剂/耗材为专机专用类还是通用类？不需要可写“无”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1、一次性采集管：  专用类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2、粪便隐血、轮状病毒抗原检测卡： 通用类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3、稀释液与冲洗液： 专用类</w:t>
            </w:r>
          </w:p>
        </w:tc>
      </w:tr>
      <w:tr w:rsidR="00364C93" w14:paraId="3B6BE54E" w14:textId="77777777">
        <w:trPr>
          <w:trHeight w:val="1975"/>
        </w:trPr>
        <w:tc>
          <w:tcPr>
            <w:tcW w:w="701" w:type="dxa"/>
            <w:vAlign w:val="center"/>
          </w:tcPr>
          <w:p w14:paraId="7D1DF1A4" w14:textId="77777777" w:rsidR="00364C93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79" w:type="dxa"/>
            <w:vAlign w:val="center"/>
          </w:tcPr>
          <w:p w14:paraId="73B7A981" w14:textId="77777777" w:rsidR="00364C93" w:rsidRDefault="00000000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售后服务要求（免费保修期≥__2__年，现场响应时间：≤_12_小时，维修期间须免费提供性能一致的备用机，提供设备技术培训，设备使用年限≥__5_年等）</w:t>
            </w:r>
          </w:p>
        </w:tc>
      </w:tr>
      <w:tr w:rsidR="00364C93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364C93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364C93" w:rsidRDefault="00364C93"/>
    <w:sectPr w:rsidR="00364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9FDF" w14:textId="77777777" w:rsidR="00075D6C" w:rsidRDefault="00075D6C" w:rsidP="00946F04">
      <w:r>
        <w:separator/>
      </w:r>
    </w:p>
  </w:endnote>
  <w:endnote w:type="continuationSeparator" w:id="0">
    <w:p w14:paraId="01D6D627" w14:textId="77777777" w:rsidR="00075D6C" w:rsidRDefault="00075D6C" w:rsidP="0094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8B7C" w14:textId="77777777" w:rsidR="00075D6C" w:rsidRDefault="00075D6C" w:rsidP="00946F04">
      <w:r>
        <w:separator/>
      </w:r>
    </w:p>
  </w:footnote>
  <w:footnote w:type="continuationSeparator" w:id="0">
    <w:p w14:paraId="52D46964" w14:textId="77777777" w:rsidR="00075D6C" w:rsidRDefault="00075D6C" w:rsidP="00946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364C93"/>
    <w:rsid w:val="00075D6C"/>
    <w:rsid w:val="00364C93"/>
    <w:rsid w:val="00946F04"/>
    <w:rsid w:val="00F32AA9"/>
    <w:rsid w:val="0839318B"/>
    <w:rsid w:val="0A9B415C"/>
    <w:rsid w:val="0FE070E2"/>
    <w:rsid w:val="14C0309A"/>
    <w:rsid w:val="18065216"/>
    <w:rsid w:val="197E0A92"/>
    <w:rsid w:val="1BC2741A"/>
    <w:rsid w:val="1BF146E6"/>
    <w:rsid w:val="1C864BDA"/>
    <w:rsid w:val="1FD7404C"/>
    <w:rsid w:val="23CA19C3"/>
    <w:rsid w:val="276F6341"/>
    <w:rsid w:val="2C470AB3"/>
    <w:rsid w:val="304212B8"/>
    <w:rsid w:val="34083F6D"/>
    <w:rsid w:val="340A2063"/>
    <w:rsid w:val="385C3F07"/>
    <w:rsid w:val="4E5A531C"/>
    <w:rsid w:val="4FAB39C4"/>
    <w:rsid w:val="55A463B5"/>
    <w:rsid w:val="577325B6"/>
    <w:rsid w:val="583C0450"/>
    <w:rsid w:val="5E17116A"/>
    <w:rsid w:val="62BB5B68"/>
    <w:rsid w:val="6F83507F"/>
    <w:rsid w:val="6FB33650"/>
    <w:rsid w:val="6FEF5A34"/>
    <w:rsid w:val="6FFD6F48"/>
    <w:rsid w:val="73BC69EE"/>
    <w:rsid w:val="7CC20EBA"/>
    <w:rsid w:val="7E42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3B28CF"/>
  <w15:docId w15:val="{1C5AD701-70DF-49F6-8145-2288CB9F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2">
    <w:name w:val="font12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rPr>
      <w:rFonts w:ascii="Calibri" w:hAnsi="Calibri" w:cs="Calibri"/>
      <w:color w:val="0F1115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946F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46F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46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46F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554</Characters>
  <Application>Microsoft Office Word</Application>
  <DocSecurity>0</DocSecurity>
  <Lines>32</Lines>
  <Paragraphs>16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2026-02-23T07:12:00Z</dcterms:created>
  <dcterms:modified xsi:type="dcterms:W3CDTF">2026-05-09T03:00:00Z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E07C8904EF2B48B9ADD7BDF5F695D6D5_13</vt:lpwstr>
  </property>
</Properties>
</file>