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FC7C7" w14:textId="77777777" w:rsidR="002948C9" w:rsidRDefault="002948C9">
      <w:pPr>
        <w:jc w:val="center"/>
        <w:rPr>
          <w:b/>
          <w:bCs/>
          <w:sz w:val="30"/>
          <w:szCs w:val="30"/>
        </w:rPr>
      </w:pPr>
    </w:p>
    <w:tbl>
      <w:tblPr>
        <w:tblpPr w:leftFromText="180" w:rightFromText="180" w:vertAnchor="text" w:horzAnchor="page" w:tblpX="1855" w:tblpY="331"/>
        <w:tblOverlap w:val="never"/>
        <w:tblW w:w="9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8380"/>
      </w:tblGrid>
      <w:tr w:rsidR="002948C9" w14:paraId="42F24C92" w14:textId="77777777">
        <w:trPr>
          <w:trHeight w:val="624"/>
        </w:trPr>
        <w:tc>
          <w:tcPr>
            <w:tcW w:w="9080" w:type="dxa"/>
            <w:gridSpan w:val="2"/>
            <w:vMerge w:val="restart"/>
            <w:vAlign w:val="center"/>
          </w:tcPr>
          <w:p w14:paraId="0A5D8C0E" w14:textId="63424D94" w:rsidR="002948C9" w:rsidRDefault="001D09D6">
            <w:pPr>
              <w:widowControl/>
              <w:jc w:val="center"/>
              <w:rPr>
                <w:b/>
                <w:bCs/>
                <w:sz w:val="30"/>
                <w:szCs w:val="30"/>
              </w:rPr>
            </w:pPr>
            <w:r w:rsidRPr="001D09D6">
              <w:rPr>
                <w:rFonts w:ascii="宋体" w:eastAsia="宋体" w:hAnsi="宋体" w:cs="宋体" w:hint="eastAsia"/>
                <w:b/>
                <w:bCs/>
                <w:kern w:val="0"/>
                <w:sz w:val="30"/>
                <w:szCs w:val="30"/>
                <w:lang w:bidi="ar"/>
              </w:rPr>
              <w:t>眼震视图仪</w:t>
            </w:r>
            <w:r w:rsidR="00862F3C">
              <w:rPr>
                <w:rFonts w:ascii="宋体" w:eastAsia="宋体" w:hAnsi="宋体" w:cs="宋体"/>
                <w:b/>
                <w:bCs/>
                <w:kern w:val="0"/>
                <w:sz w:val="30"/>
                <w:szCs w:val="30"/>
                <w:lang w:bidi="ar"/>
              </w:rPr>
              <w:t>采购需求</w:t>
            </w:r>
          </w:p>
        </w:tc>
      </w:tr>
      <w:tr w:rsidR="002948C9" w14:paraId="2BD5AD4C" w14:textId="77777777">
        <w:trPr>
          <w:trHeight w:val="600"/>
        </w:trPr>
        <w:tc>
          <w:tcPr>
            <w:tcW w:w="9080" w:type="dxa"/>
            <w:gridSpan w:val="2"/>
            <w:vMerge/>
            <w:vAlign w:val="center"/>
          </w:tcPr>
          <w:p w14:paraId="742F02D2" w14:textId="77777777" w:rsidR="002948C9" w:rsidRDefault="002948C9">
            <w:pPr>
              <w:rPr>
                <w:rFonts w:ascii="宋体"/>
                <w:b/>
                <w:bCs/>
                <w:sz w:val="24"/>
              </w:rPr>
            </w:pPr>
          </w:p>
        </w:tc>
      </w:tr>
      <w:tr w:rsidR="002948C9" w14:paraId="18DD7D40" w14:textId="77777777">
        <w:trPr>
          <w:trHeight w:val="2000"/>
        </w:trPr>
        <w:tc>
          <w:tcPr>
            <w:tcW w:w="700" w:type="dxa"/>
            <w:vAlign w:val="center"/>
          </w:tcPr>
          <w:p w14:paraId="0306CF0E" w14:textId="77777777" w:rsidR="002948C9" w:rsidRDefault="00862F3C">
            <w:pPr>
              <w:widowControl/>
              <w:jc w:val="left"/>
            </w:pPr>
            <w:proofErr w:type="gramStart"/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</w:t>
            </w:r>
            <w:proofErr w:type="gramEnd"/>
          </w:p>
        </w:tc>
        <w:tc>
          <w:tcPr>
            <w:tcW w:w="8380" w:type="dxa"/>
            <w:vAlign w:val="center"/>
          </w:tcPr>
          <w:p w14:paraId="355F3EC1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眼震视图仪是前庭功能检查的核心设备，主要临床功能包括：记录眼球运动轨迹，分析眼震特征（方向、频率、幅度），评估前庭系统功能状态。其用途涵盖：诊断前庭周围性疾病（如良性阵发性位置性眩晕、梅尼埃病）、中枢性前庭病变（如脑干/小脑病变），评估前庭代偿能力，监测前庭康复治疗效果，以及鉴别头晕/眩晕的病因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具体应用场所包括：三级医院耳鼻喉科、神经内科、康复科，二级医院眩晕中心，专科医院（如耳鼻喉专科医院），以及部分具备前庭功能检查资质的基层医疗机构。此外，该设备也用于科研机构开展前庭功能相关研究，为临床诊疗提供客观数据支持。</w:t>
            </w:r>
          </w:p>
        </w:tc>
      </w:tr>
      <w:tr w:rsidR="002948C9" w14:paraId="2841EE81" w14:textId="77777777">
        <w:trPr>
          <w:trHeight w:val="2000"/>
        </w:trPr>
        <w:tc>
          <w:tcPr>
            <w:tcW w:w="700" w:type="dxa"/>
            <w:vAlign w:val="center"/>
          </w:tcPr>
          <w:p w14:paraId="00EEE6CF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二</w:t>
            </w:r>
          </w:p>
        </w:tc>
        <w:tc>
          <w:tcPr>
            <w:tcW w:w="8380" w:type="dxa"/>
            <w:vAlign w:val="center"/>
          </w:tcPr>
          <w:p w14:paraId="546333F6" w14:textId="48EE09B0" w:rsidR="002948C9" w:rsidRDefault="00862F3C" w:rsidP="00013A7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一、设备标准配置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1.1 主机系统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（1）工控主机：采用工业级嵌入式主板，内存≥8GB，固态硬盘（SSD）≥256GB，具备稳定的连续运行能力，支持7×24小时不间断工作，操作系统为Windows 10专业版及以上，确保软件运行流畅、数据存储安全。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专业显示终端：配备24英寸及以上高分辨率液晶显示器，分辨率≥1920×1080，色彩还原度≥95%，响应时间≤5ms，具备防眩光涂层，可清晰呈现眼动轨迹、测试波形及分析数据，支持水平和垂直角度微调，适配不同身高患者的观测需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1.2 硬件核心组件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红外摄像系统：采用双红外高清摄像头，像素≥200万，帧率≥60fps，镜头焦距可调节（范围：10mm-30mm），具备自动对焦功能，可精准捕捉双眼眼球运动，支持低光照环境下的清晰成像，避免外界光线干扰测试结果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眼动追踪模块：集成高精度眼动追踪算法，采样率≥200Hz，角度分辨率≤0.1°，可实时捕捉水平、垂直及旋转方向的眼动信号，支持双眼独立追踪与同步分析，能够准确识别自发性眼震、位置性眼震、凝视性眼震等多种眼震类型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3）前庭刺激模块：包含冷热刺激系统和旋转刺激组件。冷热刺激系统可提供精准的温度控制（范围：30℃-44℃），水流速度可调节（100ml/min-300ml/min），支持单耳/双耳交替刺激；旋转刺激组件搭载电动旋转平台，旋转速度可精确控制（0°/s-60°/s），支持恒速旋转、阶梯式旋转等多种刺激模式，用于诱发前庭源性眼震并分析前庭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1.3 专用软件系统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基础采集分析软件：具备眼动信号实时采集、波形显示、数据存储功能，支持自发性眼震测试、凝视测试、扫视测试、平稳跟踪测试、视动性眼震测试等多种标准化前庭功能检测项目，可自动计算眼震频率、振幅、慢相角速度等核心参数，测试数据精度误差≤5%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（2）报告生成模块：支持一键生成专业检测报告，报告内容包含患者基本信息、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测试项目明细、眼动轨迹图、波形分析曲线、参数统计结果及医师诊断建议栏，报告格式可导出为PDF、Word等多种格式，便于存储、打印及病历归档。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3）数据管理系统：具备患者信息录入、检索、修改、删除等功能，支持按姓名、就诊日期、检测项目等条件精准查询，数据存储采用加密格式，符合医疗数据安全标准，可与医院HIS系统实现对接，实现数据共享与同步更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二、必备配套附件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2.1 定位校准附件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头部定位架：采用可调节式设计，包含额托、下颌托及侧方固定带，可稳定固定患者头部，确保测试过程中头部位置保持不变，额托与下颌托采用医用硅胶材质，具备透气性与舒适性，适配不同头型的患者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（2）校准标定板：带有标准刻度与定位标记，用于红外摄像系统的定期校准，确保眼动追踪的准确性，校准精度误差≤0.2°，需每三个月进行一次标定检查。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2.2 患者辅助附件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（1）医用眼罩：采用遮光性材质制作，单眼独立设计，用于单眼测试时遮挡非测试眼，避免光线干扰与眼球联动影响测试结果，眼罩边缘贴合面部轮廓，佩戴舒适无压迫感。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（2）隔音耳塞：具备降噪功能，降噪值≥25dB，用于减少外界噪音对前庭刺激测试的干扰，确保患者能准确感知刺激信号，材质柔软无刺激性，可一次性使用或消毒后重复使用。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（3）体位垫：包含颈部垫、腰部垫，采用记忆棉材质，用于调整患者测试体位（坐姿、仰卧位），提升患者舒适度，避免长时间测试导致的肌肉疲劳，垫套可拆卸清洗，符合医用卫生标准。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2.3 维护保养附件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（1）镜头清洁套装：包含专用镜头纸、镜头清洁液、吹气球，用于定期清洁红外摄像头镜头表面的灰尘、指纹及污渍，避免影响成像质量，清洁液需为无腐蚀性的光学专用清洁剂。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（2）设备防尘罩：采用防静电、防水材质制作，尺寸与设备主机及显示终端匹配，用于设备闲置时覆盖，防止灰尘、水汽进入设备内部，延长设备使用寿命。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（3）专用工具包：包含内六角扳手、螺丝刀、镊子等常用工具，用于设备的日常检修与部件紧固，工具均采用防锈材质，配备专用收纳盒，便于存放与取用。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2.4 数据传输附件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（1）高速数据线：包含USB3.0及以上规格的数据传输线，用于主机与红外摄像系统、前庭刺激模块的连接，传输速率≥5Gbps，确保数据实时稳定传输，线缆具备抗干扰屏蔽层，避免电磁信号干扰。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（2）无线传输模块：支持Wi-Fi 6或蓝牙5.0及以上标准，用于设备与医院数据服务器的无线连接，实现测试数据的实时上传与备份，传输距离≥10米，具备数据加密功能，确保传输过程中数据安全。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（3）移动存储设备：配备容量≥128GB的加密U盘，用于紧急情况下的数据备份与离线传输，U盘需具备防摔、防水特性，符合工业级使用标准。</w:t>
            </w:r>
          </w:p>
        </w:tc>
      </w:tr>
      <w:tr w:rsidR="002948C9" w14:paraId="00EAB9F1" w14:textId="77777777">
        <w:trPr>
          <w:trHeight w:val="2000"/>
        </w:trPr>
        <w:tc>
          <w:tcPr>
            <w:tcW w:w="700" w:type="dxa"/>
            <w:vAlign w:val="center"/>
          </w:tcPr>
          <w:p w14:paraId="109E36B5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lastRenderedPageBreak/>
              <w:t>三</w:t>
            </w:r>
          </w:p>
        </w:tc>
        <w:tc>
          <w:tcPr>
            <w:tcW w:w="8380" w:type="dxa"/>
            <w:vAlign w:val="center"/>
          </w:tcPr>
          <w:p w14:paraId="5BF229B3" w14:textId="3500D7FF" w:rsidR="002948C9" w:rsidRDefault="00862F3C" w:rsidP="00013A7B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一、核心性能参数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眼震采集帧率≥120fps，水平与垂直眼动测量范围均达±45°，角度测量精度≤0.1°，固视抑制率≤8%；支持自发眼震、位置性眼震、变位试验等全项前庭功能测试，测试结果重复性符合临床诊断标准。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二、关键硬件配置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配备≥200万像素高清红外摄像头，内置</w:t>
            </w:r>
            <w:r w:rsidR="00013A7B">
              <w:rPr>
                <w:rFonts w:ascii="宋体" w:eastAsia="宋体" w:hAnsi="宋体" w:cs="宋体"/>
                <w:kern w:val="0"/>
                <w:sz w:val="24"/>
                <w:lang w:bidi="ar"/>
              </w:rPr>
              <w:t>≥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850nm无频闪红外照明模块；头戴式主体重量≤300g，采用人体工学贴合设计；支持USB供电与内置锂电池（续航≥4小时）双模式，适配桌面、移动诊疗场景。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三、软件模块功能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具备实时眼动追踪与动态分析功能，自动生成结构化眼震诊断报告；涵盖扫视、凝视、前庭眼动反射、视动性眼震等测试模块，支持自定义测试流程与参数阈值；提供历史数据回溯与多维度对比分析功能。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四、数据与系统兼容性</w:t>
            </w: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br/>
              <w:t>支持DICOM、HL7国际标准数据接口，可对接医院HIS、PACS系统，实现测试数据双向稳定传输；接口开发、调试及后续维护费用全部由投标公司全额承担，确保系统无缝集成且数据交互安全合规。</w:t>
            </w:r>
          </w:p>
        </w:tc>
      </w:tr>
      <w:tr w:rsidR="002948C9" w14:paraId="3D8FCE76" w14:textId="77777777">
        <w:trPr>
          <w:trHeight w:val="2000"/>
        </w:trPr>
        <w:tc>
          <w:tcPr>
            <w:tcW w:w="700" w:type="dxa"/>
            <w:vAlign w:val="center"/>
          </w:tcPr>
          <w:p w14:paraId="54A92E24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四</w:t>
            </w:r>
          </w:p>
        </w:tc>
        <w:tc>
          <w:tcPr>
            <w:tcW w:w="8380" w:type="dxa"/>
            <w:shd w:val="clear" w:color="auto" w:fill="FFFFFF"/>
            <w:vAlign w:val="center"/>
          </w:tcPr>
          <w:p w14:paraId="2375544C" w14:textId="77777777" w:rsidR="002948C9" w:rsidRDefault="00862F3C">
            <w:pPr>
              <w:widowControl/>
              <w:jc w:val="left"/>
              <w:rPr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眼震视图仪无需常规检测试剂，仅需少量配套耗材：一次性电极片、导电膏等为通用类，可适配多品牌同类型设备；少数品牌特定校准组件为专机专用类，需从原厂采购以保障设备精准运行。</w:t>
            </w:r>
          </w:p>
        </w:tc>
      </w:tr>
      <w:tr w:rsidR="002948C9" w14:paraId="3B6BE54E" w14:textId="77777777">
        <w:trPr>
          <w:trHeight w:val="2000"/>
        </w:trPr>
        <w:tc>
          <w:tcPr>
            <w:tcW w:w="700" w:type="dxa"/>
            <w:vAlign w:val="center"/>
          </w:tcPr>
          <w:p w14:paraId="7D1DF1A4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五</w:t>
            </w:r>
          </w:p>
        </w:tc>
        <w:tc>
          <w:tcPr>
            <w:tcW w:w="8380" w:type="dxa"/>
            <w:vAlign w:val="center"/>
          </w:tcPr>
          <w:p w14:paraId="73B7A981" w14:textId="77777777" w:rsidR="002948C9" w:rsidRDefault="00862F3C">
            <w:pPr>
              <w:widowControl/>
              <w:jc w:val="left"/>
            </w:pPr>
            <w:r>
              <w:rPr>
                <w:rFonts w:ascii="宋体" w:eastAsia="宋体" w:hAnsi="宋体" w:cs="宋体"/>
                <w:kern w:val="0"/>
                <w:sz w:val="24"/>
                <w:lang w:bidi="ar"/>
              </w:rPr>
              <w:t>售后服务要求（免费保修期≥__2__年，现场响应时间：≤__24__小时，维修期间是否供备用机，设备技术培训，设备使用年限≥__5__年等）</w:t>
            </w:r>
          </w:p>
        </w:tc>
      </w:tr>
      <w:tr w:rsidR="002948C9" w14:paraId="672FE33B" w14:textId="77777777">
        <w:trPr>
          <w:trHeight w:val="2160"/>
        </w:trPr>
        <w:tc>
          <w:tcPr>
            <w:tcW w:w="9080" w:type="dxa"/>
            <w:gridSpan w:val="2"/>
            <w:vAlign w:val="center"/>
          </w:tcPr>
          <w:p w14:paraId="378ABEC0" w14:textId="77777777" w:rsidR="002948C9" w:rsidRDefault="00862F3C">
            <w:pPr>
              <w:widowControl/>
              <w:jc w:val="left"/>
              <w:rPr>
                <w:color w:val="FF0000"/>
                <w:sz w:val="24"/>
              </w:rPr>
            </w:pP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t>特别提醒：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①标“▲”号的为实质性参数，任意一项“▲”参数未达到，即做废标处理；</w:t>
            </w:r>
            <w:r>
              <w:rPr>
                <w:rFonts w:ascii="宋体" w:eastAsia="宋体" w:hAnsi="宋体" w:cs="宋体"/>
                <w:color w:val="FF0000"/>
                <w:kern w:val="0"/>
                <w:sz w:val="24"/>
                <w:lang w:bidi="ar"/>
              </w:rPr>
              <w:br/>
              <w:t>②标“★”号的为重要参数，是分值权重较高的参数；</w:t>
            </w:r>
          </w:p>
        </w:tc>
      </w:tr>
    </w:tbl>
    <w:p w14:paraId="60C3214E" w14:textId="77777777" w:rsidR="002948C9" w:rsidRDefault="002948C9"/>
    <w:sectPr w:rsidR="002948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4A791" w14:textId="77777777" w:rsidR="00CE5355" w:rsidRDefault="00CE5355" w:rsidP="00013A7B">
      <w:r>
        <w:separator/>
      </w:r>
    </w:p>
  </w:endnote>
  <w:endnote w:type="continuationSeparator" w:id="0">
    <w:p w14:paraId="02C24497" w14:textId="77777777" w:rsidR="00CE5355" w:rsidRDefault="00CE5355" w:rsidP="00013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ar(--dsw-font-markdown-table-h">
    <w:altName w:val="Segoe Print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E3110" w14:textId="77777777" w:rsidR="00CE5355" w:rsidRDefault="00CE5355" w:rsidP="00013A7B">
      <w:r>
        <w:separator/>
      </w:r>
    </w:p>
  </w:footnote>
  <w:footnote w:type="continuationSeparator" w:id="0">
    <w:p w14:paraId="73BACEAA" w14:textId="77777777" w:rsidR="00CE5355" w:rsidRDefault="00CE5355" w:rsidP="00013A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KY_MEDREF_DOCUID" w:val="{49502844-22B6-4656-A963-FBEC010339A1}"/>
    <w:docVar w:name="KY_MEDREF_VERSION" w:val="3"/>
  </w:docVars>
  <w:rsids>
    <w:rsidRoot w:val="002948C9"/>
    <w:rsid w:val="00013A7B"/>
    <w:rsid w:val="001D09D6"/>
    <w:rsid w:val="002948C9"/>
    <w:rsid w:val="00544619"/>
    <w:rsid w:val="00862F3C"/>
    <w:rsid w:val="009D4AB7"/>
    <w:rsid w:val="00CE5355"/>
    <w:rsid w:val="02296388"/>
    <w:rsid w:val="039A65F4"/>
    <w:rsid w:val="0A9B415C"/>
    <w:rsid w:val="0FE070E2"/>
    <w:rsid w:val="18065216"/>
    <w:rsid w:val="197E0A92"/>
    <w:rsid w:val="29772E93"/>
    <w:rsid w:val="340A2063"/>
    <w:rsid w:val="369F70A9"/>
    <w:rsid w:val="512841B5"/>
    <w:rsid w:val="55A463B5"/>
    <w:rsid w:val="580B7C81"/>
    <w:rsid w:val="62BB5B68"/>
    <w:rsid w:val="7A83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850EA88"/>
  <w15:docId w15:val="{63319571-CE34-4FF6-8CD9-803A6DF8E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character" w:styleId="a4">
    <w:name w:val="Strong"/>
    <w:basedOn w:val="a0"/>
    <w:qFormat/>
    <w:rPr>
      <w:b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101">
    <w:name w:val="font10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2">
    <w:name w:val="font112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b/>
      <w:bCs/>
      <w:color w:val="000000"/>
      <w:sz w:val="24"/>
      <w:szCs w:val="24"/>
      <w:u w:val="none"/>
    </w:rPr>
  </w:style>
  <w:style w:type="character" w:customStyle="1" w:styleId="font31">
    <w:name w:val="font31"/>
    <w:basedOn w:val="a0"/>
    <w:qFormat/>
    <w:rPr>
      <w:rFonts w:ascii="宋体" w:eastAsia="宋体" w:hAnsi="宋体" w:cs="宋体" w:hint="eastAsia"/>
      <w:b/>
      <w:bCs/>
      <w:color w:val="FF0000"/>
      <w:sz w:val="24"/>
      <w:szCs w:val="24"/>
      <w:u w:val="none"/>
    </w:rPr>
  </w:style>
  <w:style w:type="character" w:customStyle="1" w:styleId="font71">
    <w:name w:val="font7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81">
    <w:name w:val="font81"/>
    <w:basedOn w:val="a0"/>
    <w:qFormat/>
    <w:rPr>
      <w:rFonts w:ascii="var(--dsw-font-markdown-table-h" w:eastAsia="var(--dsw-font-markdown-table-h" w:hAnsi="var(--dsw-font-markdown-table-h" w:cs="var(--dsw-font-markdown-table-h"/>
      <w:color w:val="000000"/>
      <w:sz w:val="24"/>
      <w:szCs w:val="24"/>
      <w:bdr w:val="single" w:sz="4" w:space="0" w:color="000000"/>
      <w:shd w:val="clear" w:color="auto" w:fill="FFFFFF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color w:val="0F1115"/>
      <w:sz w:val="24"/>
      <w:szCs w:val="24"/>
      <w:u w:val="none"/>
    </w:rPr>
  </w:style>
  <w:style w:type="paragraph" w:styleId="a5">
    <w:name w:val="header"/>
    <w:basedOn w:val="a"/>
    <w:link w:val="a6"/>
    <w:rsid w:val="00013A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013A7B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013A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013A7B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1383</Words>
  <Characters>1481</Characters>
  <Application>Microsoft Office Word</Application>
  <DocSecurity>0</DocSecurity>
  <Lines>61</Lines>
  <Paragraphs>18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56594</dc:creator>
  <cp:lastModifiedBy>Administrator</cp:lastModifiedBy>
  <cp:revision>4</cp:revision>
  <dcterms:created xsi:type="dcterms:W3CDTF">2026-02-23T07:12:00Z</dcterms:created>
  <dcterms:modified xsi:type="dcterms:W3CDTF">2026-05-08T07:23:00Z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eyJoZGlkIjoiY2M0ZmFiNWYyYTliNDg4ODNjMWZhY2U1MWRmZGJmOWYiLCJ1c2VySWQiOiI0MjAzMTQzODkifQ==</vt:lpwstr>
  </property>
  <property fmtid="{D5CDD505-2E9C-101B-9397-08002B2CF9AE}" pid="4" name="ICV">
    <vt:lpwstr>866436AF4099436686C923FA640DC496_13</vt:lpwstr>
  </property>
</Properties>
</file>