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FC7C7" w14:textId="77777777" w:rsidR="007D4085" w:rsidRDefault="007D4085">
      <w:pPr>
        <w:jc w:val="center"/>
        <w:rPr>
          <w:b/>
          <w:bCs/>
          <w:sz w:val="30"/>
          <w:szCs w:val="30"/>
        </w:rPr>
      </w:pPr>
    </w:p>
    <w:tbl>
      <w:tblPr>
        <w:tblpPr w:leftFromText="180" w:rightFromText="180" w:vertAnchor="text" w:horzAnchor="page" w:tblpX="1855" w:tblpY="331"/>
        <w:tblOverlap w:val="neve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76"/>
      </w:tblGrid>
      <w:tr w:rsidR="007D4085" w14:paraId="42F24C92" w14:textId="77777777">
        <w:trPr>
          <w:trHeight w:val="624"/>
        </w:trPr>
        <w:tc>
          <w:tcPr>
            <w:tcW w:w="9080" w:type="dxa"/>
            <w:gridSpan w:val="2"/>
            <w:vMerge w:val="restart"/>
            <w:vAlign w:val="center"/>
          </w:tcPr>
          <w:p w14:paraId="0A5D8C0E" w14:textId="43FC474E" w:rsidR="007D4085" w:rsidRDefault="00A94059">
            <w:pPr>
              <w:widowControl/>
              <w:jc w:val="center"/>
              <w:rPr>
                <w:b/>
                <w:bCs/>
                <w:sz w:val="30"/>
                <w:szCs w:val="30"/>
              </w:rPr>
            </w:pPr>
            <w:r w:rsidRPr="00A94059">
              <w:rPr>
                <w:rFonts w:ascii="宋体" w:eastAsia="宋体" w:hAnsi="宋体" w:cs="宋体"/>
                <w:b/>
                <w:bCs/>
                <w:kern w:val="0"/>
                <w:sz w:val="30"/>
                <w:szCs w:val="30"/>
                <w:lang w:bidi="ar"/>
              </w:rPr>
              <w:t>蒸汽发生器</w:t>
            </w:r>
            <w:r w:rsidR="00CA6572">
              <w:rPr>
                <w:rFonts w:ascii="宋体" w:eastAsia="宋体" w:hAnsi="宋体" w:cs="宋体"/>
                <w:b/>
                <w:bCs/>
                <w:kern w:val="0"/>
                <w:sz w:val="30"/>
                <w:szCs w:val="30"/>
                <w:lang w:bidi="ar"/>
              </w:rPr>
              <w:t>采购需求</w:t>
            </w:r>
          </w:p>
        </w:tc>
      </w:tr>
      <w:tr w:rsidR="007D4085" w14:paraId="2BD5AD4C" w14:textId="77777777">
        <w:trPr>
          <w:trHeight w:val="600"/>
        </w:trPr>
        <w:tc>
          <w:tcPr>
            <w:tcW w:w="9080" w:type="dxa"/>
            <w:gridSpan w:val="2"/>
            <w:vMerge/>
            <w:vAlign w:val="center"/>
          </w:tcPr>
          <w:p w14:paraId="742F02D2" w14:textId="77777777" w:rsidR="007D4085" w:rsidRDefault="007D4085">
            <w:pPr>
              <w:rPr>
                <w:rFonts w:ascii="宋体"/>
                <w:b/>
                <w:bCs/>
                <w:sz w:val="24"/>
              </w:rPr>
            </w:pPr>
          </w:p>
        </w:tc>
      </w:tr>
      <w:tr w:rsidR="007D4085" w14:paraId="18DD7D40" w14:textId="77777777">
        <w:trPr>
          <w:trHeight w:val="2000"/>
        </w:trPr>
        <w:tc>
          <w:tcPr>
            <w:tcW w:w="704" w:type="dxa"/>
            <w:vAlign w:val="center"/>
          </w:tcPr>
          <w:p w14:paraId="0306CF0E" w14:textId="77777777" w:rsidR="007D4085" w:rsidRDefault="00CA6572">
            <w:pPr>
              <w:widowControl/>
              <w:jc w:val="left"/>
            </w:pPr>
            <w:proofErr w:type="gramStart"/>
            <w:r>
              <w:rPr>
                <w:rFonts w:ascii="宋体" w:eastAsia="宋体" w:hAnsi="宋体" w:cs="宋体"/>
                <w:kern w:val="0"/>
                <w:sz w:val="24"/>
                <w:lang w:bidi="ar"/>
              </w:rPr>
              <w:t>一</w:t>
            </w:r>
            <w:proofErr w:type="gramEnd"/>
          </w:p>
        </w:tc>
        <w:tc>
          <w:tcPr>
            <w:tcW w:w="8376" w:type="dxa"/>
            <w:vAlign w:val="center"/>
          </w:tcPr>
          <w:p w14:paraId="355F3EC1" w14:textId="77777777" w:rsidR="007D4085" w:rsidRDefault="00CA6572">
            <w:pPr>
              <w:widowControl/>
              <w:jc w:val="left"/>
            </w:pPr>
            <w:r>
              <w:rPr>
                <w:rFonts w:ascii="宋体" w:eastAsia="宋体" w:hAnsi="宋体" w:cs="宋体"/>
                <w:kern w:val="0"/>
                <w:sz w:val="24"/>
                <w:lang w:bidi="ar"/>
              </w:rPr>
              <w:t>适用范围及用途：为清洗消毒及灭菌设备提供蒸汽源，应用于消毒供应中心一楼设备间。</w:t>
            </w:r>
          </w:p>
        </w:tc>
      </w:tr>
      <w:tr w:rsidR="007D4085" w14:paraId="2841EE81" w14:textId="77777777">
        <w:trPr>
          <w:trHeight w:val="2000"/>
        </w:trPr>
        <w:tc>
          <w:tcPr>
            <w:tcW w:w="704" w:type="dxa"/>
            <w:vAlign w:val="center"/>
          </w:tcPr>
          <w:p w14:paraId="00EEE6CF" w14:textId="77777777" w:rsidR="007D4085" w:rsidRDefault="00CA6572">
            <w:pPr>
              <w:widowControl/>
              <w:jc w:val="left"/>
            </w:pPr>
            <w:r>
              <w:rPr>
                <w:rFonts w:ascii="宋体" w:eastAsia="宋体" w:hAnsi="宋体" w:cs="宋体"/>
                <w:kern w:val="0"/>
                <w:sz w:val="24"/>
                <w:lang w:bidi="ar"/>
              </w:rPr>
              <w:t>二</w:t>
            </w:r>
          </w:p>
        </w:tc>
        <w:tc>
          <w:tcPr>
            <w:tcW w:w="8376" w:type="dxa"/>
            <w:vAlign w:val="center"/>
          </w:tcPr>
          <w:p w14:paraId="546333F6" w14:textId="77777777" w:rsidR="007D4085" w:rsidRDefault="00CA6572">
            <w:pPr>
              <w:widowControl/>
              <w:jc w:val="left"/>
            </w:pPr>
            <w:r>
              <w:rPr>
                <w:rFonts w:ascii="宋体" w:eastAsia="宋体" w:hAnsi="宋体" w:cs="宋体"/>
                <w:kern w:val="0"/>
                <w:sz w:val="24"/>
                <w:lang w:bidi="ar"/>
              </w:rPr>
              <w:t>设备配置与要求：蒸发器主机2台、 安全阀2套、压力表2套。</w:t>
            </w:r>
          </w:p>
        </w:tc>
      </w:tr>
      <w:tr w:rsidR="007D4085" w14:paraId="00EAB9F1" w14:textId="77777777">
        <w:trPr>
          <w:trHeight w:val="2000"/>
        </w:trPr>
        <w:tc>
          <w:tcPr>
            <w:tcW w:w="704" w:type="dxa"/>
            <w:vAlign w:val="center"/>
          </w:tcPr>
          <w:p w14:paraId="109E36B5" w14:textId="77777777" w:rsidR="007D4085" w:rsidRDefault="00CA6572">
            <w:pPr>
              <w:widowControl/>
              <w:jc w:val="left"/>
            </w:pPr>
            <w:r>
              <w:rPr>
                <w:rFonts w:ascii="宋体" w:eastAsia="宋体" w:hAnsi="宋体" w:cs="宋体"/>
                <w:kern w:val="0"/>
                <w:sz w:val="24"/>
                <w:lang w:bidi="ar"/>
              </w:rPr>
              <w:t>三</w:t>
            </w:r>
          </w:p>
        </w:tc>
        <w:tc>
          <w:tcPr>
            <w:tcW w:w="8376" w:type="dxa"/>
            <w:vAlign w:val="center"/>
          </w:tcPr>
          <w:p w14:paraId="5BF229B3" w14:textId="08AC48B9" w:rsidR="007D4085" w:rsidRDefault="00CA6572" w:rsidP="00F23E24">
            <w:pPr>
              <w:widowControl/>
              <w:jc w:val="left"/>
            </w:pPr>
            <w:r>
              <w:rPr>
                <w:rFonts w:ascii="宋体" w:eastAsia="宋体" w:hAnsi="宋体" w:cs="宋体" w:hint="eastAsia"/>
                <w:b/>
                <w:bCs/>
                <w:color w:val="0F1115"/>
                <w:kern w:val="0"/>
                <w:sz w:val="24"/>
                <w:lang w:bidi="ar"/>
              </w:rPr>
              <w:t xml:space="preserve">技术参数与性能要求：包含设备的核心性能参数、关键的硬件配置、软件模块功能、数据与系统兼容性（产生接口费用，由投标公司承担）                 </w:t>
            </w:r>
            <w:r>
              <w:rPr>
                <w:rFonts w:ascii="宋体" w:eastAsia="宋体" w:hAnsi="宋体" w:cs="宋体" w:hint="eastAsia"/>
                <w:color w:val="0F1115"/>
                <w:kern w:val="0"/>
                <w:sz w:val="24"/>
                <w:lang w:bidi="ar"/>
              </w:rPr>
              <w:t>技术参数与性能要求：</w:t>
            </w:r>
            <w:r>
              <w:rPr>
                <w:rFonts w:ascii="宋体" w:eastAsia="宋体" w:hAnsi="宋体" w:cs="宋体" w:hint="eastAsia"/>
                <w:color w:val="0F1115"/>
                <w:kern w:val="0"/>
                <w:sz w:val="24"/>
                <w:lang w:bidi="ar"/>
              </w:rPr>
              <w:br/>
              <w:t>1.主体结构：材质选用优质无缝钢管。</w:t>
            </w:r>
            <w:r>
              <w:rPr>
                <w:rFonts w:ascii="宋体" w:eastAsia="宋体" w:hAnsi="宋体" w:cs="宋体" w:hint="eastAsia"/>
                <w:color w:val="0F1115"/>
                <w:kern w:val="0"/>
                <w:sz w:val="24"/>
                <w:lang w:bidi="ar"/>
              </w:rPr>
              <w:br/>
              <w:t>2.产汽量：≥80kg/h。</w:t>
            </w:r>
            <w:r>
              <w:rPr>
                <w:rFonts w:ascii="宋体" w:eastAsia="宋体" w:hAnsi="宋体" w:cs="宋体" w:hint="eastAsia"/>
                <w:color w:val="0F1115"/>
                <w:kern w:val="0"/>
                <w:sz w:val="24"/>
                <w:lang w:bidi="ar"/>
              </w:rPr>
              <w:br/>
              <w:t>3.设计压力：≥0.7Mpa。                                                                                                          4.设计温度：≥170℃。</w:t>
            </w:r>
            <w:r>
              <w:rPr>
                <w:rFonts w:ascii="宋体" w:eastAsia="宋体" w:hAnsi="宋体" w:cs="宋体" w:hint="eastAsia"/>
                <w:color w:val="0F1115"/>
                <w:kern w:val="0"/>
                <w:sz w:val="24"/>
                <w:lang w:bidi="ar"/>
              </w:rPr>
              <w:br/>
              <w:t>5.外形尺寸：设备尺寸≤1300×850×</w:t>
            </w:r>
            <w:r w:rsidR="00F23E24">
              <w:rPr>
                <w:rFonts w:ascii="宋体" w:eastAsia="宋体" w:hAnsi="宋体" w:cs="宋体" w:hint="eastAsia"/>
                <w:color w:val="0F1115"/>
                <w:kern w:val="0"/>
                <w:sz w:val="24"/>
                <w:lang w:bidi="ar"/>
              </w:rPr>
              <w:t>1900</w:t>
            </w:r>
            <w:r>
              <w:rPr>
                <w:rFonts w:ascii="宋体" w:eastAsia="宋体" w:hAnsi="宋体" w:cs="宋体" w:hint="eastAsia"/>
                <w:color w:val="0F1115"/>
                <w:kern w:val="0"/>
                <w:sz w:val="24"/>
                <w:lang w:bidi="ar"/>
              </w:rPr>
              <w:t>(mm) (长×宽×高)，安装包含与现场管道对接。</w:t>
            </w:r>
            <w:r>
              <w:rPr>
                <w:rFonts w:ascii="宋体" w:eastAsia="宋体" w:hAnsi="宋体" w:cs="宋体" w:hint="eastAsia"/>
                <w:color w:val="0F1115"/>
                <w:kern w:val="0"/>
                <w:sz w:val="24"/>
                <w:lang w:bidi="ar"/>
              </w:rPr>
              <w:br/>
              <w:t>6.安装资质：该设备属于压力容器，生产厂家具备并提供特种设备生产许可证件和特种设备安装改造修理许可证。</w:t>
            </w:r>
            <w:r>
              <w:rPr>
                <w:rFonts w:ascii="宋体" w:eastAsia="宋体" w:hAnsi="宋体" w:cs="宋体" w:hint="eastAsia"/>
                <w:color w:val="0F1115"/>
                <w:kern w:val="0"/>
                <w:sz w:val="24"/>
                <w:lang w:bidi="ar"/>
              </w:rPr>
              <w:br/>
              <w:t>7.加热管：加热元件不锈钢材质，可实现对电热管单根或多根进行更换等特点。</w:t>
            </w:r>
            <w:r>
              <w:rPr>
                <w:rFonts w:ascii="宋体" w:eastAsia="宋体" w:hAnsi="宋体" w:cs="宋体" w:hint="eastAsia"/>
                <w:color w:val="0F1115"/>
                <w:kern w:val="0"/>
                <w:sz w:val="24"/>
                <w:lang w:bidi="ar"/>
              </w:rPr>
              <w:br/>
              <w:t>8.过电流保护功能：当发生器在工作过程中，由于各种意外造成电流过大时，将会启动电路保护功能，防止对人员及设备造成伤害。</w:t>
            </w:r>
            <w:r>
              <w:rPr>
                <w:rFonts w:ascii="宋体" w:eastAsia="宋体" w:hAnsi="宋体" w:cs="宋体" w:hint="eastAsia"/>
                <w:color w:val="0F1115"/>
                <w:kern w:val="0"/>
                <w:sz w:val="24"/>
                <w:lang w:bidi="ar"/>
              </w:rPr>
              <w:br/>
              <w:t>9.自动加水功能：在工作过程中，由于蒸汽的不断输出，使发生器器身内的水位不断下降。当其下降到中水位时，加水泵自动开始工作，向发生器内补充软化水至上水位；当水位升至上水位后，加水泵关闭，停止进水。</w:t>
            </w:r>
            <w:r>
              <w:rPr>
                <w:rFonts w:ascii="宋体" w:eastAsia="宋体" w:hAnsi="宋体" w:cs="宋体" w:hint="eastAsia"/>
                <w:color w:val="0F1115"/>
                <w:kern w:val="0"/>
                <w:sz w:val="24"/>
                <w:lang w:bidi="ar"/>
              </w:rPr>
              <w:br/>
              <w:t>10.压力自动控制功能：当发生器器身内蒸汽压力达到压力控制器所设置的上限值时，可自动切断加热电源；当发生器器身内蒸汽压力降低到所设置的下限值时，可自动接通加热电源，以保证蒸汽以基本恒定的压力输出。</w:t>
            </w:r>
            <w:r>
              <w:rPr>
                <w:rFonts w:ascii="宋体" w:eastAsia="宋体" w:hAnsi="宋体" w:cs="宋体" w:hint="eastAsia"/>
                <w:color w:val="0F1115"/>
                <w:kern w:val="0"/>
                <w:sz w:val="24"/>
                <w:lang w:bidi="ar"/>
              </w:rPr>
              <w:br/>
              <w:t>11.缺水自动保护功能：采用液位控制器和温度控制器双重自动保护措施。</w:t>
            </w:r>
          </w:p>
        </w:tc>
      </w:tr>
      <w:tr w:rsidR="007D4085" w14:paraId="3D8FCE76" w14:textId="77777777">
        <w:trPr>
          <w:trHeight w:val="2000"/>
        </w:trPr>
        <w:tc>
          <w:tcPr>
            <w:tcW w:w="704" w:type="dxa"/>
            <w:vAlign w:val="center"/>
          </w:tcPr>
          <w:p w14:paraId="54A92E24" w14:textId="77777777" w:rsidR="007D4085" w:rsidRDefault="00CA6572">
            <w:pPr>
              <w:widowControl/>
              <w:jc w:val="left"/>
            </w:pPr>
            <w:r>
              <w:rPr>
                <w:rFonts w:ascii="宋体" w:eastAsia="宋体" w:hAnsi="宋体" w:cs="宋体"/>
                <w:kern w:val="0"/>
                <w:sz w:val="24"/>
                <w:lang w:bidi="ar"/>
              </w:rPr>
              <w:lastRenderedPageBreak/>
              <w:t>四</w:t>
            </w:r>
          </w:p>
        </w:tc>
        <w:tc>
          <w:tcPr>
            <w:tcW w:w="8376" w:type="dxa"/>
            <w:shd w:val="clear" w:color="auto" w:fill="FFFFFF"/>
            <w:vAlign w:val="center"/>
          </w:tcPr>
          <w:p w14:paraId="2375544C" w14:textId="77777777" w:rsidR="007D4085" w:rsidRDefault="00CA6572">
            <w:pPr>
              <w:widowControl/>
              <w:jc w:val="left"/>
              <w:rPr>
                <w:color w:val="000000"/>
                <w:sz w:val="24"/>
              </w:rPr>
            </w:pPr>
            <w:r>
              <w:rPr>
                <w:rFonts w:ascii="宋体" w:eastAsia="宋体" w:hAnsi="宋体" w:cs="宋体" w:hint="eastAsia"/>
                <w:color w:val="000000"/>
                <w:kern w:val="0"/>
                <w:sz w:val="24"/>
                <w:lang w:bidi="ar"/>
              </w:rPr>
              <w:t>配套试剂</w:t>
            </w:r>
            <w:r>
              <w:rPr>
                <w:rFonts w:ascii="var(--dsw-font-markdown-table-h" w:eastAsia="var(--dsw-font-markdown-table-h" w:hAnsi="var(--dsw-font-markdown-table-h" w:cs="var(--dsw-font-markdown-table-h"/>
                <w:color w:val="000000"/>
                <w:kern w:val="0"/>
                <w:sz w:val="24"/>
                <w:bdr w:val="single" w:sz="4" w:space="0" w:color="000000"/>
                <w:shd w:val="clear" w:color="auto" w:fill="FFFFFF"/>
                <w:lang w:bidi="ar"/>
              </w:rPr>
              <w:t>/</w:t>
            </w:r>
            <w:r>
              <w:rPr>
                <w:rFonts w:ascii="宋体" w:eastAsia="宋体" w:hAnsi="宋体" w:cs="宋体" w:hint="eastAsia"/>
                <w:color w:val="000000"/>
                <w:kern w:val="0"/>
                <w:sz w:val="24"/>
                <w:lang w:bidi="ar"/>
              </w:rPr>
              <w:t>耗材要求：无</w:t>
            </w:r>
          </w:p>
        </w:tc>
      </w:tr>
      <w:tr w:rsidR="007D4085" w14:paraId="3B6BE54E" w14:textId="77777777">
        <w:trPr>
          <w:trHeight w:val="2000"/>
        </w:trPr>
        <w:tc>
          <w:tcPr>
            <w:tcW w:w="704" w:type="dxa"/>
            <w:vAlign w:val="center"/>
          </w:tcPr>
          <w:p w14:paraId="7D1DF1A4" w14:textId="77777777" w:rsidR="007D4085" w:rsidRDefault="00CA6572">
            <w:pPr>
              <w:widowControl/>
              <w:jc w:val="left"/>
            </w:pPr>
            <w:r>
              <w:rPr>
                <w:rFonts w:ascii="宋体" w:eastAsia="宋体" w:hAnsi="宋体" w:cs="宋体"/>
                <w:kern w:val="0"/>
                <w:sz w:val="24"/>
                <w:lang w:bidi="ar"/>
              </w:rPr>
              <w:t>五</w:t>
            </w:r>
          </w:p>
        </w:tc>
        <w:tc>
          <w:tcPr>
            <w:tcW w:w="8376" w:type="dxa"/>
            <w:vAlign w:val="center"/>
          </w:tcPr>
          <w:p w14:paraId="73B7A981" w14:textId="77777777" w:rsidR="007D4085" w:rsidRDefault="00CA6572">
            <w:pPr>
              <w:widowControl/>
              <w:jc w:val="left"/>
            </w:pPr>
            <w:r>
              <w:rPr>
                <w:rFonts w:ascii="宋体" w:eastAsia="宋体" w:hAnsi="宋体" w:cs="宋体"/>
                <w:kern w:val="0"/>
                <w:sz w:val="24"/>
                <w:lang w:bidi="ar"/>
              </w:rPr>
              <w:t>售后服务要求（免费保修期≥__3__年，现场响应时间：≤__24__小时，维修期间是否供备用机，设备技术培训，设备使用年限≥__8__年等）</w:t>
            </w:r>
          </w:p>
        </w:tc>
      </w:tr>
      <w:tr w:rsidR="007D4085" w14:paraId="672FE33B" w14:textId="77777777">
        <w:trPr>
          <w:trHeight w:val="2160"/>
        </w:trPr>
        <w:tc>
          <w:tcPr>
            <w:tcW w:w="9080" w:type="dxa"/>
            <w:gridSpan w:val="2"/>
            <w:vAlign w:val="center"/>
          </w:tcPr>
          <w:p w14:paraId="378ABEC0" w14:textId="77777777" w:rsidR="007D4085" w:rsidRDefault="00CA6572">
            <w:pPr>
              <w:widowControl/>
              <w:jc w:val="left"/>
              <w:rPr>
                <w:color w:val="FF0000"/>
                <w:sz w:val="24"/>
              </w:rPr>
            </w:pPr>
            <w:r>
              <w:rPr>
                <w:rFonts w:ascii="宋体" w:eastAsia="宋体" w:hAnsi="宋体" w:cs="宋体"/>
                <w:color w:val="FF0000"/>
                <w:kern w:val="0"/>
                <w:sz w:val="24"/>
                <w:lang w:bidi="ar"/>
              </w:rPr>
              <w:t>特别提醒：</w:t>
            </w:r>
            <w:r>
              <w:rPr>
                <w:rFonts w:ascii="宋体" w:eastAsia="宋体" w:hAnsi="宋体" w:cs="宋体"/>
                <w:color w:val="FF0000"/>
                <w:kern w:val="0"/>
                <w:sz w:val="24"/>
                <w:lang w:bidi="ar"/>
              </w:rPr>
              <w:br/>
              <w:t>①标“▲”号的为实质性参数，任意一项“▲”参数未达到，即做废标处理；</w:t>
            </w:r>
            <w:r>
              <w:rPr>
                <w:rFonts w:ascii="宋体" w:eastAsia="宋体" w:hAnsi="宋体" w:cs="宋体"/>
                <w:color w:val="FF0000"/>
                <w:kern w:val="0"/>
                <w:sz w:val="24"/>
                <w:lang w:bidi="ar"/>
              </w:rPr>
              <w:br/>
              <w:t>②标“★”号的为重要参数，是分值权重较高的参数；</w:t>
            </w:r>
          </w:p>
        </w:tc>
      </w:tr>
    </w:tbl>
    <w:p w14:paraId="60C3214E" w14:textId="77777777" w:rsidR="007D4085" w:rsidRDefault="007D4085"/>
    <w:sectPr w:rsidR="007D40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AA0C" w14:textId="77777777" w:rsidR="005B042B" w:rsidRDefault="005B042B" w:rsidP="00F23E24">
      <w:r>
        <w:separator/>
      </w:r>
    </w:p>
  </w:endnote>
  <w:endnote w:type="continuationSeparator" w:id="0">
    <w:p w14:paraId="7565AD03" w14:textId="77777777" w:rsidR="005B042B" w:rsidRDefault="005B042B" w:rsidP="00F2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var(--dsw-font-markdown-table-h">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7DD0" w14:textId="77777777" w:rsidR="005B042B" w:rsidRDefault="005B042B" w:rsidP="00F23E24">
      <w:r>
        <w:separator/>
      </w:r>
    </w:p>
  </w:footnote>
  <w:footnote w:type="continuationSeparator" w:id="0">
    <w:p w14:paraId="637769BA" w14:textId="77777777" w:rsidR="005B042B" w:rsidRDefault="005B042B" w:rsidP="00F23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49502844-22B6-4656-A963-FBEC010339A1}"/>
    <w:docVar w:name="KY_MEDREF_VERSION" w:val="3"/>
  </w:docVars>
  <w:rsids>
    <w:rsidRoot w:val="007D4085"/>
    <w:rsid w:val="00080F2A"/>
    <w:rsid w:val="005B042B"/>
    <w:rsid w:val="007D4085"/>
    <w:rsid w:val="00A94059"/>
    <w:rsid w:val="00CA6572"/>
    <w:rsid w:val="00F23E24"/>
    <w:rsid w:val="0A9B415C"/>
    <w:rsid w:val="0FE070E2"/>
    <w:rsid w:val="18065216"/>
    <w:rsid w:val="197E0A92"/>
    <w:rsid w:val="237C76C6"/>
    <w:rsid w:val="293F2D39"/>
    <w:rsid w:val="340A2063"/>
    <w:rsid w:val="3FB5435F"/>
    <w:rsid w:val="4D5369C5"/>
    <w:rsid w:val="4E8770E5"/>
    <w:rsid w:val="55A463B5"/>
    <w:rsid w:val="62BB5B68"/>
    <w:rsid w:val="64465512"/>
    <w:rsid w:val="7678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DC786"/>
  <w15:docId w15:val="{E827DACB-4189-432C-8AC3-9D4339F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character" w:styleId="a4">
    <w:name w:val="Strong"/>
    <w:basedOn w:val="a0"/>
    <w:qFormat/>
    <w:rPr>
      <w:b/>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font101">
    <w:name w:val="font101"/>
    <w:basedOn w:val="a0"/>
    <w:qFormat/>
    <w:rPr>
      <w:rFonts w:ascii="宋体" w:eastAsia="宋体" w:hAnsi="宋体" w:cs="宋体" w:hint="eastAsia"/>
      <w:color w:val="000000"/>
      <w:sz w:val="24"/>
      <w:szCs w:val="24"/>
      <w:u w:val="none"/>
    </w:rPr>
  </w:style>
  <w:style w:type="character" w:customStyle="1" w:styleId="font112">
    <w:name w:val="font112"/>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61">
    <w:name w:val="font61"/>
    <w:basedOn w:val="a0"/>
    <w:qFormat/>
    <w:rPr>
      <w:rFonts w:ascii="宋体" w:eastAsia="宋体" w:hAnsi="宋体" w:cs="宋体" w:hint="eastAsia"/>
      <w:color w:val="0F1115"/>
      <w:sz w:val="24"/>
      <w:szCs w:val="24"/>
      <w:u w:val="none"/>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31">
    <w:name w:val="font31"/>
    <w:basedOn w:val="a0"/>
    <w:qFormat/>
    <w:rPr>
      <w:rFonts w:ascii="宋体" w:eastAsia="宋体" w:hAnsi="宋体" w:cs="宋体" w:hint="eastAsia"/>
      <w:b/>
      <w:bCs/>
      <w:color w:val="FF0000"/>
      <w:sz w:val="24"/>
      <w:szCs w:val="24"/>
      <w:u w:val="none"/>
    </w:rPr>
  </w:style>
  <w:style w:type="character" w:customStyle="1" w:styleId="font71">
    <w:name w:val="font71"/>
    <w:basedOn w:val="a0"/>
    <w:qFormat/>
    <w:rPr>
      <w:rFonts w:ascii="宋体" w:eastAsia="宋体" w:hAnsi="宋体" w:cs="宋体" w:hint="eastAsia"/>
      <w:color w:val="000000"/>
      <w:sz w:val="24"/>
      <w:szCs w:val="24"/>
      <w:u w:val="none"/>
    </w:rPr>
  </w:style>
  <w:style w:type="character" w:customStyle="1" w:styleId="font81">
    <w:name w:val="font81"/>
    <w:basedOn w:val="a0"/>
    <w:qFormat/>
    <w:rPr>
      <w:rFonts w:ascii="var(--dsw-font-markdown-table-h" w:eastAsia="var(--dsw-font-markdown-table-h" w:hAnsi="var(--dsw-font-markdown-table-h" w:cs="var(--dsw-font-markdown-table-h"/>
      <w:color w:val="000000"/>
      <w:sz w:val="24"/>
      <w:szCs w:val="24"/>
      <w:bdr w:val="single" w:sz="4" w:space="0" w:color="000000"/>
      <w:shd w:val="clear" w:color="auto" w:fill="FFFFFF"/>
    </w:rPr>
  </w:style>
  <w:style w:type="character" w:customStyle="1" w:styleId="font41">
    <w:name w:val="font41"/>
    <w:basedOn w:val="a0"/>
    <w:qFormat/>
    <w:rPr>
      <w:rFonts w:ascii="宋体" w:eastAsia="宋体" w:hAnsi="宋体" w:cs="宋体" w:hint="eastAsia"/>
      <w:color w:val="0F1115"/>
      <w:sz w:val="24"/>
      <w:szCs w:val="24"/>
      <w:u w:val="none"/>
    </w:rPr>
  </w:style>
  <w:style w:type="character" w:customStyle="1" w:styleId="font51">
    <w:name w:val="font51"/>
    <w:basedOn w:val="a0"/>
    <w:rPr>
      <w:rFonts w:ascii="宋体" w:eastAsia="宋体" w:hAnsi="宋体" w:cs="宋体" w:hint="eastAsia"/>
      <w:b/>
      <w:bCs/>
      <w:color w:val="0F1115"/>
      <w:sz w:val="24"/>
      <w:szCs w:val="24"/>
      <w:u w:val="none"/>
    </w:rPr>
  </w:style>
  <w:style w:type="paragraph" w:styleId="a5">
    <w:name w:val="header"/>
    <w:basedOn w:val="a"/>
    <w:link w:val="a6"/>
    <w:rsid w:val="00F23E2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23E24"/>
    <w:rPr>
      <w:rFonts w:asciiTheme="minorHAnsi" w:eastAsiaTheme="minorEastAsia" w:hAnsiTheme="minorHAnsi" w:cstheme="minorBidi"/>
      <w:kern w:val="2"/>
      <w:sz w:val="18"/>
      <w:szCs w:val="18"/>
    </w:rPr>
  </w:style>
  <w:style w:type="paragraph" w:styleId="a7">
    <w:name w:val="footer"/>
    <w:basedOn w:val="a"/>
    <w:link w:val="a8"/>
    <w:rsid w:val="00F23E24"/>
    <w:pPr>
      <w:tabs>
        <w:tab w:val="center" w:pos="4153"/>
        <w:tab w:val="right" w:pos="8306"/>
      </w:tabs>
      <w:snapToGrid w:val="0"/>
      <w:jc w:val="left"/>
    </w:pPr>
    <w:rPr>
      <w:sz w:val="18"/>
      <w:szCs w:val="18"/>
    </w:rPr>
  </w:style>
  <w:style w:type="character" w:customStyle="1" w:styleId="a8">
    <w:name w:val="页脚 字符"/>
    <w:basedOn w:val="a0"/>
    <w:link w:val="a7"/>
    <w:rsid w:val="00F23E2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484</Characters>
  <Application>Microsoft Office Word</Application>
  <DocSecurity>0</DocSecurity>
  <Lines>25</Lines>
  <Paragraphs>18</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56594</dc:creator>
  <cp:lastModifiedBy>Administrator</cp:lastModifiedBy>
  <cp:revision>3</cp:revision>
  <dcterms:created xsi:type="dcterms:W3CDTF">2026-02-23T07:12:00Z</dcterms:created>
  <dcterms:modified xsi:type="dcterms:W3CDTF">2026-05-07T03:25:00Z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eyJoZGlkIjoiY2M0ZmFiNWYyYTliNDg4ODNjMWZhY2U1MWRmZGJmOWYiLCJ1c2VySWQiOiI0MjAzMTQzODkifQ==</vt:lpwstr>
  </property>
  <property fmtid="{D5CDD505-2E9C-101B-9397-08002B2CF9AE}" pid="4" name="ICV">
    <vt:lpwstr>37CC8F37D0CA475BA8D37EB198D91DC4_13</vt:lpwstr>
  </property>
</Properties>
</file>