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8F9A" w14:textId="07F950A8" w:rsidR="00ED1C70" w:rsidRDefault="00000000">
      <w:pPr>
        <w:pStyle w:val="2"/>
        <w:jc w:val="center"/>
        <w:rPr>
          <w:rFonts w:ascii="宋体" w:eastAsia="宋体" w:hAnsi="宋体" w:cs="宋体" w:hint="eastAsia"/>
          <w:sz w:val="40"/>
          <w:szCs w:val="40"/>
        </w:rPr>
      </w:pPr>
      <w:r>
        <w:rPr>
          <w:rFonts w:ascii="宋体" w:eastAsia="宋体" w:hAnsi="宋体" w:cs="宋体" w:hint="eastAsia"/>
          <w:sz w:val="40"/>
          <w:szCs w:val="40"/>
        </w:rPr>
        <w:t>遴选医院药品配送服务商</w:t>
      </w:r>
      <w:r w:rsidR="00AC7C26">
        <w:rPr>
          <w:rFonts w:ascii="宋体" w:eastAsia="宋体" w:hAnsi="宋体" w:cs="宋体" w:hint="eastAsia"/>
          <w:sz w:val="40"/>
          <w:szCs w:val="40"/>
        </w:rPr>
        <w:t>采购</w:t>
      </w:r>
      <w:r>
        <w:rPr>
          <w:rFonts w:ascii="宋体" w:eastAsia="宋体" w:hAnsi="宋体" w:cs="宋体" w:hint="eastAsia"/>
          <w:sz w:val="40"/>
          <w:szCs w:val="40"/>
        </w:rPr>
        <w:t>需求</w:t>
      </w:r>
    </w:p>
    <w:p w14:paraId="2B8C64C5" w14:textId="77777777" w:rsidR="00ED1C70" w:rsidRDefault="00000000">
      <w:pPr>
        <w:pStyle w:val="2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（拟遴选10家）</w:t>
      </w:r>
    </w:p>
    <w:p w14:paraId="667C8FF8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项目概况与适用范围</w:t>
      </w:r>
    </w:p>
    <w:p w14:paraId="2D76DCE2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采购人：[桂林医科大学第一附属医院]；</w:t>
      </w:r>
    </w:p>
    <w:p w14:paraId="6985195F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服务地点：[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乐群院区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漓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东院区]；</w:t>
      </w:r>
    </w:p>
    <w:p w14:paraId="5CB85BF7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采购方式：公开遴选（综合评分法）；</w:t>
      </w:r>
    </w:p>
    <w:p w14:paraId="5796D4B7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服务时间：3年；</w:t>
      </w:r>
    </w:p>
    <w:p w14:paraId="6B500543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结算方式：无需支付服务费，不涉及金额。</w:t>
      </w:r>
    </w:p>
    <w:p w14:paraId="63F983C7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适用范围：医院日常所需的西药、中成药等常规药品。</w:t>
      </w:r>
    </w:p>
    <w:p w14:paraId="670DBDDF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入围数量：拟遴选10家药品配送服务商，承担医院日常订单的配送与配套服务。</w:t>
      </w:r>
    </w:p>
    <w:p w14:paraId="7B792B38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平台与政策：供应商须在省级药品和医用耗材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招采管理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平台完成备案/签约；严格执行“两票制”与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网采率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100%；配送过程须符合GSP及相关法规要求。</w:t>
      </w:r>
    </w:p>
    <w:p w14:paraId="3F83412C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 供应商资格条件</w:t>
      </w:r>
    </w:p>
    <w:p w14:paraId="448DB823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基本资格</w:t>
      </w:r>
    </w:p>
    <w:p w14:paraId="56D08E45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满足《中华人民共和国政府采购法》第二十二条规定；具有独立承担民事责任能力、良好商业信誉、健全财务制度、依法缴纳税收与社保、近三年无重大违法记录。</w:t>
      </w:r>
    </w:p>
    <w:p w14:paraId="2BDE5710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特定资质</w:t>
      </w:r>
    </w:p>
    <w:p w14:paraId="1D03D0F4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持有有效的《药品经营许可证》（经营方式含“批发”）；如为生产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企业参与，须具备《药品生产许可证》；具备履行合同所必需的人员、设施设备及质量管理体系。</w:t>
      </w:r>
    </w:p>
    <w:p w14:paraId="05CF0D0A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平台与合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规</w:t>
      </w:r>
      <w:proofErr w:type="gramEnd"/>
    </w:p>
    <w:p w14:paraId="7F8808C5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省级招采平台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完成备案/签约；承诺执行“两票制”与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网采率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100%；未被列入失信被执行人、重大税收违法失信主体、政府采购严重违法失信行为记录名单等；本项目不接受联合体投标、不得转包或违法分包。</w:t>
      </w:r>
    </w:p>
    <w:p w14:paraId="39EC0DCB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 技术与服务要求</w:t>
      </w:r>
    </w:p>
    <w:p w14:paraId="3FB666FF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仓储与冷链</w:t>
      </w:r>
    </w:p>
    <w:p w14:paraId="089776FC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具备与业务规模匹配的常温库、阴凉库、冷藏库与冷链系统（含冷藏车、保温箱、温度监测设备），能够满足2–8℃、≤-20℃等温区药品运输与应急需求；建立温湿度自动监测与记录及冷链应急预案。</w:t>
      </w:r>
    </w:p>
    <w:p w14:paraId="38FC5897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质量与追溯</w:t>
      </w:r>
    </w:p>
    <w:p w14:paraId="6C3B3B28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全流程符合GSP；建立药品追溯与召回机制；随货同行单、发票信息完整一致；对破损、近效期、滞销药品按医院制度及时办理退换。</w:t>
      </w:r>
    </w:p>
    <w:p w14:paraId="1C8B695B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订单与配送</w:t>
      </w:r>
    </w:p>
    <w:p w14:paraId="4FCCEA9C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支持与院内SPD药品物流系统对接；一般药品24小时内送达、最长不超过48小时；急（抢）救药品2小时内送达、急用药品4小时内送达；遇节假日与极端天气保持不间断服务；提供7×24小时应急联络与问题处理。</w:t>
      </w:r>
    </w:p>
    <w:p w14:paraId="5C0CC8CC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药学服务</w:t>
      </w:r>
    </w:p>
    <w:p w14:paraId="1453D38A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配备药学专业技术人员提供用药咨询、到货验收指导、用药风险沟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通等服务；对特殊管理药品（如后续纳入）具备相应资质与流程保障。</w:t>
      </w:r>
    </w:p>
    <w:p w14:paraId="11078C1B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合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与考核</w:t>
      </w:r>
    </w:p>
    <w:p w14:paraId="436534B3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承诺不挂靠、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转包、不违法分包；接受医院日常考核与年度考核，考核指标包括但不限于：配送及时率、配送准确率、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票货一致性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、冷链达标率、投诉率、近效期与退货处理及时率等。</w:t>
      </w:r>
    </w:p>
    <w:p w14:paraId="6998BDD3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 商务条款与要求</w:t>
      </w:r>
    </w:p>
    <w:p w14:paraId="0401DFE2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价格与平台</w:t>
      </w:r>
    </w:p>
    <w:p w14:paraId="2E28999C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药品价格以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省级招采平台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挂网价为基准，结合医院管理要求执行；供应商须配合医院完成价格联动与合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核验。</w:t>
      </w:r>
    </w:p>
    <w:p w14:paraId="0F079289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履约保证</w:t>
      </w:r>
    </w:p>
    <w:p w14:paraId="55450794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中标后提交履约保证金（最终金额由医院与中标公司商议后确定）；对超时配送、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票货不符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、冷链不达标等设定违约金与扣分机制，严重情形可暂停或取消资格。</w:t>
      </w:r>
    </w:p>
    <w:p w14:paraId="45DCC9BE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发票与结算</w:t>
      </w:r>
    </w:p>
    <w:p w14:paraId="1CCFAB80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按医院财务制度开具增值税专用发票；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账期与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结算流程以合同约定为准。</w:t>
      </w:r>
    </w:p>
    <w:p w14:paraId="4680D13A" w14:textId="77777777" w:rsidR="00ED1C7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 投标文件组成与评标办法</w:t>
      </w:r>
    </w:p>
    <w:p w14:paraId="2CE1C7A3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投标文件组成（建议目录）</w:t>
      </w:r>
    </w:p>
    <w:p w14:paraId="3247E07B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资格性文件（营业执照、药品经营许可证/生产许可证、平台备案截图、法定代表人身份证明/授权书等）；</w:t>
      </w:r>
    </w:p>
    <w:p w14:paraId="204676A9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性文件（信用记录查询截图、无重大违法记录声明、信用承诺函等）；</w:t>
      </w:r>
    </w:p>
    <w:p w14:paraId="72888777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技术与服务能力（仓储冷链能力、质量体系与追溯方案、应急与7×24服务方案、药学服务方案等）；</w:t>
      </w:r>
    </w:p>
    <w:p w14:paraId="195B9FBE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商务与服务（服务承诺、履约保证金承诺、近三年业绩与典型客户等）；</w:t>
      </w:r>
    </w:p>
    <w:p w14:paraId="61720EFA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其他（招标文件要求的格式性文件与声明）。</w:t>
      </w:r>
    </w:p>
    <w:p w14:paraId="79B5AE9F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评标办法（综合评分法，建议权重）</w:t>
      </w:r>
    </w:p>
    <w:p w14:paraId="7230F1FF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技术与服务能力（含冷链与应急能力、质量体系、药学服务、信息化水平等）：60%</w:t>
      </w:r>
    </w:p>
    <w:p w14:paraId="6D2FEA5E" w14:textId="77777777" w:rsidR="00ED1C70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商务与业绩（履约经验、服务网络、客户评价、合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记录等）：40%</w:t>
      </w:r>
    </w:p>
    <w:p w14:paraId="1AC5E5C1" w14:textId="77777777" w:rsidR="00ED1C70" w:rsidRDefault="00ED1C70">
      <w:pPr>
        <w:rPr>
          <w:rFonts w:ascii="宋体" w:eastAsia="宋体" w:hAnsi="宋体" w:cs="宋体" w:hint="eastAsia"/>
          <w:sz w:val="28"/>
          <w:szCs w:val="28"/>
        </w:rPr>
      </w:pPr>
    </w:p>
    <w:p w14:paraId="0B01AE2E" w14:textId="77777777" w:rsidR="00ED1C70" w:rsidRDefault="00ED1C70">
      <w:pPr>
        <w:rPr>
          <w:rFonts w:ascii="宋体" w:eastAsia="宋体" w:hAnsi="宋体" w:cs="宋体" w:hint="eastAsia"/>
          <w:sz w:val="28"/>
          <w:szCs w:val="28"/>
        </w:rPr>
      </w:pPr>
    </w:p>
    <w:sectPr w:rsidR="00ED1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5B2B" w14:textId="77777777" w:rsidR="006707A4" w:rsidRDefault="006707A4" w:rsidP="00AC7C26">
      <w:r>
        <w:separator/>
      </w:r>
    </w:p>
  </w:endnote>
  <w:endnote w:type="continuationSeparator" w:id="0">
    <w:p w14:paraId="5A753FFD" w14:textId="77777777" w:rsidR="006707A4" w:rsidRDefault="006707A4" w:rsidP="00AC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9DE3" w14:textId="77777777" w:rsidR="006707A4" w:rsidRDefault="006707A4" w:rsidP="00AC7C26">
      <w:r>
        <w:separator/>
      </w:r>
    </w:p>
  </w:footnote>
  <w:footnote w:type="continuationSeparator" w:id="0">
    <w:p w14:paraId="75D464AC" w14:textId="77777777" w:rsidR="006707A4" w:rsidRDefault="006707A4" w:rsidP="00AC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EB37C1"/>
    <w:rsid w:val="006707A4"/>
    <w:rsid w:val="00AC7C26"/>
    <w:rsid w:val="00C5255A"/>
    <w:rsid w:val="00ED1C70"/>
    <w:rsid w:val="DFE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5D7D7"/>
  <w15:docId w15:val="{93BB4A05-E66D-4A88-8D09-AD283B47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C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7C26"/>
    <w:rPr>
      <w:kern w:val="2"/>
      <w:sz w:val="18"/>
      <w:szCs w:val="18"/>
    </w:rPr>
  </w:style>
  <w:style w:type="paragraph" w:styleId="a5">
    <w:name w:val="footer"/>
    <w:basedOn w:val="a"/>
    <w:link w:val="a6"/>
    <w:rsid w:val="00AC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7C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746</Characters>
  <Application>Microsoft Office Word</Application>
  <DocSecurity>0</DocSecurity>
  <Lines>41</Lines>
  <Paragraphs>47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daililin</dc:creator>
  <cp:lastModifiedBy>Administrator</cp:lastModifiedBy>
  <cp:revision>2</cp:revision>
  <dcterms:created xsi:type="dcterms:W3CDTF">2026-04-01T10:18:00Z</dcterms:created>
  <dcterms:modified xsi:type="dcterms:W3CDTF">2026-04-23T08:02:00Z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1E4C77799EE6EAD49280CC6909B025B0_41</vt:lpwstr>
  </property>
</Properties>
</file>