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511F1977" w:rsidR="00A9604C" w:rsidRDefault="0061500C">
      <w:pPr>
        <w:jc w:val="center"/>
        <w:rPr>
          <w:b/>
          <w:bCs/>
          <w:sz w:val="30"/>
          <w:szCs w:val="30"/>
        </w:rPr>
      </w:pPr>
      <w:r w:rsidRPr="0061500C">
        <w:rPr>
          <w:rFonts w:hint="eastAsia"/>
          <w:b/>
          <w:bCs/>
          <w:sz w:val="30"/>
          <w:szCs w:val="30"/>
        </w:rPr>
        <w:t>环氧乙烷灭菌器采购需求</w:t>
      </w: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A9604C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A9604C" w:rsidRDefault="00694A2D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适用范围及用途：环氧乙烷灭菌器主要用于对医用高分子材料、医用畏热、畏湿、不耐受过氧化氢等物品进行灭菌处理。如：软式内镜、3D腹腔镜、脑室镜等精细贵重器械。应用于消毒供应中心低温灭菌间。</w:t>
            </w:r>
          </w:p>
        </w:tc>
      </w:tr>
      <w:tr w:rsidR="00A9604C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设备配置与要求：主机1台、不锈钢篮筐3个、金属波纹管1个、生物阅读器1台、有害气体浓度超标报警器1个</w:t>
            </w:r>
          </w:p>
        </w:tc>
      </w:tr>
      <w:tr w:rsidR="00A9604C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5BF229B3" w14:textId="5B493B2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技术参数与性能要求：包含设备的核心性能参数、关键的硬件配置、软件模块功能、数据与系统兼容性（产生接口费用，由投标公司承担）           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1．容积要求：≥210L，腔体尺寸≥1200x400x350mm</w:t>
            </w:r>
            <w:r w:rsidR="000D56E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，矩形柜体。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2．腔体及门材质：优质铝材，具有优越的导热性能，保证环氧乙烷保持100%气态，腔体厚度≥13mm，门厚度≥18mm。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3．腔体及门加热：采用加热膜加热，预热升温速度快，保证内室温度均匀。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4．门：自动升降门，带加热膜，确保门板温度和内室温度一致，使灭菌器物品受热均匀，保证灭菌效果。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5．真空泵系统：无油真空泵，流量≥130L/min，无需外置压缩气源系统。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6．环氧乙烷灭菌器的灭菌器因子属于危化品，需要提供厂家危险化学品经营许可证。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7．加湿系统：采用加湿系统，精确控制加湿用水量，内置湿度传感器，保证灭菌湿度要求。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8．EO气体加注系统：负压刺破气罐加注方式，使用一次性专用铝合金罐装100%纯环氧乙烷气体；具有穿刺气缸。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9．★控制系统：采用PLC控制系统。                                                                                                    10.显示屏： 采用≥5寸彩色触摸屏，显示内容：灭菌过程的温度、压力、湿度、时间、循环模式、过程阶段、报警信息提示等。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11．打印：具有曲线打印和报表打印两种方式。打印内容：程序名称、灭菌日期、灭菌起始结束时间和灭菌过程的压力、温度、湿度和阶段时间,报警代码等信息。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12.★程序数量：至少具有37℃和55℃两种程序，未运行程序前可随时切换灭菌温度,方便用户及时针对灭菌物品选择合适的灭菌温度。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13．断电记忆保持功能：停电后可以记忆灭菌信息，待恢复供电后继续工作无须重新启动程序。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14．开门通风功能：灭菌完成后,</w:t>
            </w:r>
            <w:r w:rsidR="000D56E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15分钟后开门，按开门按钮后,进行一次通风处理,避免操作人员接触物品残留环氧乙烷。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15．负压工作系统：负压循环，机器运行期间和灭菌结束后环境环氧乙烷浓度分别＜0.840mg/m</w:t>
            </w:r>
            <w:r>
              <w:rPr>
                <w:rFonts w:ascii="宋体" w:eastAsia="宋体" w:hAnsi="宋体" w:cs="宋体"/>
                <w:b/>
                <w:bCs/>
                <w:color w:val="0F1115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和</w:t>
            </w:r>
            <w:r w:rsidR="000D56E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＜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0.160mg/m</w:t>
            </w:r>
            <w:r>
              <w:rPr>
                <w:rFonts w:ascii="宋体" w:eastAsia="宋体" w:hAnsi="宋体" w:cs="宋体"/>
                <w:b/>
                <w:bCs/>
                <w:color w:val="0F1115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16．门安全设置：程序在运转时，按下开门按钮，门不会被打开，防止误操作。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17. 装载方式：下层一个篮筐≥1170x375x160mm</w:t>
            </w:r>
            <w:r w:rsidR="000D56E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，上层两个篮筐,≥590x375x162mm</w:t>
            </w:r>
            <w:r w:rsidR="000D56E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 xml:space="preserve">18. 与医院追溯系统对接，产生接口费用，由投标公司承担。  </w:t>
            </w:r>
          </w:p>
        </w:tc>
      </w:tr>
      <w:tr w:rsidR="00A9604C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A9604C" w:rsidRDefault="00694A2D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配套试剂/耗材要求：专用耗材：环氧乙烷气罐、生物指示剂，通用类耗材：化学指示卡</w:t>
            </w:r>
          </w:p>
        </w:tc>
      </w:tr>
      <w:tr w:rsidR="00A9604C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A9604C" w:rsidRDefault="00694A2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售后服务要求（免费保修期≥__3__年，现场响应时间：≤__24__小时，维修期间是否供备用机，设备技术培训，设备使用年限≥__8__年等）</w:t>
            </w:r>
          </w:p>
        </w:tc>
      </w:tr>
      <w:tr w:rsidR="00A9604C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A9604C" w:rsidRDefault="00694A2D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A9604C" w:rsidRDefault="00A9604C"/>
    <w:sectPr w:rsidR="00A9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0BAE" w14:textId="77777777" w:rsidR="0078625B" w:rsidRDefault="0078625B" w:rsidP="000D56E0">
      <w:r>
        <w:separator/>
      </w:r>
    </w:p>
  </w:endnote>
  <w:endnote w:type="continuationSeparator" w:id="0">
    <w:p w14:paraId="0E2A6FCA" w14:textId="77777777" w:rsidR="0078625B" w:rsidRDefault="0078625B" w:rsidP="000D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0481" w14:textId="77777777" w:rsidR="0078625B" w:rsidRDefault="0078625B" w:rsidP="000D56E0">
      <w:r>
        <w:separator/>
      </w:r>
    </w:p>
  </w:footnote>
  <w:footnote w:type="continuationSeparator" w:id="0">
    <w:p w14:paraId="11D8BBFF" w14:textId="77777777" w:rsidR="0078625B" w:rsidRDefault="0078625B" w:rsidP="000D5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A9604C"/>
    <w:rsid w:val="000D56E0"/>
    <w:rsid w:val="0061500C"/>
    <w:rsid w:val="00694A2D"/>
    <w:rsid w:val="0078625B"/>
    <w:rsid w:val="00A9604C"/>
    <w:rsid w:val="00F749CA"/>
    <w:rsid w:val="0A9B415C"/>
    <w:rsid w:val="0FE070E2"/>
    <w:rsid w:val="18065216"/>
    <w:rsid w:val="197E0A92"/>
    <w:rsid w:val="340A2063"/>
    <w:rsid w:val="3FB5435F"/>
    <w:rsid w:val="4D5369C5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B3C5F7D-485D-4416-A9EF-ADBD924C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0D5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D56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D5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D56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735</Characters>
  <Application>Microsoft Office Word</Application>
  <DocSecurity>0</DocSecurity>
  <Lines>35</Lines>
  <Paragraphs>18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2026-04-15T08:47:00Z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50FC3E8754B947418EAE414FD77B4097_13</vt:lpwstr>
  </property>
</Properties>
</file>