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5D32" w14:textId="7BD16279" w:rsidR="00BF35A0" w:rsidRDefault="00000000">
      <w:pPr>
        <w:widowControl/>
        <w:ind w:firstLineChars="1600" w:firstLine="480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测序相关耗材</w:t>
      </w:r>
      <w:r w:rsidR="00B53ABF">
        <w:rPr>
          <w:rFonts w:ascii="宋体" w:eastAsia="宋体" w:hAnsi="宋体" w:hint="eastAsia"/>
          <w:sz w:val="30"/>
          <w:szCs w:val="30"/>
        </w:rPr>
        <w:t>一批</w:t>
      </w:r>
      <w:r>
        <w:rPr>
          <w:rFonts w:ascii="宋体" w:eastAsia="宋体" w:hAnsi="宋体" w:hint="eastAsia"/>
          <w:sz w:val="30"/>
          <w:szCs w:val="30"/>
        </w:rPr>
        <w:t>目录及</w:t>
      </w:r>
      <w:r w:rsidR="00617BB2">
        <w:rPr>
          <w:rFonts w:ascii="宋体" w:eastAsia="宋体" w:hAnsi="宋体" w:hint="eastAsia"/>
          <w:sz w:val="30"/>
          <w:szCs w:val="30"/>
        </w:rPr>
        <w:t>采购需求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177"/>
        <w:gridCol w:w="1783"/>
        <w:gridCol w:w="1350"/>
        <w:gridCol w:w="1200"/>
        <w:gridCol w:w="1110"/>
        <w:gridCol w:w="945"/>
        <w:gridCol w:w="1290"/>
        <w:gridCol w:w="3180"/>
      </w:tblGrid>
      <w:tr w:rsidR="00BF35A0" w14:paraId="417A7D19" w14:textId="77777777">
        <w:tc>
          <w:tcPr>
            <w:tcW w:w="1177" w:type="dxa"/>
            <w:vAlign w:val="center"/>
          </w:tcPr>
          <w:p w14:paraId="448E4AF7" w14:textId="77777777" w:rsidR="00BF35A0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申请科室</w:t>
            </w:r>
          </w:p>
        </w:tc>
        <w:tc>
          <w:tcPr>
            <w:tcW w:w="1783" w:type="dxa"/>
            <w:vAlign w:val="center"/>
          </w:tcPr>
          <w:p w14:paraId="21DEACB1" w14:textId="77777777" w:rsidR="00BF35A0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耗材名称</w:t>
            </w:r>
          </w:p>
        </w:tc>
        <w:tc>
          <w:tcPr>
            <w:tcW w:w="1350" w:type="dxa"/>
            <w:vAlign w:val="center"/>
          </w:tcPr>
          <w:p w14:paraId="7693B64C" w14:textId="77777777" w:rsidR="00BF35A0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中标/非标</w:t>
            </w:r>
          </w:p>
        </w:tc>
        <w:tc>
          <w:tcPr>
            <w:tcW w:w="1200" w:type="dxa"/>
            <w:vAlign w:val="center"/>
          </w:tcPr>
          <w:p w14:paraId="1BC58410" w14:textId="77777777" w:rsidR="00BF35A0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1110" w:type="dxa"/>
            <w:vAlign w:val="center"/>
          </w:tcPr>
          <w:p w14:paraId="0368166F" w14:textId="77777777" w:rsidR="00BF35A0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945" w:type="dxa"/>
            <w:vAlign w:val="center"/>
          </w:tcPr>
          <w:p w14:paraId="4B3151C7" w14:textId="77777777" w:rsidR="00BF35A0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年使用量</w:t>
            </w:r>
          </w:p>
          <w:p w14:paraId="3E1B14A3" w14:textId="77777777" w:rsidR="00BF35A0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（盒/袋）</w:t>
            </w:r>
          </w:p>
        </w:tc>
        <w:tc>
          <w:tcPr>
            <w:tcW w:w="1290" w:type="dxa"/>
            <w:vAlign w:val="center"/>
          </w:tcPr>
          <w:p w14:paraId="2FF386C9" w14:textId="77777777" w:rsidR="00BF35A0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年总金额（元）</w:t>
            </w:r>
          </w:p>
        </w:tc>
        <w:tc>
          <w:tcPr>
            <w:tcW w:w="3180" w:type="dxa"/>
            <w:vAlign w:val="center"/>
          </w:tcPr>
          <w:p w14:paraId="2C869122" w14:textId="77777777" w:rsidR="00BF35A0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产品描述</w:t>
            </w:r>
          </w:p>
        </w:tc>
      </w:tr>
      <w:tr w:rsidR="00BF35A0" w14:paraId="52CD739F" w14:textId="77777777">
        <w:trPr>
          <w:trHeight w:val="2276"/>
        </w:trPr>
        <w:tc>
          <w:tcPr>
            <w:tcW w:w="1177" w:type="dxa"/>
            <w:vAlign w:val="center"/>
          </w:tcPr>
          <w:p w14:paraId="131E0752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遗传与精准医学实验室</w:t>
            </w:r>
          </w:p>
        </w:tc>
        <w:tc>
          <w:tcPr>
            <w:tcW w:w="1783" w:type="dxa"/>
            <w:vAlign w:val="center"/>
          </w:tcPr>
          <w:p w14:paraId="020B8319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高分子分离胶</w:t>
            </w:r>
          </w:p>
        </w:tc>
        <w:tc>
          <w:tcPr>
            <w:tcW w:w="1350" w:type="dxa"/>
            <w:vAlign w:val="center"/>
          </w:tcPr>
          <w:p w14:paraId="0EB1134D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非标</w:t>
            </w:r>
          </w:p>
        </w:tc>
        <w:tc>
          <w:tcPr>
            <w:tcW w:w="1200" w:type="dxa"/>
            <w:vAlign w:val="center"/>
          </w:tcPr>
          <w:p w14:paraId="3A3E33D0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POP-7 Polymer 384</w:t>
            </w:r>
          </w:p>
          <w:p w14:paraId="7F567DF0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（384人份）</w:t>
            </w:r>
          </w:p>
        </w:tc>
        <w:tc>
          <w:tcPr>
            <w:tcW w:w="1110" w:type="dxa"/>
            <w:vAlign w:val="center"/>
          </w:tcPr>
          <w:p w14:paraId="342A560D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3840元/盒</w:t>
            </w:r>
          </w:p>
        </w:tc>
        <w:tc>
          <w:tcPr>
            <w:tcW w:w="945" w:type="dxa"/>
            <w:vAlign w:val="center"/>
          </w:tcPr>
          <w:p w14:paraId="5733FFEC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290" w:type="dxa"/>
            <w:vAlign w:val="center"/>
          </w:tcPr>
          <w:p w14:paraId="00EDDA5A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57600</w:t>
            </w:r>
          </w:p>
        </w:tc>
        <w:tc>
          <w:tcPr>
            <w:tcW w:w="3180" w:type="dxa"/>
            <w:vAlign w:val="center"/>
          </w:tcPr>
          <w:p w14:paraId="3FDE6B76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用于毛细管电泳分离，是实现 DNA 片段精准分离与检测的核心介质，保障母血污染样本中胎儿与母体 DNA 的有效区分。</w:t>
            </w:r>
          </w:p>
        </w:tc>
      </w:tr>
      <w:tr w:rsidR="00BF35A0" w14:paraId="708DC6B6" w14:textId="77777777">
        <w:trPr>
          <w:trHeight w:val="1790"/>
        </w:trPr>
        <w:tc>
          <w:tcPr>
            <w:tcW w:w="1177" w:type="dxa"/>
            <w:vAlign w:val="center"/>
          </w:tcPr>
          <w:p w14:paraId="2ED97354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遗传与精准医学实验室</w:t>
            </w:r>
          </w:p>
        </w:tc>
        <w:tc>
          <w:tcPr>
            <w:tcW w:w="1783" w:type="dxa"/>
            <w:vAlign w:val="center"/>
          </w:tcPr>
          <w:p w14:paraId="672A2BD0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甲酰胺进样溶剂</w:t>
            </w:r>
          </w:p>
        </w:tc>
        <w:tc>
          <w:tcPr>
            <w:tcW w:w="1350" w:type="dxa"/>
            <w:vAlign w:val="center"/>
          </w:tcPr>
          <w:p w14:paraId="57DFC3A5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非标</w:t>
            </w:r>
          </w:p>
        </w:tc>
        <w:tc>
          <w:tcPr>
            <w:tcW w:w="1200" w:type="dxa"/>
            <w:vAlign w:val="center"/>
          </w:tcPr>
          <w:p w14:paraId="3E617F29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4*5ML</w:t>
            </w:r>
          </w:p>
        </w:tc>
        <w:tc>
          <w:tcPr>
            <w:tcW w:w="1110" w:type="dxa"/>
            <w:vAlign w:val="center"/>
          </w:tcPr>
          <w:p w14:paraId="3D582927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750元/袋</w:t>
            </w:r>
          </w:p>
        </w:tc>
        <w:tc>
          <w:tcPr>
            <w:tcW w:w="945" w:type="dxa"/>
            <w:vAlign w:val="center"/>
          </w:tcPr>
          <w:p w14:paraId="7A2F8E2A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290" w:type="dxa"/>
            <w:vAlign w:val="center"/>
          </w:tcPr>
          <w:p w14:paraId="0D6DC8AA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11250</w:t>
            </w:r>
          </w:p>
        </w:tc>
        <w:tc>
          <w:tcPr>
            <w:tcW w:w="3180" w:type="dxa"/>
            <w:vAlign w:val="center"/>
          </w:tcPr>
          <w:p w14:paraId="47B7C859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用于 DNA 样本的变性处理，确保单链 DNA 顺利进入毛细管进行电泳分离，是测序 / 片段分析前的关键步骤。</w:t>
            </w:r>
          </w:p>
        </w:tc>
      </w:tr>
      <w:tr w:rsidR="00BF35A0" w14:paraId="28E7FE34" w14:textId="77777777">
        <w:trPr>
          <w:trHeight w:val="1790"/>
        </w:trPr>
        <w:tc>
          <w:tcPr>
            <w:tcW w:w="1177" w:type="dxa"/>
            <w:vAlign w:val="center"/>
          </w:tcPr>
          <w:p w14:paraId="0A0D1FCB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遗传与精准医学实验室</w:t>
            </w:r>
          </w:p>
        </w:tc>
        <w:tc>
          <w:tcPr>
            <w:tcW w:w="1783" w:type="dxa"/>
            <w:vAlign w:val="center"/>
          </w:tcPr>
          <w:p w14:paraId="348962F9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阳极缓冲液槽</w:t>
            </w:r>
          </w:p>
        </w:tc>
        <w:tc>
          <w:tcPr>
            <w:tcW w:w="1350" w:type="dxa"/>
            <w:vAlign w:val="center"/>
          </w:tcPr>
          <w:p w14:paraId="15A6B517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非标</w:t>
            </w:r>
          </w:p>
        </w:tc>
        <w:tc>
          <w:tcPr>
            <w:tcW w:w="1200" w:type="dxa"/>
            <w:vAlign w:val="center"/>
          </w:tcPr>
          <w:p w14:paraId="377DE389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45ML</w:t>
            </w:r>
          </w:p>
        </w:tc>
        <w:tc>
          <w:tcPr>
            <w:tcW w:w="1110" w:type="dxa"/>
            <w:vAlign w:val="center"/>
          </w:tcPr>
          <w:p w14:paraId="738ED0BD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1300元/盒</w:t>
            </w:r>
          </w:p>
        </w:tc>
        <w:tc>
          <w:tcPr>
            <w:tcW w:w="945" w:type="dxa"/>
            <w:vAlign w:val="center"/>
          </w:tcPr>
          <w:p w14:paraId="48EAD7EC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290" w:type="dxa"/>
            <w:vAlign w:val="center"/>
          </w:tcPr>
          <w:p w14:paraId="746A5CE9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13000</w:t>
            </w:r>
          </w:p>
        </w:tc>
        <w:tc>
          <w:tcPr>
            <w:tcW w:w="3180" w:type="dxa"/>
            <w:vAlign w:val="center"/>
          </w:tcPr>
          <w:p w14:paraId="2F7B513B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为毛细管电泳提供稳定的电场环境，维持电泳过程中 pH 与离子强度恒定，保证检测结果的重复性与准确性。</w:t>
            </w:r>
          </w:p>
        </w:tc>
      </w:tr>
      <w:tr w:rsidR="00BF35A0" w14:paraId="1F317D77" w14:textId="77777777">
        <w:trPr>
          <w:trHeight w:val="1790"/>
        </w:trPr>
        <w:tc>
          <w:tcPr>
            <w:tcW w:w="1177" w:type="dxa"/>
            <w:vAlign w:val="center"/>
          </w:tcPr>
          <w:p w14:paraId="670FEC73" w14:textId="77777777" w:rsidR="00BF35A0" w:rsidRDefault="00BF35A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8EEF6A1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阴极缓冲液槽</w:t>
            </w:r>
          </w:p>
        </w:tc>
        <w:tc>
          <w:tcPr>
            <w:tcW w:w="1350" w:type="dxa"/>
            <w:vAlign w:val="center"/>
          </w:tcPr>
          <w:p w14:paraId="32786C2F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非标</w:t>
            </w:r>
          </w:p>
        </w:tc>
        <w:tc>
          <w:tcPr>
            <w:tcW w:w="1200" w:type="dxa"/>
            <w:vAlign w:val="center"/>
          </w:tcPr>
          <w:p w14:paraId="50DB1DEA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br/>
              <w:t>86ML</w:t>
            </w:r>
          </w:p>
        </w:tc>
        <w:tc>
          <w:tcPr>
            <w:tcW w:w="1110" w:type="dxa"/>
            <w:vAlign w:val="center"/>
          </w:tcPr>
          <w:p w14:paraId="011787DB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1800元/盒</w:t>
            </w:r>
          </w:p>
        </w:tc>
        <w:tc>
          <w:tcPr>
            <w:tcW w:w="945" w:type="dxa"/>
            <w:vAlign w:val="center"/>
          </w:tcPr>
          <w:p w14:paraId="7EC39AF8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290" w:type="dxa"/>
            <w:vAlign w:val="center"/>
          </w:tcPr>
          <w:p w14:paraId="311D2810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18000</w:t>
            </w:r>
          </w:p>
        </w:tc>
        <w:tc>
          <w:tcPr>
            <w:tcW w:w="3180" w:type="dxa"/>
            <w:vAlign w:val="center"/>
          </w:tcPr>
          <w:p w14:paraId="4696B884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为毛细管电泳提供稳定的电场环境，维持电泳过程中 pH 与离子强度恒定，保证检测结果的重复性与准确性。</w:t>
            </w:r>
          </w:p>
        </w:tc>
      </w:tr>
      <w:tr w:rsidR="00BF35A0" w14:paraId="70EEC85E" w14:textId="77777777">
        <w:trPr>
          <w:trHeight w:val="1790"/>
        </w:trPr>
        <w:tc>
          <w:tcPr>
            <w:tcW w:w="1177" w:type="dxa"/>
            <w:vAlign w:val="center"/>
          </w:tcPr>
          <w:p w14:paraId="48A70C15" w14:textId="77777777" w:rsidR="00BF35A0" w:rsidRDefault="00BF35A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4B8750E7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荧光内标染料</w:t>
            </w:r>
          </w:p>
        </w:tc>
        <w:tc>
          <w:tcPr>
            <w:tcW w:w="1350" w:type="dxa"/>
            <w:vAlign w:val="center"/>
          </w:tcPr>
          <w:p w14:paraId="21378E81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非标</w:t>
            </w:r>
          </w:p>
        </w:tc>
        <w:tc>
          <w:tcPr>
            <w:tcW w:w="1200" w:type="dxa"/>
            <w:vAlign w:val="center"/>
          </w:tcPr>
          <w:p w14:paraId="6B62A382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br/>
              <w:t>200μL*2</w:t>
            </w:r>
          </w:p>
        </w:tc>
        <w:tc>
          <w:tcPr>
            <w:tcW w:w="1110" w:type="dxa"/>
            <w:vAlign w:val="center"/>
          </w:tcPr>
          <w:p w14:paraId="4227985B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5200元/盒</w:t>
            </w:r>
          </w:p>
        </w:tc>
        <w:tc>
          <w:tcPr>
            <w:tcW w:w="945" w:type="dxa"/>
            <w:vAlign w:val="center"/>
          </w:tcPr>
          <w:p w14:paraId="040CA4B8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90" w:type="dxa"/>
            <w:vAlign w:val="center"/>
          </w:tcPr>
          <w:p w14:paraId="7417C928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10400</w:t>
            </w:r>
          </w:p>
        </w:tc>
        <w:tc>
          <w:tcPr>
            <w:tcW w:w="3180" w:type="dxa"/>
            <w:vAlign w:val="center"/>
          </w:tcPr>
          <w:p w14:paraId="4F8D0B13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作为分子量内标，用于校准 DNA 片段大小，精准定量母血污染样本中不同来源 DNA 的比例，是污染程度评估的核心参照。</w:t>
            </w:r>
          </w:p>
        </w:tc>
      </w:tr>
      <w:tr w:rsidR="00BF35A0" w14:paraId="19292607" w14:textId="77777777">
        <w:trPr>
          <w:trHeight w:val="1790"/>
        </w:trPr>
        <w:tc>
          <w:tcPr>
            <w:tcW w:w="1177" w:type="dxa"/>
            <w:vAlign w:val="center"/>
          </w:tcPr>
          <w:p w14:paraId="1389B0A4" w14:textId="77777777" w:rsidR="00BF35A0" w:rsidRDefault="00BF35A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44A4C09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调节试剂3500Dx</w:t>
            </w:r>
          </w:p>
        </w:tc>
        <w:tc>
          <w:tcPr>
            <w:tcW w:w="1350" w:type="dxa"/>
            <w:vAlign w:val="center"/>
          </w:tcPr>
          <w:p w14:paraId="5153C18C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非标</w:t>
            </w:r>
          </w:p>
        </w:tc>
        <w:tc>
          <w:tcPr>
            <w:tcW w:w="1200" w:type="dxa"/>
            <w:vAlign w:val="center"/>
          </w:tcPr>
          <w:p w14:paraId="1534EE41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br/>
              <w:t>1each</w:t>
            </w:r>
          </w:p>
        </w:tc>
        <w:tc>
          <w:tcPr>
            <w:tcW w:w="1110" w:type="dxa"/>
            <w:vAlign w:val="center"/>
          </w:tcPr>
          <w:p w14:paraId="2AA4F7A6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350元/盒</w:t>
            </w:r>
          </w:p>
        </w:tc>
        <w:tc>
          <w:tcPr>
            <w:tcW w:w="945" w:type="dxa"/>
            <w:vAlign w:val="center"/>
          </w:tcPr>
          <w:p w14:paraId="15BD7273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290" w:type="dxa"/>
            <w:vAlign w:val="center"/>
          </w:tcPr>
          <w:p w14:paraId="1FDC62C5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3500</w:t>
            </w:r>
          </w:p>
        </w:tc>
        <w:tc>
          <w:tcPr>
            <w:tcW w:w="3180" w:type="dxa"/>
            <w:vAlign w:val="center"/>
          </w:tcPr>
          <w:p w14:paraId="64C5F3DC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用于仪器光路、电泳参数的校准与调试，保障 ABI 3500Dx 遗传分析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仪处于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最佳工作状态，确保母血污染检测数据的可靠性。</w:t>
            </w:r>
          </w:p>
        </w:tc>
      </w:tr>
      <w:tr w:rsidR="00BF35A0" w14:paraId="7EE2D6F1" w14:textId="77777777">
        <w:trPr>
          <w:trHeight w:val="1790"/>
        </w:trPr>
        <w:tc>
          <w:tcPr>
            <w:tcW w:w="1177" w:type="dxa"/>
            <w:vAlign w:val="center"/>
          </w:tcPr>
          <w:p w14:paraId="5AA48B9F" w14:textId="77777777" w:rsidR="00BF35A0" w:rsidRDefault="00BF35A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58D2BA0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0.2ml透明PCR宽裙边96孔板</w:t>
            </w:r>
          </w:p>
        </w:tc>
        <w:tc>
          <w:tcPr>
            <w:tcW w:w="1350" w:type="dxa"/>
            <w:vAlign w:val="center"/>
          </w:tcPr>
          <w:p w14:paraId="43CF834C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非标</w:t>
            </w:r>
          </w:p>
        </w:tc>
        <w:tc>
          <w:tcPr>
            <w:tcW w:w="1200" w:type="dxa"/>
            <w:vAlign w:val="center"/>
          </w:tcPr>
          <w:p w14:paraId="0AECE34A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br/>
              <w:t>15板/盒</w:t>
            </w:r>
          </w:p>
        </w:tc>
        <w:tc>
          <w:tcPr>
            <w:tcW w:w="1110" w:type="dxa"/>
            <w:vAlign w:val="center"/>
          </w:tcPr>
          <w:p w14:paraId="3CD837D8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300元/盒</w:t>
            </w:r>
          </w:p>
        </w:tc>
        <w:tc>
          <w:tcPr>
            <w:tcW w:w="945" w:type="dxa"/>
            <w:vAlign w:val="center"/>
          </w:tcPr>
          <w:p w14:paraId="4DE32884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</w:t>
            </w:r>
          </w:p>
        </w:tc>
        <w:tc>
          <w:tcPr>
            <w:tcW w:w="1290" w:type="dxa"/>
            <w:vAlign w:val="center"/>
          </w:tcPr>
          <w:p w14:paraId="1E9641FF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15000</w:t>
            </w:r>
          </w:p>
        </w:tc>
        <w:tc>
          <w:tcPr>
            <w:tcW w:w="3180" w:type="dxa"/>
            <w:vAlign w:val="center"/>
          </w:tcPr>
          <w:p w14:paraId="056E98A6" w14:textId="77777777" w:rsidR="00BF35A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用于母血污染样本的 PCR 扩增反应，兼容自动化液体处理与荧光定量检测，满足高通量样本处理需求。</w:t>
            </w:r>
          </w:p>
        </w:tc>
      </w:tr>
    </w:tbl>
    <w:p w14:paraId="5F5CD60F" w14:textId="77777777" w:rsidR="00BF35A0" w:rsidRDefault="00000000">
      <w:pPr>
        <w:widowControl/>
        <w:ind w:firstLineChars="2000" w:firstLine="560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28"/>
          <w:szCs w:val="28"/>
        </w:rPr>
        <w:t>年预估总金额：128750元</w:t>
      </w:r>
    </w:p>
    <w:sectPr w:rsidR="00BF35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5E68" w14:textId="77777777" w:rsidR="00E714D2" w:rsidRDefault="00E714D2">
      <w:pPr>
        <w:rPr>
          <w:rFonts w:hint="eastAsia"/>
        </w:rPr>
      </w:pPr>
      <w:r>
        <w:separator/>
      </w:r>
    </w:p>
  </w:endnote>
  <w:endnote w:type="continuationSeparator" w:id="0">
    <w:p w14:paraId="129945FA" w14:textId="77777777" w:rsidR="00E714D2" w:rsidRDefault="00E714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19C8" w14:textId="77777777" w:rsidR="00E714D2" w:rsidRDefault="00E714D2">
      <w:pPr>
        <w:rPr>
          <w:rFonts w:hint="eastAsia"/>
        </w:rPr>
      </w:pPr>
      <w:r>
        <w:separator/>
      </w:r>
    </w:p>
  </w:footnote>
  <w:footnote w:type="continuationSeparator" w:id="0">
    <w:p w14:paraId="48A6C2CC" w14:textId="77777777" w:rsidR="00E714D2" w:rsidRDefault="00E714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A0"/>
    <w:rsid w:val="003B6714"/>
    <w:rsid w:val="00617BB2"/>
    <w:rsid w:val="00937147"/>
    <w:rsid w:val="00B53ABF"/>
    <w:rsid w:val="00BF35A0"/>
    <w:rsid w:val="00CD1CE3"/>
    <w:rsid w:val="00E714D2"/>
    <w:rsid w:val="036F1939"/>
    <w:rsid w:val="0EB22A70"/>
    <w:rsid w:val="384556B9"/>
    <w:rsid w:val="45ED5E94"/>
    <w:rsid w:val="59D1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1BB86"/>
  <w15:docId w15:val="{594D1FAF-AF0C-4603-84DE-8C75B3E2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uiPriority="11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104862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104862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10486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color w:val="104862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104862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b/>
      <w:bCs/>
      <w:color w:val="10486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104862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104862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10486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10486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104862"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104862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c">
    <w:name w:val="标题 字符"/>
    <w:basedOn w:val="a0"/>
    <w:link w:val="ab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3F3F3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3F3F3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353c876e-3f0b-4362-af58-9b69d341af99">
    <w:name w:val="Intense Emphasis_353c876e-3f0b-4362-af58-9b69d341af99"/>
    <w:basedOn w:val="a0"/>
    <w:uiPriority w:val="21"/>
    <w:qFormat/>
    <w:rPr>
      <w:i/>
      <w:iCs/>
      <w:color w:val="104862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104862"/>
    </w:rPr>
  </w:style>
  <w:style w:type="character" w:customStyle="1" w:styleId="IntenseReferenceb3349f5c-24d0-430f-aed4-d54ec023e7df">
    <w:name w:val="Intense Reference_b3349f5c-24d0-430f-aed4-d54ec023e7df"/>
    <w:basedOn w:val="a0"/>
    <w:uiPriority w:val="32"/>
    <w:qFormat/>
    <w:rPr>
      <w:b/>
      <w:bCs/>
      <w:smallCaps/>
      <w:color w:val="104862"/>
      <w:spacing w:val="5"/>
    </w:rPr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428</Characters>
  <Application>Microsoft Office Word</Application>
  <DocSecurity>0</DocSecurity>
  <Lines>71</Lines>
  <Paragraphs>70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ble</dc:creator>
  <cp:lastModifiedBy>Administrator</cp:lastModifiedBy>
  <cp:revision>6</cp:revision>
  <cp:lastPrinted>2026-03-24T03:30:00Z</cp:lastPrinted>
  <dcterms:created xsi:type="dcterms:W3CDTF">2024-07-07T14:31:00Z</dcterms:created>
  <dcterms:modified xsi:type="dcterms:W3CDTF">2026-04-02T01:53:00Z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eyJoZGlkIjoiZTI5ZmI2YTM1ZmRmNDcxMmMxYTBiMDA5YjQ5YzEwYzciLCJ1c2VySWQiOiI3MTIzNDQ2MTYifQ==</vt:lpwstr>
  </property>
  <property fmtid="{D5CDD505-2E9C-101B-9397-08002B2CF9AE}" pid="3" name="KSOProductBuildVer">
    <vt:lpwstr>2052-11.8.2.11739</vt:lpwstr>
  </property>
  <property fmtid="{D5CDD505-2E9C-101B-9397-08002B2CF9AE}" pid="4" name="ICV">
    <vt:lpwstr>64a82ea9d9c14707b4f0131d4811c337_23</vt:lpwstr>
  </property>
</Properties>
</file>