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3BDF2" w14:textId="77777777" w:rsidR="00654A57" w:rsidRDefault="00662029">
      <w:pPr>
        <w:jc w:val="center"/>
        <w:rPr>
          <w:rFonts w:ascii="宋体" w:eastAsia="宋体" w:hAnsi="宋体"/>
          <w:b/>
          <w:sz w:val="32"/>
          <w:szCs w:val="32"/>
        </w:rPr>
      </w:pPr>
      <w:r>
        <w:rPr>
          <w:rFonts w:ascii="宋体" w:eastAsia="宋体" w:hAnsi="宋体"/>
          <w:b/>
          <w:sz w:val="32"/>
          <w:szCs w:val="32"/>
        </w:rPr>
        <w:t>桂林医学院附属医院医疗设备技术参数</w:t>
      </w:r>
      <w:r>
        <w:rPr>
          <w:rFonts w:ascii="宋体" w:eastAsia="宋体" w:hAnsi="宋体" w:hint="eastAsia"/>
          <w:b/>
          <w:sz w:val="32"/>
          <w:szCs w:val="32"/>
        </w:rPr>
        <w:t>申请</w:t>
      </w:r>
      <w:r>
        <w:rPr>
          <w:rFonts w:ascii="宋体" w:eastAsia="宋体" w:hAnsi="宋体"/>
          <w:b/>
          <w:sz w:val="32"/>
          <w:szCs w:val="32"/>
        </w:rPr>
        <w:t>表</w:t>
      </w:r>
    </w:p>
    <w:tbl>
      <w:tblPr>
        <w:tblStyle w:val="aa"/>
        <w:tblW w:w="8295" w:type="dxa"/>
        <w:tblLook w:val="04A0" w:firstRow="1" w:lastRow="0" w:firstColumn="1" w:lastColumn="0" w:noHBand="0" w:noVBand="1"/>
      </w:tblPr>
      <w:tblGrid>
        <w:gridCol w:w="1980"/>
        <w:gridCol w:w="6315"/>
      </w:tblGrid>
      <w:tr w:rsidR="00654A57" w14:paraId="44E8B647" w14:textId="77777777">
        <w:trPr>
          <w:trHeight w:hRule="exact" w:val="704"/>
        </w:trPr>
        <w:tc>
          <w:tcPr>
            <w:tcW w:w="1980" w:type="dxa"/>
            <w:vAlign w:val="center"/>
          </w:tcPr>
          <w:p w14:paraId="2C0CE3DB" w14:textId="77777777" w:rsidR="00654A57" w:rsidRDefault="00662029">
            <w:pPr>
              <w:jc w:val="center"/>
              <w:rPr>
                <w:rFonts w:ascii="宋体" w:eastAsia="宋体" w:hAnsi="宋体"/>
                <w:b/>
                <w:sz w:val="24"/>
                <w:szCs w:val="24"/>
              </w:rPr>
            </w:pPr>
            <w:r>
              <w:rPr>
                <w:rFonts w:ascii="宋体" w:eastAsia="宋体" w:hAnsi="宋体" w:hint="eastAsia"/>
                <w:b/>
                <w:sz w:val="24"/>
                <w:szCs w:val="24"/>
              </w:rPr>
              <w:t>设备</w:t>
            </w:r>
            <w:r>
              <w:rPr>
                <w:rFonts w:ascii="宋体" w:eastAsia="宋体" w:hAnsi="宋体"/>
                <w:b/>
                <w:sz w:val="24"/>
                <w:szCs w:val="24"/>
              </w:rPr>
              <w:t>名称</w:t>
            </w:r>
          </w:p>
        </w:tc>
        <w:tc>
          <w:tcPr>
            <w:tcW w:w="6315" w:type="dxa"/>
            <w:vAlign w:val="center"/>
          </w:tcPr>
          <w:p w14:paraId="3ECBD321" w14:textId="77777777" w:rsidR="00654A57" w:rsidRDefault="00662029">
            <w:pPr>
              <w:ind w:firstLineChars="200" w:firstLine="480"/>
              <w:jc w:val="left"/>
              <w:rPr>
                <w:rFonts w:ascii="宋体" w:eastAsia="宋体" w:hAnsi="宋体"/>
                <w:b/>
                <w:sz w:val="24"/>
                <w:szCs w:val="24"/>
              </w:rPr>
            </w:pPr>
            <w:r>
              <w:rPr>
                <w:rFonts w:ascii="宋体" w:eastAsia="宋体" w:hAnsi="宋体" w:cs="宋体" w:hint="eastAsia"/>
                <w:color w:val="000000"/>
                <w:sz w:val="24"/>
                <w:szCs w:val="24"/>
              </w:rPr>
              <w:t>恒温扩增仪</w:t>
            </w:r>
          </w:p>
        </w:tc>
      </w:tr>
      <w:tr w:rsidR="00662029" w14:paraId="5DAE095B" w14:textId="77777777" w:rsidTr="00EF3F07">
        <w:trPr>
          <w:trHeight w:hRule="exact" w:val="715"/>
        </w:trPr>
        <w:tc>
          <w:tcPr>
            <w:tcW w:w="1980" w:type="dxa"/>
            <w:vAlign w:val="center"/>
          </w:tcPr>
          <w:p w14:paraId="006DA5D3" w14:textId="77777777" w:rsidR="00662029" w:rsidRDefault="00662029">
            <w:pPr>
              <w:jc w:val="center"/>
              <w:rPr>
                <w:rFonts w:ascii="宋体" w:eastAsia="宋体" w:hAnsi="宋体"/>
                <w:b/>
                <w:sz w:val="24"/>
                <w:szCs w:val="24"/>
              </w:rPr>
            </w:pPr>
            <w:r>
              <w:rPr>
                <w:rFonts w:ascii="宋体" w:eastAsia="宋体" w:hAnsi="宋体"/>
                <w:b/>
                <w:sz w:val="24"/>
                <w:szCs w:val="24"/>
              </w:rPr>
              <w:t>数量</w:t>
            </w:r>
            <w:r>
              <w:rPr>
                <w:rFonts w:ascii="宋体" w:eastAsia="宋体" w:hAnsi="宋体" w:hint="eastAsia"/>
                <w:b/>
                <w:sz w:val="24"/>
                <w:szCs w:val="24"/>
              </w:rPr>
              <w:t>（单位）</w:t>
            </w:r>
          </w:p>
        </w:tc>
        <w:tc>
          <w:tcPr>
            <w:tcW w:w="6315" w:type="dxa"/>
            <w:vAlign w:val="center"/>
          </w:tcPr>
          <w:p w14:paraId="30F5410A" w14:textId="134C6DE2" w:rsidR="00662029" w:rsidRDefault="00662029">
            <w:pPr>
              <w:jc w:val="center"/>
              <w:rPr>
                <w:rFonts w:ascii="宋体" w:eastAsia="宋体" w:hAnsi="宋体"/>
                <w:b/>
                <w:sz w:val="24"/>
                <w:szCs w:val="24"/>
              </w:rPr>
            </w:pPr>
            <w:r>
              <w:rPr>
                <w:rFonts w:ascii="宋体" w:eastAsia="宋体" w:hAnsi="宋体" w:hint="eastAsia"/>
                <w:b/>
                <w:sz w:val="24"/>
                <w:szCs w:val="24"/>
              </w:rPr>
              <w:t>1台</w:t>
            </w:r>
          </w:p>
        </w:tc>
      </w:tr>
      <w:tr w:rsidR="00654A57" w14:paraId="559B1140" w14:textId="77777777">
        <w:trPr>
          <w:trHeight w:val="839"/>
        </w:trPr>
        <w:tc>
          <w:tcPr>
            <w:tcW w:w="8295" w:type="dxa"/>
            <w:gridSpan w:val="2"/>
          </w:tcPr>
          <w:p w14:paraId="5AC1A5B4" w14:textId="77777777" w:rsidR="00654A57" w:rsidRDefault="00662029">
            <w:pPr>
              <w:jc w:val="left"/>
              <w:rPr>
                <w:rFonts w:ascii="宋体" w:eastAsia="宋体" w:hAnsi="宋体" w:cs="宋体"/>
                <w:bCs/>
                <w:sz w:val="24"/>
                <w:szCs w:val="24"/>
              </w:rPr>
            </w:pPr>
            <w:r>
              <w:rPr>
                <w:rFonts w:ascii="宋体" w:eastAsia="宋体" w:hAnsi="宋体" w:cs="宋体" w:hint="eastAsia"/>
                <w:bCs/>
                <w:sz w:val="24"/>
                <w:szCs w:val="24"/>
              </w:rPr>
              <w:t>技术参数：</w:t>
            </w:r>
          </w:p>
          <w:p w14:paraId="6E575603"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一、</w:t>
            </w:r>
            <w:r>
              <w:rPr>
                <w:rFonts w:hint="eastAsia"/>
                <w:bCs/>
                <w:sz w:val="24"/>
                <w:szCs w:val="24"/>
                <w:lang w:eastAsia="zh-CN"/>
              </w:rPr>
              <w:t>温度控制</w:t>
            </w:r>
          </w:p>
          <w:p w14:paraId="5D096081"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1</w:t>
            </w:r>
            <w:r>
              <w:rPr>
                <w:rFonts w:hint="eastAsia"/>
                <w:bCs/>
                <w:sz w:val="24"/>
                <w:szCs w:val="24"/>
                <w:lang w:eastAsia="zh-CN"/>
              </w:rPr>
              <w:t>平均升温速率</w:t>
            </w:r>
          </w:p>
          <w:p w14:paraId="106D1CEA"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上部区：从</w:t>
            </w:r>
            <w:r>
              <w:rPr>
                <w:rFonts w:hint="eastAsia"/>
                <w:bCs/>
                <w:sz w:val="24"/>
                <w:szCs w:val="24"/>
                <w:lang w:eastAsia="zh-CN"/>
              </w:rPr>
              <w:t>45</w:t>
            </w:r>
            <w:r>
              <w:rPr>
                <w:rFonts w:hint="eastAsia"/>
                <w:bCs/>
                <w:sz w:val="24"/>
                <w:szCs w:val="24"/>
                <w:lang w:eastAsia="zh-CN"/>
              </w:rPr>
              <w:t>℃</w:t>
            </w:r>
            <w:r>
              <w:rPr>
                <w:rFonts w:hint="eastAsia"/>
                <w:bCs/>
                <w:sz w:val="24"/>
                <w:szCs w:val="24"/>
                <w:lang w:eastAsia="zh-CN"/>
              </w:rPr>
              <w:t>~90</w:t>
            </w:r>
            <w:r>
              <w:rPr>
                <w:rFonts w:hint="eastAsia"/>
                <w:bCs/>
                <w:sz w:val="24"/>
                <w:szCs w:val="24"/>
                <w:lang w:eastAsia="zh-CN"/>
              </w:rPr>
              <w:t>℃</w:t>
            </w:r>
            <w:r>
              <w:rPr>
                <w:rFonts w:hint="eastAsia"/>
                <w:bCs/>
                <w:sz w:val="24"/>
                <w:szCs w:val="24"/>
                <w:lang w:eastAsia="zh-CN"/>
              </w:rPr>
              <w:t>,</w:t>
            </w:r>
            <w:r>
              <w:rPr>
                <w:rFonts w:hint="eastAsia"/>
                <w:bCs/>
                <w:sz w:val="24"/>
                <w:szCs w:val="24"/>
                <w:lang w:eastAsia="zh-CN"/>
              </w:rPr>
              <w:t>平均升温速率应≥</w:t>
            </w:r>
            <w:r>
              <w:rPr>
                <w:rFonts w:hint="eastAsia"/>
                <w:bCs/>
                <w:sz w:val="24"/>
                <w:szCs w:val="24"/>
                <w:lang w:eastAsia="zh-CN"/>
              </w:rPr>
              <w:t>0.8</w:t>
            </w:r>
            <w:r>
              <w:rPr>
                <w:rFonts w:hint="eastAsia"/>
                <w:bCs/>
                <w:sz w:val="24"/>
                <w:szCs w:val="24"/>
                <w:lang w:eastAsia="zh-CN"/>
              </w:rPr>
              <w:t>°℃</w:t>
            </w:r>
            <w:r>
              <w:rPr>
                <w:rFonts w:hint="eastAsia"/>
                <w:bCs/>
                <w:sz w:val="24"/>
                <w:szCs w:val="24"/>
                <w:lang w:eastAsia="zh-CN"/>
              </w:rPr>
              <w:t xml:space="preserve">/s;    </w:t>
            </w:r>
            <w:r>
              <w:rPr>
                <w:rFonts w:hint="eastAsia"/>
                <w:bCs/>
                <w:sz w:val="24"/>
                <w:szCs w:val="24"/>
                <w:lang w:eastAsia="zh-CN"/>
              </w:rPr>
              <w:t>中部区：从</w:t>
            </w:r>
            <w:r>
              <w:rPr>
                <w:rFonts w:hint="eastAsia"/>
                <w:bCs/>
                <w:sz w:val="24"/>
                <w:szCs w:val="24"/>
                <w:lang w:eastAsia="zh-CN"/>
              </w:rPr>
              <w:t>45</w:t>
            </w:r>
            <w:r>
              <w:rPr>
                <w:rFonts w:hint="eastAsia"/>
                <w:bCs/>
                <w:sz w:val="24"/>
                <w:szCs w:val="24"/>
                <w:lang w:eastAsia="zh-CN"/>
              </w:rPr>
              <w:t>℃</w:t>
            </w:r>
            <w:r>
              <w:rPr>
                <w:rFonts w:hint="eastAsia"/>
                <w:bCs/>
                <w:sz w:val="24"/>
                <w:szCs w:val="24"/>
                <w:lang w:eastAsia="zh-CN"/>
              </w:rPr>
              <w:t>~70</w:t>
            </w:r>
            <w:r>
              <w:rPr>
                <w:rFonts w:hint="eastAsia"/>
                <w:bCs/>
                <w:sz w:val="24"/>
                <w:szCs w:val="24"/>
                <w:lang w:eastAsia="zh-CN"/>
              </w:rPr>
              <w:t>℃</w:t>
            </w:r>
            <w:r>
              <w:rPr>
                <w:rFonts w:hint="eastAsia"/>
                <w:bCs/>
                <w:sz w:val="24"/>
                <w:szCs w:val="24"/>
                <w:lang w:eastAsia="zh-CN"/>
              </w:rPr>
              <w:t>,</w:t>
            </w:r>
            <w:r>
              <w:rPr>
                <w:rFonts w:hint="eastAsia"/>
                <w:bCs/>
                <w:sz w:val="24"/>
                <w:szCs w:val="24"/>
                <w:lang w:eastAsia="zh-CN"/>
              </w:rPr>
              <w:t>平均升温速率应≥</w:t>
            </w:r>
            <w:r>
              <w:rPr>
                <w:rFonts w:hint="eastAsia"/>
                <w:bCs/>
                <w:sz w:val="24"/>
                <w:szCs w:val="24"/>
                <w:lang w:eastAsia="zh-CN"/>
              </w:rPr>
              <w:t>0.5</w:t>
            </w:r>
            <w:r>
              <w:rPr>
                <w:rFonts w:hint="eastAsia"/>
                <w:bCs/>
                <w:sz w:val="24"/>
                <w:szCs w:val="24"/>
                <w:lang w:eastAsia="zh-CN"/>
              </w:rPr>
              <w:t>℃</w:t>
            </w:r>
            <w:r>
              <w:rPr>
                <w:rFonts w:hint="eastAsia"/>
                <w:bCs/>
                <w:sz w:val="24"/>
                <w:szCs w:val="24"/>
                <w:lang w:eastAsia="zh-CN"/>
              </w:rPr>
              <w:t xml:space="preserve">/s;  </w:t>
            </w:r>
            <w:r>
              <w:rPr>
                <w:rFonts w:hint="eastAsia"/>
                <w:bCs/>
                <w:sz w:val="24"/>
                <w:szCs w:val="24"/>
                <w:lang w:eastAsia="zh-CN"/>
              </w:rPr>
              <w:t>下部区：从</w:t>
            </w:r>
            <w:r>
              <w:rPr>
                <w:rFonts w:hint="eastAsia"/>
                <w:bCs/>
                <w:sz w:val="24"/>
                <w:szCs w:val="24"/>
                <w:lang w:eastAsia="zh-CN"/>
              </w:rPr>
              <w:t>45</w:t>
            </w:r>
            <w:r>
              <w:rPr>
                <w:rFonts w:hint="eastAsia"/>
                <w:bCs/>
                <w:sz w:val="24"/>
                <w:szCs w:val="24"/>
                <w:lang w:eastAsia="zh-CN"/>
              </w:rPr>
              <w:t>℃</w:t>
            </w:r>
            <w:r>
              <w:rPr>
                <w:rFonts w:hint="eastAsia"/>
                <w:bCs/>
                <w:sz w:val="24"/>
                <w:szCs w:val="24"/>
                <w:lang w:eastAsia="zh-CN"/>
              </w:rPr>
              <w:t>~60</w:t>
            </w:r>
            <w:r>
              <w:rPr>
                <w:rFonts w:hint="eastAsia"/>
                <w:bCs/>
                <w:sz w:val="24"/>
                <w:szCs w:val="24"/>
                <w:lang w:eastAsia="zh-CN"/>
              </w:rPr>
              <w:t>℃</w:t>
            </w:r>
            <w:r>
              <w:rPr>
                <w:rFonts w:hint="eastAsia"/>
                <w:bCs/>
                <w:sz w:val="24"/>
                <w:szCs w:val="24"/>
                <w:lang w:eastAsia="zh-CN"/>
              </w:rPr>
              <w:t>,</w:t>
            </w:r>
            <w:r>
              <w:rPr>
                <w:rFonts w:hint="eastAsia"/>
                <w:bCs/>
                <w:sz w:val="24"/>
                <w:szCs w:val="24"/>
                <w:lang w:eastAsia="zh-CN"/>
              </w:rPr>
              <w:t>平均升温速率应≥</w:t>
            </w:r>
            <w:r>
              <w:rPr>
                <w:rFonts w:hint="eastAsia"/>
                <w:bCs/>
                <w:sz w:val="24"/>
                <w:szCs w:val="24"/>
                <w:lang w:eastAsia="zh-CN"/>
              </w:rPr>
              <w:t>0.5</w:t>
            </w:r>
            <w:r>
              <w:rPr>
                <w:rFonts w:hint="eastAsia"/>
                <w:bCs/>
                <w:sz w:val="24"/>
                <w:szCs w:val="24"/>
                <w:lang w:eastAsia="zh-CN"/>
              </w:rPr>
              <w:t>°</w:t>
            </w:r>
            <w:r>
              <w:rPr>
                <w:rFonts w:hint="eastAsia"/>
                <w:bCs/>
                <w:sz w:val="24"/>
                <w:szCs w:val="24"/>
                <w:lang w:eastAsia="zh-CN"/>
              </w:rPr>
              <w:t>C/s</w:t>
            </w:r>
            <w:r>
              <w:rPr>
                <w:rFonts w:hint="eastAsia"/>
                <w:bCs/>
                <w:sz w:val="24"/>
                <w:szCs w:val="24"/>
                <w:lang w:eastAsia="zh-CN"/>
              </w:rPr>
              <w:t>。</w:t>
            </w:r>
          </w:p>
          <w:p w14:paraId="0A7627F1"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2</w:t>
            </w:r>
            <w:r>
              <w:rPr>
                <w:rFonts w:hint="eastAsia"/>
                <w:bCs/>
                <w:sz w:val="24"/>
                <w:szCs w:val="24"/>
                <w:lang w:eastAsia="zh-CN"/>
              </w:rPr>
              <w:t>模块控温精度应≤</w:t>
            </w:r>
            <w:r>
              <w:rPr>
                <w:rFonts w:hint="eastAsia"/>
                <w:bCs/>
                <w:sz w:val="24"/>
                <w:szCs w:val="24"/>
                <w:lang w:eastAsia="zh-CN"/>
              </w:rPr>
              <w:t>0.5</w:t>
            </w:r>
            <w:r>
              <w:rPr>
                <w:rFonts w:hint="eastAsia"/>
                <w:bCs/>
                <w:sz w:val="24"/>
                <w:szCs w:val="24"/>
                <w:lang w:eastAsia="zh-CN"/>
              </w:rPr>
              <w:t>℃。</w:t>
            </w:r>
          </w:p>
          <w:p w14:paraId="06A58CCC"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3</w:t>
            </w:r>
            <w:r>
              <w:rPr>
                <w:rFonts w:hint="eastAsia"/>
                <w:bCs/>
                <w:sz w:val="24"/>
                <w:szCs w:val="24"/>
                <w:lang w:eastAsia="zh-CN"/>
              </w:rPr>
              <w:t>温度准确度</w:t>
            </w:r>
          </w:p>
          <w:p w14:paraId="5F2A3274"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测定值与设定温度差值绝对值应≤</w:t>
            </w:r>
            <w:r>
              <w:rPr>
                <w:rFonts w:hint="eastAsia"/>
                <w:bCs/>
                <w:sz w:val="24"/>
                <w:szCs w:val="24"/>
                <w:lang w:eastAsia="zh-CN"/>
              </w:rPr>
              <w:t>0.5</w:t>
            </w:r>
            <w:r>
              <w:rPr>
                <w:rFonts w:hint="eastAsia"/>
                <w:bCs/>
                <w:sz w:val="24"/>
                <w:szCs w:val="24"/>
                <w:lang w:eastAsia="zh-CN"/>
              </w:rPr>
              <w:t>℃。</w:t>
            </w:r>
          </w:p>
          <w:p w14:paraId="37A270D8"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4</w:t>
            </w:r>
            <w:r>
              <w:rPr>
                <w:rFonts w:hint="eastAsia"/>
                <w:bCs/>
                <w:sz w:val="24"/>
                <w:szCs w:val="24"/>
                <w:lang w:eastAsia="zh-CN"/>
              </w:rPr>
              <w:t>温度持续时间准确度</w:t>
            </w:r>
          </w:p>
          <w:p w14:paraId="2E2E1306"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温度持续时间与编制温度时间的相对偏差在±</w:t>
            </w:r>
            <w:r>
              <w:rPr>
                <w:rFonts w:hint="eastAsia"/>
                <w:bCs/>
                <w:sz w:val="24"/>
                <w:szCs w:val="24"/>
                <w:lang w:eastAsia="zh-CN"/>
              </w:rPr>
              <w:t>10%</w:t>
            </w:r>
            <w:r>
              <w:rPr>
                <w:rFonts w:hint="eastAsia"/>
                <w:bCs/>
                <w:sz w:val="24"/>
                <w:szCs w:val="24"/>
                <w:lang w:eastAsia="zh-CN"/>
              </w:rPr>
              <w:t>范围内。</w:t>
            </w:r>
            <w:r>
              <w:rPr>
                <w:rFonts w:hint="eastAsia"/>
                <w:bCs/>
                <w:sz w:val="24"/>
                <w:szCs w:val="24"/>
                <w:lang w:eastAsia="zh-CN"/>
              </w:rPr>
              <w:t xml:space="preserve"> </w:t>
            </w:r>
          </w:p>
          <w:p w14:paraId="6C4F889A"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二、</w:t>
            </w:r>
            <w:r>
              <w:rPr>
                <w:rFonts w:hint="eastAsia"/>
                <w:bCs/>
                <w:sz w:val="24"/>
                <w:szCs w:val="24"/>
                <w:lang w:eastAsia="zh-CN"/>
              </w:rPr>
              <w:t>荧光强度检测</w:t>
            </w:r>
          </w:p>
          <w:p w14:paraId="3A792797"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1</w:t>
            </w:r>
            <w:r>
              <w:rPr>
                <w:rFonts w:hint="eastAsia"/>
                <w:bCs/>
                <w:sz w:val="24"/>
                <w:szCs w:val="24"/>
                <w:lang w:eastAsia="zh-CN"/>
              </w:rPr>
              <w:t>荧光强度检测重复性</w:t>
            </w:r>
          </w:p>
          <w:p w14:paraId="69B02176"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用高、中、低浓度荧光染料重复检测，其变异系数</w:t>
            </w:r>
            <w:r>
              <w:rPr>
                <w:rFonts w:hint="eastAsia"/>
                <w:bCs/>
                <w:sz w:val="24"/>
                <w:szCs w:val="24"/>
                <w:lang w:eastAsia="zh-CN"/>
              </w:rPr>
              <w:t xml:space="preserve">(CV,%)  </w:t>
            </w:r>
            <w:r>
              <w:rPr>
                <w:rFonts w:hint="eastAsia"/>
                <w:bCs/>
                <w:sz w:val="24"/>
                <w:szCs w:val="24"/>
                <w:lang w:eastAsia="zh-CN"/>
              </w:rPr>
              <w:t>应不大于</w:t>
            </w:r>
            <w:r>
              <w:rPr>
                <w:rFonts w:hint="eastAsia"/>
                <w:bCs/>
                <w:sz w:val="24"/>
                <w:szCs w:val="24"/>
                <w:lang w:eastAsia="zh-CN"/>
              </w:rPr>
              <w:t>3%</w:t>
            </w:r>
            <w:r>
              <w:rPr>
                <w:rFonts w:hint="eastAsia"/>
                <w:bCs/>
                <w:sz w:val="24"/>
                <w:szCs w:val="24"/>
                <w:lang w:eastAsia="zh-CN"/>
              </w:rPr>
              <w:t>。</w:t>
            </w:r>
          </w:p>
          <w:p w14:paraId="5A1507AD"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2</w:t>
            </w:r>
            <w:r>
              <w:rPr>
                <w:rFonts w:hint="eastAsia"/>
                <w:bCs/>
                <w:sz w:val="24"/>
                <w:szCs w:val="24"/>
                <w:lang w:eastAsia="zh-CN"/>
              </w:rPr>
              <w:t>荧光强度检测精密度</w:t>
            </w:r>
          </w:p>
          <w:p w14:paraId="6C3BFD7C"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用高、中、低浓度荧光染料进行检测，其变异系数</w:t>
            </w:r>
            <w:r>
              <w:rPr>
                <w:rFonts w:hint="eastAsia"/>
                <w:bCs/>
                <w:sz w:val="24"/>
                <w:szCs w:val="24"/>
                <w:lang w:eastAsia="zh-CN"/>
              </w:rPr>
              <w:t xml:space="preserve"> (CV,%)  </w:t>
            </w:r>
            <w:r>
              <w:rPr>
                <w:rFonts w:hint="eastAsia"/>
                <w:bCs/>
                <w:sz w:val="24"/>
                <w:szCs w:val="24"/>
                <w:lang w:eastAsia="zh-CN"/>
              </w:rPr>
              <w:t>应不大于</w:t>
            </w:r>
            <w:r>
              <w:rPr>
                <w:rFonts w:hint="eastAsia"/>
                <w:bCs/>
                <w:sz w:val="24"/>
                <w:szCs w:val="24"/>
                <w:lang w:eastAsia="zh-CN"/>
              </w:rPr>
              <w:t>5%</w:t>
            </w:r>
            <w:r>
              <w:rPr>
                <w:rFonts w:hint="eastAsia"/>
                <w:bCs/>
                <w:sz w:val="24"/>
                <w:szCs w:val="24"/>
                <w:lang w:eastAsia="zh-CN"/>
              </w:rPr>
              <w:t>。</w:t>
            </w:r>
          </w:p>
          <w:p w14:paraId="4755EAA5"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3</w:t>
            </w:r>
            <w:r>
              <w:rPr>
                <w:rFonts w:hint="eastAsia"/>
                <w:bCs/>
                <w:sz w:val="24"/>
                <w:szCs w:val="24"/>
                <w:lang w:eastAsia="zh-CN"/>
              </w:rPr>
              <w:t>不同通道荧光干扰</w:t>
            </w:r>
          </w:p>
          <w:p w14:paraId="23CE6E5D"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lastRenderedPageBreak/>
              <w:t>荧光染料非目标通道荧光测定值的平均值不高于该通道荧光测定值阈值。</w:t>
            </w:r>
          </w:p>
          <w:p w14:paraId="6244351B"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4</w:t>
            </w:r>
            <w:r>
              <w:rPr>
                <w:rFonts w:hint="eastAsia"/>
                <w:bCs/>
                <w:sz w:val="24"/>
                <w:szCs w:val="24"/>
                <w:lang w:eastAsia="zh-CN"/>
              </w:rPr>
              <w:t>样本检测重复性</w:t>
            </w:r>
          </w:p>
          <w:p w14:paraId="1808DF5A"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 xml:space="preserve">Tt </w:t>
            </w:r>
            <w:r>
              <w:rPr>
                <w:rFonts w:hint="eastAsia"/>
                <w:bCs/>
                <w:sz w:val="24"/>
                <w:szCs w:val="24"/>
                <w:lang w:eastAsia="zh-CN"/>
              </w:rPr>
              <w:t>值的</w:t>
            </w:r>
            <w:r>
              <w:rPr>
                <w:rFonts w:hint="eastAsia"/>
                <w:bCs/>
                <w:sz w:val="24"/>
                <w:szCs w:val="24"/>
                <w:lang w:eastAsia="zh-CN"/>
              </w:rPr>
              <w:t xml:space="preserve">CV </w:t>
            </w:r>
            <w:r>
              <w:rPr>
                <w:rFonts w:hint="eastAsia"/>
                <w:bCs/>
                <w:sz w:val="24"/>
                <w:szCs w:val="24"/>
                <w:lang w:eastAsia="zh-CN"/>
              </w:rPr>
              <w:t>应不大于</w:t>
            </w:r>
            <w:r>
              <w:rPr>
                <w:rFonts w:hint="eastAsia"/>
                <w:bCs/>
                <w:sz w:val="24"/>
                <w:szCs w:val="24"/>
                <w:lang w:eastAsia="zh-CN"/>
              </w:rPr>
              <w:t>10%</w:t>
            </w:r>
            <w:r>
              <w:rPr>
                <w:rFonts w:hint="eastAsia"/>
                <w:bCs/>
                <w:sz w:val="24"/>
                <w:szCs w:val="24"/>
                <w:lang w:eastAsia="zh-CN"/>
              </w:rPr>
              <w:t>。</w:t>
            </w:r>
          </w:p>
          <w:p w14:paraId="3C914806"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5</w:t>
            </w:r>
            <w:r>
              <w:rPr>
                <w:rFonts w:hint="eastAsia"/>
                <w:bCs/>
                <w:sz w:val="24"/>
                <w:szCs w:val="24"/>
                <w:lang w:eastAsia="zh-CN"/>
              </w:rPr>
              <w:t>样本线性</w:t>
            </w:r>
          </w:p>
          <w:p w14:paraId="04E5B11B" w14:textId="77777777" w:rsidR="00654A57" w:rsidRDefault="00662029">
            <w:pPr>
              <w:pStyle w:val="a3"/>
              <w:spacing w:before="191" w:line="360" w:lineRule="auto"/>
              <w:ind w:left="213" w:right="396" w:firstLine="439"/>
              <w:rPr>
                <w:bCs/>
                <w:sz w:val="24"/>
                <w:szCs w:val="24"/>
                <w:lang w:eastAsia="zh-CN"/>
              </w:rPr>
            </w:pPr>
            <w:r>
              <w:rPr>
                <w:rFonts w:hint="eastAsia"/>
                <w:bCs/>
                <w:sz w:val="24"/>
                <w:szCs w:val="24"/>
                <w:lang w:eastAsia="zh-CN"/>
              </w:rPr>
              <w:t>对系列稀释梯度浓度的核酸样本</w:t>
            </w:r>
            <w:r>
              <w:rPr>
                <w:rFonts w:hint="eastAsia"/>
                <w:bCs/>
                <w:sz w:val="24"/>
                <w:szCs w:val="24"/>
                <w:lang w:eastAsia="zh-CN"/>
              </w:rPr>
              <w:t>(5</w:t>
            </w:r>
            <w:r>
              <w:rPr>
                <w:rFonts w:hint="eastAsia"/>
                <w:bCs/>
                <w:sz w:val="24"/>
                <w:szCs w:val="24"/>
                <w:lang w:eastAsia="zh-CN"/>
              </w:rPr>
              <w:t>个梯度</w:t>
            </w:r>
            <w:r>
              <w:rPr>
                <w:rFonts w:hint="eastAsia"/>
                <w:bCs/>
                <w:sz w:val="24"/>
                <w:szCs w:val="24"/>
                <w:lang w:eastAsia="zh-CN"/>
              </w:rPr>
              <w:t>)</w:t>
            </w:r>
            <w:r>
              <w:rPr>
                <w:rFonts w:hint="eastAsia"/>
                <w:bCs/>
                <w:sz w:val="24"/>
                <w:szCs w:val="24"/>
                <w:lang w:eastAsia="zh-CN"/>
              </w:rPr>
              <w:t>进行检测，各浓度</w:t>
            </w:r>
            <w:r>
              <w:rPr>
                <w:rFonts w:hint="eastAsia"/>
                <w:bCs/>
                <w:sz w:val="24"/>
                <w:szCs w:val="24"/>
                <w:lang w:eastAsia="zh-CN"/>
              </w:rPr>
              <w:t xml:space="preserve"> Tt </w:t>
            </w:r>
            <w:r>
              <w:rPr>
                <w:rFonts w:hint="eastAsia"/>
                <w:bCs/>
                <w:sz w:val="24"/>
                <w:szCs w:val="24"/>
                <w:lang w:eastAsia="zh-CN"/>
              </w:rPr>
              <w:t>值与浓度对数值的线性回归系数</w:t>
            </w:r>
            <w:r>
              <w:rPr>
                <w:rFonts w:hint="eastAsia"/>
                <w:bCs/>
                <w:sz w:val="24"/>
                <w:szCs w:val="24"/>
                <w:lang w:eastAsia="zh-CN"/>
              </w:rPr>
              <w:t xml:space="preserve"> r </w:t>
            </w:r>
            <w:r>
              <w:rPr>
                <w:rFonts w:hint="eastAsia"/>
                <w:bCs/>
                <w:sz w:val="24"/>
                <w:szCs w:val="24"/>
                <w:lang w:eastAsia="zh-CN"/>
              </w:rPr>
              <w:t>绝对值应不低于</w:t>
            </w:r>
            <w:r>
              <w:rPr>
                <w:rFonts w:hint="eastAsia"/>
                <w:bCs/>
                <w:sz w:val="24"/>
                <w:szCs w:val="24"/>
                <w:lang w:eastAsia="zh-CN"/>
              </w:rPr>
              <w:t>0.980</w:t>
            </w:r>
            <w:r>
              <w:rPr>
                <w:rFonts w:hint="eastAsia"/>
                <w:bCs/>
                <w:sz w:val="24"/>
                <w:szCs w:val="24"/>
                <w:lang w:eastAsia="zh-CN"/>
              </w:rPr>
              <w:t>。</w:t>
            </w:r>
          </w:p>
        </w:tc>
      </w:tr>
    </w:tbl>
    <w:p w14:paraId="3D96D6B0" w14:textId="77777777" w:rsidR="00654A57" w:rsidRDefault="00654A57">
      <w:pPr>
        <w:rPr>
          <w:rFonts w:ascii="宋体" w:eastAsia="宋体" w:hAnsi="宋体"/>
          <w:sz w:val="24"/>
          <w:szCs w:val="24"/>
        </w:rPr>
      </w:pPr>
      <w:bookmarkStart w:id="0" w:name="_GoBack"/>
      <w:bookmarkEnd w:id="0"/>
    </w:p>
    <w:sectPr w:rsidR="00654A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Meiryo"/>
    <w:panose1 w:val="02010600030101010101"/>
    <w:charset w:val="00"/>
    <w:family w:val="auto"/>
    <w:pitch w:val="default"/>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Microsoft YaHei UI"/>
    <w:charset w:val="86"/>
    <w:family w:val="auto"/>
    <w:pitch w:val="default"/>
    <w:sig w:usb0="00000000" w:usb1="00000000"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yMDFlYmM5MzU4MDI1ODljNTdmZTkwZjRmNGRlMGYifQ=="/>
  </w:docVars>
  <w:rsids>
    <w:rsidRoot w:val="005E422F"/>
    <w:rsid w:val="00002283"/>
    <w:rsid w:val="000055C9"/>
    <w:rsid w:val="00023E7A"/>
    <w:rsid w:val="00124A38"/>
    <w:rsid w:val="00166A53"/>
    <w:rsid w:val="00236F37"/>
    <w:rsid w:val="00412EE9"/>
    <w:rsid w:val="00420292"/>
    <w:rsid w:val="00436CF0"/>
    <w:rsid w:val="00456F0F"/>
    <w:rsid w:val="004E5302"/>
    <w:rsid w:val="004F2E7C"/>
    <w:rsid w:val="00503F07"/>
    <w:rsid w:val="00521128"/>
    <w:rsid w:val="00543C99"/>
    <w:rsid w:val="005A0DFB"/>
    <w:rsid w:val="005A6B22"/>
    <w:rsid w:val="005B250B"/>
    <w:rsid w:val="005C5E95"/>
    <w:rsid w:val="005E422F"/>
    <w:rsid w:val="00654A57"/>
    <w:rsid w:val="00660835"/>
    <w:rsid w:val="00662029"/>
    <w:rsid w:val="006775D4"/>
    <w:rsid w:val="00685891"/>
    <w:rsid w:val="006E5D86"/>
    <w:rsid w:val="00734140"/>
    <w:rsid w:val="007379CD"/>
    <w:rsid w:val="007445E8"/>
    <w:rsid w:val="00753FD5"/>
    <w:rsid w:val="00783EF6"/>
    <w:rsid w:val="007A0D0B"/>
    <w:rsid w:val="00806E80"/>
    <w:rsid w:val="008F2E23"/>
    <w:rsid w:val="009338E3"/>
    <w:rsid w:val="00976C9E"/>
    <w:rsid w:val="00AA3968"/>
    <w:rsid w:val="00AA75E8"/>
    <w:rsid w:val="00AC1D72"/>
    <w:rsid w:val="00B46C06"/>
    <w:rsid w:val="00B54E84"/>
    <w:rsid w:val="00BC6486"/>
    <w:rsid w:val="00BE1207"/>
    <w:rsid w:val="00C42139"/>
    <w:rsid w:val="00CF48E9"/>
    <w:rsid w:val="00D31EB3"/>
    <w:rsid w:val="00D3513D"/>
    <w:rsid w:val="00D46951"/>
    <w:rsid w:val="00D514AF"/>
    <w:rsid w:val="00D70748"/>
    <w:rsid w:val="00D9626E"/>
    <w:rsid w:val="00DB7573"/>
    <w:rsid w:val="00DE298D"/>
    <w:rsid w:val="00E12369"/>
    <w:rsid w:val="00E262EF"/>
    <w:rsid w:val="00EE533B"/>
    <w:rsid w:val="00F417CB"/>
    <w:rsid w:val="00FC065B"/>
    <w:rsid w:val="00FC6E89"/>
    <w:rsid w:val="015C135D"/>
    <w:rsid w:val="042F3695"/>
    <w:rsid w:val="04DC0C65"/>
    <w:rsid w:val="1CA960E3"/>
    <w:rsid w:val="25DD2129"/>
    <w:rsid w:val="39CD1781"/>
    <w:rsid w:val="41650F8E"/>
    <w:rsid w:val="423F358D"/>
    <w:rsid w:val="4948394C"/>
    <w:rsid w:val="51FA4C5E"/>
    <w:rsid w:val="56EC4580"/>
    <w:rsid w:val="5B4E412F"/>
    <w:rsid w:val="5DAD106E"/>
    <w:rsid w:val="65F45701"/>
    <w:rsid w:val="6CF05990"/>
    <w:rsid w:val="730B4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84258"/>
  <w15:docId w15:val="{F0F9BAC8-CE97-44FD-A4E4-243116612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宋体" w:eastAsia="宋体" w:hAnsi="宋体" w:cs="宋体"/>
      <w:sz w:val="22"/>
      <w:lang w:eastAsia="en-US"/>
    </w:rPr>
  </w:style>
  <w:style w:type="paragraph" w:styleId="a4">
    <w:name w:val="footer"/>
    <w:basedOn w:val="a"/>
    <w:link w:val="a5"/>
    <w:autoRedefine/>
    <w:uiPriority w:val="99"/>
    <w:unhideWhenUsed/>
    <w:qFormat/>
    <w:pPr>
      <w:tabs>
        <w:tab w:val="center" w:pos="4153"/>
        <w:tab w:val="right" w:pos="8306"/>
      </w:tabs>
      <w:snapToGrid w:val="0"/>
      <w:jc w:val="left"/>
    </w:pPr>
    <w:rPr>
      <w:sz w:val="18"/>
      <w:szCs w:val="18"/>
    </w:rPr>
  </w:style>
  <w:style w:type="paragraph" w:styleId="a6">
    <w:name w:val="header"/>
    <w:basedOn w:val="a"/>
    <w:link w:val="a7"/>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a9"/>
    <w:autoRedefine/>
    <w:uiPriority w:val="10"/>
    <w:qFormat/>
    <w:pPr>
      <w:spacing w:before="240" w:after="60"/>
      <w:jc w:val="center"/>
      <w:outlineLvl w:val="0"/>
    </w:pPr>
    <w:rPr>
      <w:rFonts w:asciiTheme="majorHAnsi" w:eastAsiaTheme="majorEastAsia" w:hAnsiTheme="majorHAnsi" w:cstheme="majorBidi"/>
      <w:b/>
      <w:bCs/>
      <w:sz w:val="32"/>
      <w:szCs w:val="32"/>
    </w:rPr>
  </w:style>
  <w:style w:type="table" w:styleId="aa">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标题 字符"/>
    <w:basedOn w:val="a0"/>
    <w:link w:val="a8"/>
    <w:autoRedefine/>
    <w:uiPriority w:val="10"/>
    <w:qFormat/>
    <w:rPr>
      <w:rFonts w:asciiTheme="majorHAnsi" w:eastAsiaTheme="majorEastAsia" w:hAnsiTheme="majorHAnsi" w:cstheme="majorBidi"/>
      <w:b/>
      <w:bCs/>
      <w:sz w:val="32"/>
      <w:szCs w:val="32"/>
    </w:rPr>
  </w:style>
  <w:style w:type="character" w:customStyle="1" w:styleId="a7">
    <w:name w:val="页眉 字符"/>
    <w:basedOn w:val="a0"/>
    <w:link w:val="a6"/>
    <w:autoRedefine/>
    <w:uiPriority w:val="99"/>
    <w:qFormat/>
    <w:rPr>
      <w:sz w:val="18"/>
      <w:szCs w:val="18"/>
    </w:rPr>
  </w:style>
  <w:style w:type="character" w:customStyle="1" w:styleId="a5">
    <w:name w:val="页脚 字符"/>
    <w:basedOn w:val="a0"/>
    <w:link w:val="a4"/>
    <w:autoRedefine/>
    <w:uiPriority w:val="99"/>
    <w:qFormat/>
    <w:rPr>
      <w:sz w:val="18"/>
      <w:szCs w:val="18"/>
    </w:rPr>
  </w:style>
  <w:style w:type="paragraph" w:styleId="ab">
    <w:name w:val="List Paragraph"/>
    <w:basedOn w:val="a"/>
    <w:autoRedefine/>
    <w:uiPriority w:val="99"/>
    <w:qFormat/>
    <w:pPr>
      <w:ind w:firstLineChars="200" w:firstLine="420"/>
    </w:p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TableText">
    <w:name w:val="Table Text"/>
    <w:basedOn w:val="a"/>
    <w:semiHidden/>
    <w:qFormat/>
    <w:rPr>
      <w:rFonts w:ascii="宋体" w:eastAsia="宋体" w:hAnsi="宋体" w:cs="宋体"/>
      <w:sz w:val="23"/>
      <w:szCs w:val="23"/>
      <w:lang w:eastAsia="en-US"/>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72</Words>
  <Characters>417</Characters>
  <Application>Microsoft Office Word</Application>
  <DocSecurity>0</DocSecurity>
  <Lines>3</Lines>
  <Paragraphs>1</Paragraphs>
  <ScaleCrop>false</ScaleCrop>
  <Company>Microsoft</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29</cp:revision>
  <dcterms:created xsi:type="dcterms:W3CDTF">2022-07-06T07:55:00Z</dcterms:created>
  <dcterms:modified xsi:type="dcterms:W3CDTF">2025-07-23T09:22:00Z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3F8F22BBC38B435E9D5240B533E978D5_13</vt:lpwstr>
  </property>
  <property fmtid="{D5CDD505-2E9C-101B-9397-08002B2CF9AE}" pid="4" name="KSOTemplateDocerSaveRecord">
    <vt:lpwstr>eyJoZGlkIjoiMTRmZjVkOWI0MWNjZDI4ZjIyYzEwNmIwMmE1ZjAyZGYiLCJ1c2VySWQiOiI3MTIzNDQ2MTYifQ==</vt:lpwstr>
  </property>
</Properties>
</file>