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6392BD">
      <w:bookmarkStart w:id="0" w:name="_GoBack"/>
      <w:bookmarkEnd w:id="0"/>
    </w:p>
    <w:tbl>
      <w:tblPr>
        <w:tblStyle w:val="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06"/>
        <w:gridCol w:w="1231"/>
        <w:gridCol w:w="1217"/>
        <w:gridCol w:w="1173"/>
        <w:gridCol w:w="4292"/>
      </w:tblGrid>
      <w:tr w14:paraId="59DCD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0" w:hRule="atLeast"/>
        </w:trPr>
        <w:tc>
          <w:tcPr>
            <w:tcW w:w="356" w:type="pct"/>
            <w:shd w:val="clear" w:color="auto" w:fill="305496"/>
            <w:vAlign w:val="center"/>
          </w:tcPr>
          <w:p w14:paraId="4BA28F82">
            <w:pPr>
              <w:keepNext w:val="0"/>
              <w:keepLines w:val="0"/>
              <w:widowControl/>
              <w:suppressLineNumbers w:val="0"/>
              <w:jc w:val="center"/>
              <w:textAlignment w:val="center"/>
              <w:rPr>
                <w:rFonts w:hint="eastAsia" w:ascii="仿宋" w:hAnsi="仿宋" w:eastAsia="仿宋" w:cs="仿宋"/>
                <w:b w:val="0"/>
                <w:bCs w:val="0"/>
                <w:i w:val="0"/>
                <w:iCs w:val="0"/>
                <w:color w:val="FFFFFF"/>
                <w:sz w:val="24"/>
                <w:szCs w:val="24"/>
                <w:u w:val="none"/>
              </w:rPr>
            </w:pPr>
            <w:r>
              <w:rPr>
                <w:rFonts w:hint="eastAsia" w:ascii="仿宋" w:hAnsi="仿宋" w:eastAsia="仿宋" w:cs="仿宋"/>
                <w:b w:val="0"/>
                <w:bCs w:val="0"/>
                <w:i w:val="0"/>
                <w:iCs w:val="0"/>
                <w:color w:val="FFFFFF"/>
                <w:kern w:val="0"/>
                <w:sz w:val="24"/>
                <w:szCs w:val="24"/>
                <w:u w:val="none"/>
                <w:lang w:val="en-US" w:eastAsia="zh-CN" w:bidi="ar"/>
              </w:rPr>
              <w:t>项号</w:t>
            </w:r>
          </w:p>
        </w:tc>
        <w:tc>
          <w:tcPr>
            <w:tcW w:w="722" w:type="pct"/>
            <w:shd w:val="clear" w:color="auto" w:fill="305496"/>
            <w:vAlign w:val="center"/>
          </w:tcPr>
          <w:p w14:paraId="64ADA169">
            <w:pPr>
              <w:keepNext w:val="0"/>
              <w:keepLines w:val="0"/>
              <w:widowControl/>
              <w:suppressLineNumbers w:val="0"/>
              <w:jc w:val="center"/>
              <w:textAlignment w:val="center"/>
              <w:rPr>
                <w:rFonts w:hint="eastAsia" w:ascii="仿宋" w:hAnsi="仿宋" w:eastAsia="仿宋" w:cs="仿宋"/>
                <w:b w:val="0"/>
                <w:bCs w:val="0"/>
                <w:i w:val="0"/>
                <w:iCs w:val="0"/>
                <w:color w:val="FFFFFF"/>
                <w:sz w:val="24"/>
                <w:szCs w:val="24"/>
                <w:u w:val="none"/>
              </w:rPr>
            </w:pPr>
            <w:r>
              <w:rPr>
                <w:rFonts w:hint="eastAsia" w:ascii="仿宋" w:hAnsi="仿宋" w:eastAsia="仿宋" w:cs="仿宋"/>
                <w:b w:val="0"/>
                <w:bCs w:val="0"/>
                <w:i w:val="0"/>
                <w:iCs w:val="0"/>
                <w:color w:val="FFFFFF"/>
                <w:kern w:val="0"/>
                <w:sz w:val="24"/>
                <w:szCs w:val="24"/>
                <w:u w:val="none"/>
                <w:lang w:val="en-US" w:eastAsia="zh-CN" w:bidi="ar"/>
              </w:rPr>
              <w:t>项目名称</w:t>
            </w:r>
          </w:p>
        </w:tc>
        <w:tc>
          <w:tcPr>
            <w:tcW w:w="714" w:type="pct"/>
            <w:shd w:val="clear" w:color="auto" w:fill="305496"/>
            <w:vAlign w:val="center"/>
          </w:tcPr>
          <w:p w14:paraId="795A71FB">
            <w:pPr>
              <w:keepNext w:val="0"/>
              <w:keepLines w:val="0"/>
              <w:widowControl/>
              <w:suppressLineNumbers w:val="0"/>
              <w:jc w:val="center"/>
              <w:textAlignment w:val="center"/>
              <w:rPr>
                <w:rFonts w:hint="eastAsia" w:ascii="仿宋" w:hAnsi="仿宋" w:eastAsia="仿宋" w:cs="仿宋"/>
                <w:b w:val="0"/>
                <w:bCs w:val="0"/>
                <w:i w:val="0"/>
                <w:iCs w:val="0"/>
                <w:color w:val="FFFFFF"/>
                <w:sz w:val="24"/>
                <w:szCs w:val="24"/>
                <w:u w:val="none"/>
              </w:rPr>
            </w:pPr>
            <w:r>
              <w:rPr>
                <w:rFonts w:hint="eastAsia" w:ascii="仿宋" w:hAnsi="仿宋" w:eastAsia="仿宋" w:cs="仿宋"/>
                <w:b w:val="0"/>
                <w:bCs w:val="0"/>
                <w:i w:val="0"/>
                <w:iCs w:val="0"/>
                <w:color w:val="FFFFFF"/>
                <w:kern w:val="0"/>
                <w:sz w:val="24"/>
                <w:szCs w:val="24"/>
                <w:u w:val="none"/>
                <w:lang w:val="en-US" w:eastAsia="zh-CN" w:bidi="ar"/>
              </w:rPr>
              <w:t>功能模块</w:t>
            </w:r>
          </w:p>
        </w:tc>
        <w:tc>
          <w:tcPr>
            <w:tcW w:w="688" w:type="pct"/>
            <w:shd w:val="clear" w:color="auto" w:fill="305496"/>
            <w:vAlign w:val="center"/>
          </w:tcPr>
          <w:p w14:paraId="627ACECF">
            <w:pPr>
              <w:keepNext w:val="0"/>
              <w:keepLines w:val="0"/>
              <w:widowControl/>
              <w:suppressLineNumbers w:val="0"/>
              <w:jc w:val="center"/>
              <w:textAlignment w:val="center"/>
              <w:rPr>
                <w:rFonts w:hint="eastAsia" w:ascii="仿宋" w:hAnsi="仿宋" w:eastAsia="仿宋" w:cs="仿宋"/>
                <w:b w:val="0"/>
                <w:bCs w:val="0"/>
                <w:i w:val="0"/>
                <w:iCs w:val="0"/>
                <w:color w:val="FFFFFF"/>
                <w:sz w:val="24"/>
                <w:szCs w:val="24"/>
                <w:u w:val="none"/>
              </w:rPr>
            </w:pPr>
            <w:r>
              <w:rPr>
                <w:rFonts w:hint="eastAsia" w:ascii="仿宋" w:hAnsi="仿宋" w:eastAsia="仿宋" w:cs="仿宋"/>
                <w:b w:val="0"/>
                <w:bCs w:val="0"/>
                <w:i w:val="0"/>
                <w:iCs w:val="0"/>
                <w:color w:val="FFFFFF"/>
                <w:kern w:val="0"/>
                <w:sz w:val="24"/>
                <w:szCs w:val="24"/>
                <w:u w:val="none"/>
                <w:lang w:val="en-US" w:eastAsia="zh-CN" w:bidi="ar"/>
              </w:rPr>
              <w:t>数量及单位</w:t>
            </w:r>
          </w:p>
        </w:tc>
        <w:tc>
          <w:tcPr>
            <w:tcW w:w="2518" w:type="pct"/>
            <w:shd w:val="clear" w:color="auto" w:fill="305496"/>
            <w:vAlign w:val="center"/>
          </w:tcPr>
          <w:p w14:paraId="16A7B03A">
            <w:pPr>
              <w:keepNext w:val="0"/>
              <w:keepLines w:val="0"/>
              <w:widowControl/>
              <w:suppressLineNumbers w:val="0"/>
              <w:jc w:val="center"/>
              <w:textAlignment w:val="center"/>
              <w:rPr>
                <w:rFonts w:hint="eastAsia" w:ascii="仿宋" w:hAnsi="仿宋" w:eastAsia="仿宋" w:cs="仿宋"/>
                <w:b w:val="0"/>
                <w:bCs w:val="0"/>
                <w:i w:val="0"/>
                <w:iCs w:val="0"/>
                <w:color w:val="FFFFFF"/>
                <w:sz w:val="24"/>
                <w:szCs w:val="24"/>
                <w:u w:val="none"/>
              </w:rPr>
            </w:pPr>
            <w:r>
              <w:rPr>
                <w:rFonts w:hint="eastAsia" w:ascii="仿宋" w:hAnsi="仿宋" w:eastAsia="仿宋" w:cs="仿宋"/>
                <w:b w:val="0"/>
                <w:bCs w:val="0"/>
                <w:i w:val="0"/>
                <w:iCs w:val="0"/>
                <w:color w:val="FFFFFF"/>
                <w:kern w:val="0"/>
                <w:sz w:val="24"/>
                <w:szCs w:val="24"/>
                <w:u w:val="none"/>
                <w:lang w:val="en-US" w:eastAsia="zh-CN" w:bidi="ar"/>
              </w:rPr>
              <w:t>服务要求</w:t>
            </w:r>
          </w:p>
        </w:tc>
      </w:tr>
      <w:tr w14:paraId="2E780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356" w:type="pct"/>
            <w:shd w:val="clear" w:color="auto" w:fill="auto"/>
            <w:vAlign w:val="center"/>
          </w:tcPr>
          <w:p w14:paraId="383B962E">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w:t>
            </w:r>
          </w:p>
        </w:tc>
        <w:tc>
          <w:tcPr>
            <w:tcW w:w="722" w:type="pct"/>
            <w:vMerge w:val="restart"/>
            <w:shd w:val="clear" w:color="auto" w:fill="auto"/>
            <w:vAlign w:val="center"/>
          </w:tcPr>
          <w:p w14:paraId="3F25F646">
            <w:pPr>
              <w:jc w:val="center"/>
              <w:rPr>
                <w:rFonts w:hint="eastAsia" w:ascii="仿宋" w:hAnsi="仿宋" w:eastAsia="仿宋" w:cs="仿宋"/>
                <w:b w:val="0"/>
                <w:bCs w:val="0"/>
                <w:i w:val="0"/>
                <w:iCs w:val="0"/>
                <w:color w:val="000000"/>
                <w:sz w:val="24"/>
                <w:szCs w:val="24"/>
                <w:u w:val="none"/>
              </w:rPr>
            </w:pPr>
          </w:p>
        </w:tc>
        <w:tc>
          <w:tcPr>
            <w:tcW w:w="714" w:type="pct"/>
            <w:shd w:val="clear" w:color="auto" w:fill="auto"/>
            <w:vAlign w:val="center"/>
          </w:tcPr>
          <w:p w14:paraId="45832737">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住院预约</w:t>
            </w:r>
          </w:p>
        </w:tc>
        <w:tc>
          <w:tcPr>
            <w:tcW w:w="688" w:type="pct"/>
            <w:shd w:val="clear" w:color="auto" w:fill="auto"/>
            <w:vAlign w:val="center"/>
          </w:tcPr>
          <w:p w14:paraId="5272DC87">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1项</w:t>
            </w:r>
          </w:p>
        </w:tc>
        <w:tc>
          <w:tcPr>
            <w:tcW w:w="2518" w:type="pct"/>
            <w:shd w:val="clear" w:color="auto" w:fill="auto"/>
            <w:vAlign w:val="center"/>
          </w:tcPr>
          <w:p w14:paraId="5283C0CD">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互联网医院开通住院申请评估咨询服务功能：</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1.患者发起咨询申请前需填写问卷并通过住院医生评估后开立住院证；</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2.患者发起申请成功后，向指定科室企业微信群推送抢单卡片，抢单成功的医生可跟患者进行沟通并同意住院或不同意住院后反馈给患者；</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3.每笔申请单可转派到其它科室进行重新抢单接单。</w:t>
            </w:r>
          </w:p>
        </w:tc>
      </w:tr>
      <w:tr w14:paraId="0B15E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0" w:hRule="atLeast"/>
        </w:trPr>
        <w:tc>
          <w:tcPr>
            <w:tcW w:w="356" w:type="pct"/>
            <w:shd w:val="clear" w:color="auto" w:fill="auto"/>
            <w:vAlign w:val="center"/>
          </w:tcPr>
          <w:p w14:paraId="10BBFE33">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2</w:t>
            </w:r>
          </w:p>
        </w:tc>
        <w:tc>
          <w:tcPr>
            <w:tcW w:w="722" w:type="pct"/>
            <w:vMerge w:val="continue"/>
            <w:shd w:val="clear" w:color="auto" w:fill="auto"/>
            <w:vAlign w:val="center"/>
          </w:tcPr>
          <w:p w14:paraId="77621406">
            <w:pPr>
              <w:jc w:val="center"/>
              <w:rPr>
                <w:rFonts w:hint="eastAsia" w:ascii="仿宋" w:hAnsi="仿宋" w:eastAsia="仿宋" w:cs="仿宋"/>
                <w:b w:val="0"/>
                <w:bCs w:val="0"/>
                <w:i w:val="0"/>
                <w:iCs w:val="0"/>
                <w:color w:val="000000"/>
                <w:sz w:val="24"/>
                <w:szCs w:val="24"/>
                <w:u w:val="none"/>
              </w:rPr>
            </w:pPr>
          </w:p>
        </w:tc>
        <w:tc>
          <w:tcPr>
            <w:tcW w:w="714" w:type="pct"/>
            <w:shd w:val="clear" w:color="auto" w:fill="auto"/>
            <w:vAlign w:val="center"/>
          </w:tcPr>
          <w:p w14:paraId="67B46A12">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医生转诊码</w:t>
            </w:r>
          </w:p>
        </w:tc>
        <w:tc>
          <w:tcPr>
            <w:tcW w:w="688" w:type="pct"/>
            <w:shd w:val="clear" w:color="auto" w:fill="auto"/>
            <w:vAlign w:val="center"/>
          </w:tcPr>
          <w:p w14:paraId="38960FFC">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1项</w:t>
            </w:r>
          </w:p>
        </w:tc>
        <w:tc>
          <w:tcPr>
            <w:tcW w:w="2518" w:type="pct"/>
            <w:shd w:val="clear" w:color="auto" w:fill="auto"/>
            <w:vAlign w:val="center"/>
          </w:tcPr>
          <w:p w14:paraId="02F7714C">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（一）基于互联网医院实现如下功能：</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1.支持外院医生扫码，帮助患者在线填写转诊申请；</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2.支持外院医生查看申请记录及进度；</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3.支持转诊申请发送到本院的相应科室的企业微信群，通知科室（二）医生操作；</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4.支持本院医生查看申请详情，并对申请进行住院评估和处理；</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5.支持本院医生评估后，转诊到其他科室；</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6.支持本院医生评估后，可在线开住院证；</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7.支持非本院患者自动创建就诊卡；</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8.支持住院证开具成功后，通知患者线上办理住院；</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9.支持管理后台查看所有的转诊申请，支持通过时间范围、状态等进行筛选。</w:t>
            </w:r>
          </w:p>
        </w:tc>
      </w:tr>
      <w:tr w14:paraId="07308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40" w:hRule="atLeast"/>
        </w:trPr>
        <w:tc>
          <w:tcPr>
            <w:tcW w:w="356" w:type="pct"/>
            <w:shd w:val="clear" w:color="auto" w:fill="auto"/>
            <w:vAlign w:val="center"/>
          </w:tcPr>
          <w:p w14:paraId="159B2941">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3</w:t>
            </w:r>
          </w:p>
        </w:tc>
        <w:tc>
          <w:tcPr>
            <w:tcW w:w="722" w:type="pct"/>
            <w:vMerge w:val="continue"/>
            <w:shd w:val="clear" w:color="auto" w:fill="auto"/>
            <w:vAlign w:val="center"/>
          </w:tcPr>
          <w:p w14:paraId="2BA35463">
            <w:pPr>
              <w:jc w:val="center"/>
              <w:rPr>
                <w:rFonts w:hint="eastAsia" w:ascii="仿宋" w:hAnsi="仿宋" w:eastAsia="仿宋" w:cs="仿宋"/>
                <w:b w:val="0"/>
                <w:bCs w:val="0"/>
                <w:i w:val="0"/>
                <w:iCs w:val="0"/>
                <w:color w:val="000000"/>
                <w:sz w:val="24"/>
                <w:szCs w:val="24"/>
                <w:u w:val="none"/>
              </w:rPr>
            </w:pPr>
          </w:p>
        </w:tc>
        <w:tc>
          <w:tcPr>
            <w:tcW w:w="714" w:type="pct"/>
            <w:shd w:val="clear" w:color="auto" w:fill="auto"/>
            <w:vAlign w:val="center"/>
          </w:tcPr>
          <w:p w14:paraId="796781AA">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营养系统支付</w:t>
            </w:r>
          </w:p>
        </w:tc>
        <w:tc>
          <w:tcPr>
            <w:tcW w:w="688" w:type="pct"/>
            <w:shd w:val="clear" w:color="auto" w:fill="auto"/>
            <w:vAlign w:val="center"/>
          </w:tcPr>
          <w:p w14:paraId="26E71994">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1项</w:t>
            </w:r>
          </w:p>
        </w:tc>
        <w:tc>
          <w:tcPr>
            <w:tcW w:w="2518" w:type="pct"/>
            <w:shd w:val="clear" w:color="auto" w:fill="auto"/>
            <w:vAlign w:val="center"/>
          </w:tcPr>
          <w:p w14:paraId="7AA9B973">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1.支持查看门诊待办事项；</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2.支持拉取门诊缴费单信息；</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3.支持病人完成支付后通知患者；</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4.支持退款完成后通知病人；</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5.支持病人查询已缴费款项；</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6.支持查询病人在院状态；</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7.支持住院押金支付成功后通知病人；</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8.支持住院扣费项目明细查询。</w:t>
            </w:r>
          </w:p>
        </w:tc>
      </w:tr>
      <w:tr w14:paraId="36D11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56" w:type="pct"/>
            <w:shd w:val="clear" w:color="auto" w:fill="auto"/>
            <w:vAlign w:val="center"/>
          </w:tcPr>
          <w:p w14:paraId="40AFD270">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4</w:t>
            </w:r>
          </w:p>
        </w:tc>
        <w:tc>
          <w:tcPr>
            <w:tcW w:w="722" w:type="pct"/>
            <w:vMerge w:val="continue"/>
            <w:shd w:val="clear" w:color="auto" w:fill="auto"/>
            <w:vAlign w:val="center"/>
          </w:tcPr>
          <w:p w14:paraId="5CEFB67F">
            <w:pPr>
              <w:jc w:val="center"/>
              <w:rPr>
                <w:rFonts w:hint="eastAsia" w:ascii="仿宋" w:hAnsi="仿宋" w:eastAsia="仿宋" w:cs="仿宋"/>
                <w:b w:val="0"/>
                <w:bCs w:val="0"/>
                <w:i w:val="0"/>
                <w:iCs w:val="0"/>
                <w:color w:val="000000"/>
                <w:sz w:val="24"/>
                <w:szCs w:val="24"/>
                <w:u w:val="none"/>
              </w:rPr>
            </w:pPr>
          </w:p>
        </w:tc>
        <w:tc>
          <w:tcPr>
            <w:tcW w:w="714" w:type="pct"/>
            <w:shd w:val="clear" w:color="auto" w:fill="auto"/>
            <w:vAlign w:val="center"/>
          </w:tcPr>
          <w:p w14:paraId="4C55D29A">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企业微信授权服务</w:t>
            </w:r>
          </w:p>
        </w:tc>
        <w:tc>
          <w:tcPr>
            <w:tcW w:w="688" w:type="pct"/>
            <w:shd w:val="clear" w:color="auto" w:fill="auto"/>
            <w:vAlign w:val="center"/>
          </w:tcPr>
          <w:p w14:paraId="6E8314E2">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1项</w:t>
            </w:r>
          </w:p>
        </w:tc>
        <w:tc>
          <w:tcPr>
            <w:tcW w:w="2518" w:type="pct"/>
            <w:shd w:val="clear" w:color="auto" w:fill="auto"/>
            <w:vAlign w:val="center"/>
          </w:tcPr>
          <w:p w14:paraId="5B296E8E">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支持企业微信医院人员使用授权服务</w:t>
            </w:r>
          </w:p>
        </w:tc>
      </w:tr>
      <w:tr w14:paraId="4A8EB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0" w:hRule="atLeast"/>
        </w:trPr>
        <w:tc>
          <w:tcPr>
            <w:tcW w:w="356" w:type="pct"/>
            <w:shd w:val="clear" w:color="auto" w:fill="auto"/>
            <w:vAlign w:val="center"/>
          </w:tcPr>
          <w:p w14:paraId="452DAB74">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5</w:t>
            </w:r>
          </w:p>
        </w:tc>
        <w:tc>
          <w:tcPr>
            <w:tcW w:w="722" w:type="pct"/>
            <w:vMerge w:val="continue"/>
            <w:shd w:val="clear" w:color="auto" w:fill="auto"/>
            <w:vAlign w:val="center"/>
          </w:tcPr>
          <w:p w14:paraId="7ECD7D7B">
            <w:pPr>
              <w:jc w:val="center"/>
              <w:rPr>
                <w:rFonts w:hint="eastAsia" w:ascii="仿宋" w:hAnsi="仿宋" w:eastAsia="仿宋" w:cs="仿宋"/>
                <w:b w:val="0"/>
                <w:bCs w:val="0"/>
                <w:i w:val="0"/>
                <w:iCs w:val="0"/>
                <w:color w:val="000000"/>
                <w:sz w:val="24"/>
                <w:szCs w:val="24"/>
                <w:u w:val="none"/>
              </w:rPr>
            </w:pPr>
          </w:p>
        </w:tc>
        <w:tc>
          <w:tcPr>
            <w:tcW w:w="714" w:type="pct"/>
            <w:shd w:val="clear" w:color="auto" w:fill="auto"/>
            <w:vAlign w:val="center"/>
          </w:tcPr>
          <w:p w14:paraId="37DC02FA">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上门护理</w:t>
            </w:r>
          </w:p>
        </w:tc>
        <w:tc>
          <w:tcPr>
            <w:tcW w:w="688" w:type="pct"/>
            <w:shd w:val="clear" w:color="auto" w:fill="auto"/>
            <w:vAlign w:val="center"/>
          </w:tcPr>
          <w:p w14:paraId="76B4C478">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1项</w:t>
            </w:r>
          </w:p>
        </w:tc>
        <w:tc>
          <w:tcPr>
            <w:tcW w:w="2518" w:type="pct"/>
            <w:shd w:val="clear" w:color="auto" w:fill="auto"/>
            <w:vAlign w:val="center"/>
          </w:tcPr>
          <w:p w14:paraId="7EE73A9E">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1.支持通过智慧医院小程序提供上门护理功能，可进行上门护理项目的选择、医护人员选择、医护人员时间选择；</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2.支持整合医院企业微信能力，通过企业微信告知对应的科室、医生，患者已经预约了上门护理的服务能力的患者消息，形成医患流程上面的闭环。</w:t>
            </w:r>
          </w:p>
        </w:tc>
      </w:tr>
      <w:tr w14:paraId="52E06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0" w:hRule="atLeast"/>
        </w:trPr>
        <w:tc>
          <w:tcPr>
            <w:tcW w:w="356" w:type="pct"/>
            <w:shd w:val="clear" w:color="auto" w:fill="auto"/>
            <w:vAlign w:val="center"/>
          </w:tcPr>
          <w:p w14:paraId="1C4A73E7">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6</w:t>
            </w:r>
          </w:p>
        </w:tc>
        <w:tc>
          <w:tcPr>
            <w:tcW w:w="722" w:type="pct"/>
            <w:vMerge w:val="continue"/>
            <w:shd w:val="clear" w:color="auto" w:fill="auto"/>
            <w:vAlign w:val="center"/>
          </w:tcPr>
          <w:p w14:paraId="2116EEBA">
            <w:pPr>
              <w:jc w:val="center"/>
              <w:rPr>
                <w:rFonts w:hint="eastAsia" w:ascii="仿宋" w:hAnsi="仿宋" w:eastAsia="仿宋" w:cs="仿宋"/>
                <w:b w:val="0"/>
                <w:bCs w:val="0"/>
                <w:i w:val="0"/>
                <w:iCs w:val="0"/>
                <w:color w:val="000000"/>
                <w:sz w:val="24"/>
                <w:szCs w:val="24"/>
                <w:u w:val="none"/>
              </w:rPr>
            </w:pPr>
          </w:p>
        </w:tc>
        <w:tc>
          <w:tcPr>
            <w:tcW w:w="714" w:type="pct"/>
            <w:shd w:val="clear" w:color="auto" w:fill="auto"/>
            <w:vAlign w:val="center"/>
          </w:tcPr>
          <w:p w14:paraId="727C323D">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投诉流程</w:t>
            </w:r>
          </w:p>
        </w:tc>
        <w:tc>
          <w:tcPr>
            <w:tcW w:w="688" w:type="pct"/>
            <w:shd w:val="clear" w:color="auto" w:fill="auto"/>
            <w:vAlign w:val="center"/>
          </w:tcPr>
          <w:p w14:paraId="1F0CDF3B">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1项</w:t>
            </w:r>
          </w:p>
        </w:tc>
        <w:tc>
          <w:tcPr>
            <w:tcW w:w="2518" w:type="pct"/>
            <w:shd w:val="clear" w:color="auto" w:fill="auto"/>
            <w:vAlign w:val="center"/>
          </w:tcPr>
          <w:p w14:paraId="52D9A71F">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1.支持提供患者投诉二维码及线上智慧医院小程序功能入口；</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2.支持提供患者投诉建议的功能，其中包括：反馈类型、评价类型、院区选择、反馈对象选择、科室选择、反馈内容；</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3.支持拍照上传图片的功能；并支持获取就诊人基础信息如就诊人姓名，就诊人手机号等；通过患者在该功能上进行反馈意见的提交后后台记录提交内容并进行数据的统计以及分析；</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4.支持后台可根据住院、门诊、科室、医生等选项进行筛选投诉建议的内容以及分析投诉率；</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5.支持管理人员也可以通过后台回复投诉内容形成处理意见反馈并通过公众号消息通知同患者投诉的内容已经进行处理。</w:t>
            </w:r>
          </w:p>
        </w:tc>
      </w:tr>
      <w:tr w14:paraId="133B0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40" w:hRule="atLeast"/>
        </w:trPr>
        <w:tc>
          <w:tcPr>
            <w:tcW w:w="356" w:type="pct"/>
            <w:shd w:val="clear" w:color="auto" w:fill="auto"/>
            <w:vAlign w:val="center"/>
          </w:tcPr>
          <w:p w14:paraId="3B3A42B7">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7</w:t>
            </w:r>
          </w:p>
        </w:tc>
        <w:tc>
          <w:tcPr>
            <w:tcW w:w="722" w:type="pct"/>
            <w:vMerge w:val="continue"/>
            <w:shd w:val="clear" w:color="auto" w:fill="auto"/>
            <w:vAlign w:val="center"/>
          </w:tcPr>
          <w:p w14:paraId="5B9F4476">
            <w:pPr>
              <w:jc w:val="center"/>
              <w:rPr>
                <w:rFonts w:hint="eastAsia" w:ascii="仿宋" w:hAnsi="仿宋" w:eastAsia="仿宋" w:cs="仿宋"/>
                <w:b w:val="0"/>
                <w:bCs w:val="0"/>
                <w:i w:val="0"/>
                <w:iCs w:val="0"/>
                <w:color w:val="000000"/>
                <w:sz w:val="24"/>
                <w:szCs w:val="24"/>
                <w:u w:val="none"/>
              </w:rPr>
            </w:pPr>
          </w:p>
        </w:tc>
        <w:tc>
          <w:tcPr>
            <w:tcW w:w="714" w:type="pct"/>
            <w:shd w:val="clear" w:color="auto" w:fill="auto"/>
            <w:vAlign w:val="center"/>
          </w:tcPr>
          <w:p w14:paraId="39403637">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接口服务</w:t>
            </w:r>
          </w:p>
        </w:tc>
        <w:tc>
          <w:tcPr>
            <w:tcW w:w="688" w:type="pct"/>
            <w:shd w:val="clear" w:color="auto" w:fill="auto"/>
            <w:vAlign w:val="center"/>
          </w:tcPr>
          <w:p w14:paraId="658BFB57">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1项</w:t>
            </w:r>
          </w:p>
        </w:tc>
        <w:tc>
          <w:tcPr>
            <w:tcW w:w="2518" w:type="pct"/>
            <w:shd w:val="clear" w:color="auto" w:fill="auto"/>
            <w:vAlign w:val="center"/>
          </w:tcPr>
          <w:p w14:paraId="7BD8F267">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▲必须与医院智慧医院小程序提供的接口实现完全对接及深度交互融合，所产生的对接费用全部由中标人承担。（供应商在投标时须提供承诺函）</w:t>
            </w:r>
          </w:p>
        </w:tc>
      </w:tr>
    </w:tbl>
    <w:p w14:paraId="581F6C7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34356A"/>
    <w:rsid w:val="5F0E2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999</Words>
  <Characters>1026</Characters>
  <Lines>0</Lines>
  <Paragraphs>0</Paragraphs>
  <TotalTime>17</TotalTime>
  <ScaleCrop>false</ScaleCrop>
  <LinksUpToDate>false</LinksUpToDate>
  <CharactersWithSpaces>1026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2025-07-07T00:57:00Z</dcterms:created>
  <dc:creator>23646</dc:creator>
  <cp:lastModifiedBy>Danny.R</cp:lastModifiedBy>
  <dcterms:modified xsi:type="dcterms:W3CDTF">2025-07-08T08:49:28Z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eyJoZGlkIjoiMzIzMjA2MTcyYTMxMGNhOWMzMmM1MzdlZjdhZjRiNTMiLCJ1c2VySWQiOiIzNDg1OTQ3MTEifQ==</vt:lpwstr>
  </property>
  <property fmtid="{D5CDD505-2E9C-101B-9397-08002B2CF9AE}" pid="4" name="ICV">
    <vt:lpwstr>D75EF12EC1CC40B29022F1B2B93FD26E_13</vt:lpwstr>
  </property>
</Properties>
</file>