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AD" w:rsidRPr="00387C3E" w:rsidRDefault="00387C3E">
      <w:pPr>
        <w:snapToGrid w:val="0"/>
        <w:spacing w:before="120" w:after="120" w:line="360" w:lineRule="auto"/>
        <w:jc w:val="center"/>
        <w:outlineLvl w:val="0"/>
        <w:rPr>
          <w:b/>
          <w:bCs/>
        </w:rPr>
      </w:pPr>
      <w:bookmarkStart w:id="0" w:name="_Toc12423"/>
      <w:bookmarkStart w:id="1" w:name="_Toc5483"/>
      <w:bookmarkStart w:id="2" w:name="_Toc44229894"/>
      <w:r w:rsidRPr="00387C3E">
        <w:rPr>
          <w:rFonts w:hint="eastAsia"/>
          <w:b/>
          <w:bCs/>
          <w:sz w:val="28"/>
          <w:szCs w:val="28"/>
        </w:rPr>
        <w:t>污水处理系统运营服务</w:t>
      </w:r>
      <w:r w:rsidR="00972388">
        <w:rPr>
          <w:b/>
          <w:bCs/>
          <w:sz w:val="28"/>
          <w:szCs w:val="28"/>
        </w:rPr>
        <w:t>采购需求</w:t>
      </w:r>
      <w:bookmarkEnd w:id="0"/>
      <w:bookmarkEnd w:id="1"/>
    </w:p>
    <w:p w:rsidR="009229AD" w:rsidRDefault="009229AD"/>
    <w:p w:rsidR="009229AD" w:rsidRDefault="009229AD">
      <w:pPr>
        <w:pStyle w:val="a1"/>
      </w:pPr>
    </w:p>
    <w:tbl>
      <w:tblPr>
        <w:tblW w:w="9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523"/>
        <w:gridCol w:w="603"/>
        <w:gridCol w:w="303"/>
        <w:gridCol w:w="7359"/>
      </w:tblGrid>
      <w:tr w:rsidR="009229AD">
        <w:tc>
          <w:tcPr>
            <w:tcW w:w="522" w:type="dxa"/>
            <w:tcBorders>
              <w:top w:val="single" w:sz="4" w:space="0" w:color="000000"/>
              <w:left w:val="single" w:sz="4" w:space="0" w:color="000000"/>
              <w:bottom w:val="single" w:sz="4" w:space="0" w:color="000000"/>
              <w:right w:val="single" w:sz="4" w:space="0" w:color="000000"/>
            </w:tcBorders>
            <w:vAlign w:val="center"/>
          </w:tcPr>
          <w:p w:rsidR="009229AD" w:rsidRDefault="00972388">
            <w:pPr>
              <w:spacing w:line="280" w:lineRule="exact"/>
              <w:jc w:val="center"/>
              <w:rPr>
                <w:rFonts w:ascii="宋体" w:hAnsi="宋体"/>
                <w:szCs w:val="21"/>
              </w:rPr>
            </w:pPr>
            <w:r>
              <w:rPr>
                <w:rFonts w:ascii="宋体" w:hAnsi="宋体" w:hint="eastAsia"/>
                <w:szCs w:val="21"/>
              </w:rPr>
              <w:t>项号</w:t>
            </w:r>
          </w:p>
        </w:tc>
        <w:tc>
          <w:tcPr>
            <w:tcW w:w="523" w:type="dxa"/>
            <w:tcBorders>
              <w:top w:val="single" w:sz="4" w:space="0" w:color="000000"/>
              <w:left w:val="single" w:sz="4" w:space="0" w:color="000000"/>
              <w:bottom w:val="single" w:sz="4" w:space="0" w:color="000000"/>
              <w:right w:val="single" w:sz="4" w:space="0" w:color="000000"/>
            </w:tcBorders>
            <w:vAlign w:val="center"/>
          </w:tcPr>
          <w:p w:rsidR="009229AD" w:rsidRDefault="00972388">
            <w:pPr>
              <w:spacing w:line="280" w:lineRule="exact"/>
              <w:jc w:val="center"/>
              <w:rPr>
                <w:rFonts w:ascii="宋体" w:hAnsi="宋体"/>
                <w:szCs w:val="21"/>
              </w:rPr>
            </w:pPr>
            <w:r>
              <w:rPr>
                <w:rFonts w:ascii="宋体" w:hAnsi="宋体" w:hint="eastAsia"/>
                <w:szCs w:val="21"/>
              </w:rPr>
              <w:t>服务名称</w:t>
            </w:r>
          </w:p>
        </w:tc>
        <w:tc>
          <w:tcPr>
            <w:tcW w:w="603" w:type="dxa"/>
            <w:tcBorders>
              <w:top w:val="single" w:sz="4" w:space="0" w:color="000000"/>
              <w:left w:val="single" w:sz="4" w:space="0" w:color="000000"/>
              <w:bottom w:val="single" w:sz="4" w:space="0" w:color="000000"/>
              <w:right w:val="single" w:sz="4" w:space="0" w:color="000000"/>
            </w:tcBorders>
            <w:vAlign w:val="center"/>
          </w:tcPr>
          <w:p w:rsidR="009229AD" w:rsidRDefault="00972388">
            <w:pPr>
              <w:spacing w:line="280" w:lineRule="exact"/>
              <w:jc w:val="center"/>
              <w:rPr>
                <w:rFonts w:ascii="宋体" w:hAnsi="宋体"/>
                <w:szCs w:val="21"/>
              </w:rPr>
            </w:pPr>
            <w:r>
              <w:rPr>
                <w:rFonts w:ascii="宋体" w:hAnsi="宋体" w:hint="eastAsia"/>
                <w:szCs w:val="21"/>
              </w:rPr>
              <w:t>数量</w:t>
            </w:r>
          </w:p>
        </w:tc>
        <w:tc>
          <w:tcPr>
            <w:tcW w:w="7662" w:type="dxa"/>
            <w:gridSpan w:val="2"/>
            <w:tcBorders>
              <w:top w:val="single" w:sz="4" w:space="0" w:color="000000"/>
              <w:left w:val="single" w:sz="4" w:space="0" w:color="000000"/>
              <w:bottom w:val="single" w:sz="4" w:space="0" w:color="000000"/>
              <w:right w:val="single" w:sz="4" w:space="0" w:color="000000"/>
            </w:tcBorders>
            <w:vAlign w:val="center"/>
          </w:tcPr>
          <w:p w:rsidR="009229AD" w:rsidRDefault="00972388">
            <w:pPr>
              <w:spacing w:line="280" w:lineRule="exact"/>
              <w:jc w:val="center"/>
              <w:rPr>
                <w:rFonts w:ascii="宋体" w:hAnsi="宋体"/>
                <w:bCs/>
                <w:szCs w:val="21"/>
              </w:rPr>
            </w:pPr>
            <w:r>
              <w:rPr>
                <w:rFonts w:ascii="宋体" w:hAnsi="宋体" w:hint="eastAsia"/>
                <w:szCs w:val="21"/>
              </w:rPr>
              <w:t>项目需求及服务要求</w:t>
            </w:r>
          </w:p>
        </w:tc>
      </w:tr>
      <w:tr w:rsidR="009229AD">
        <w:tc>
          <w:tcPr>
            <w:tcW w:w="522" w:type="dxa"/>
            <w:tcBorders>
              <w:top w:val="single" w:sz="4" w:space="0" w:color="000000"/>
              <w:left w:val="single" w:sz="4" w:space="0" w:color="000000"/>
              <w:bottom w:val="single" w:sz="4" w:space="0" w:color="000000"/>
              <w:right w:val="single" w:sz="4" w:space="0" w:color="000000"/>
            </w:tcBorders>
            <w:vAlign w:val="center"/>
          </w:tcPr>
          <w:p w:rsidR="009229AD" w:rsidRDefault="00972388">
            <w:pPr>
              <w:jc w:val="center"/>
              <w:rPr>
                <w:rFonts w:ascii="宋体" w:hAnsi="宋体"/>
                <w:szCs w:val="21"/>
              </w:rPr>
            </w:pPr>
            <w:r>
              <w:rPr>
                <w:rFonts w:ascii="宋体" w:hAnsi="宋体" w:hint="eastAsia"/>
                <w:szCs w:val="21"/>
              </w:rPr>
              <w:t>1</w:t>
            </w:r>
          </w:p>
        </w:tc>
        <w:tc>
          <w:tcPr>
            <w:tcW w:w="523" w:type="dxa"/>
            <w:tcBorders>
              <w:top w:val="single" w:sz="4" w:space="0" w:color="000000"/>
              <w:left w:val="single" w:sz="4" w:space="0" w:color="000000"/>
              <w:bottom w:val="single" w:sz="4" w:space="0" w:color="000000"/>
              <w:right w:val="single" w:sz="4" w:space="0" w:color="000000"/>
            </w:tcBorders>
            <w:vAlign w:val="center"/>
          </w:tcPr>
          <w:p w:rsidR="009229AD" w:rsidRDefault="00972388">
            <w:pPr>
              <w:rPr>
                <w:rFonts w:ascii="宋体" w:hAnsi="宋体" w:cs="仿宋"/>
                <w:szCs w:val="21"/>
              </w:rPr>
            </w:pPr>
            <w:r>
              <w:rPr>
                <w:rFonts w:ascii="宋体" w:hAnsi="宋体" w:cs="仿宋" w:hint="eastAsia"/>
                <w:szCs w:val="21"/>
              </w:rPr>
              <w:t>桂林医学院附属医院污水处理系统运营服务项目</w:t>
            </w:r>
          </w:p>
        </w:tc>
        <w:tc>
          <w:tcPr>
            <w:tcW w:w="603" w:type="dxa"/>
            <w:tcBorders>
              <w:top w:val="single" w:sz="4" w:space="0" w:color="000000"/>
              <w:left w:val="single" w:sz="4" w:space="0" w:color="000000"/>
              <w:bottom w:val="single" w:sz="4" w:space="0" w:color="000000"/>
              <w:right w:val="single" w:sz="4" w:space="0" w:color="000000"/>
            </w:tcBorders>
            <w:vAlign w:val="center"/>
          </w:tcPr>
          <w:p w:rsidR="009229AD" w:rsidRDefault="00972388">
            <w:pPr>
              <w:jc w:val="center"/>
              <w:rPr>
                <w:rFonts w:ascii="宋体" w:hAnsi="宋体" w:cs="仿宋"/>
                <w:szCs w:val="21"/>
              </w:rPr>
            </w:pPr>
            <w:r>
              <w:rPr>
                <w:rFonts w:ascii="宋体" w:hAnsi="宋体" w:cs="仿宋" w:hint="eastAsia"/>
                <w:szCs w:val="21"/>
              </w:rPr>
              <w:t>1</w:t>
            </w:r>
            <w:r>
              <w:rPr>
                <w:rFonts w:ascii="宋体" w:hAnsi="宋体" w:cs="仿宋" w:hint="eastAsia"/>
                <w:szCs w:val="21"/>
              </w:rPr>
              <w:t>项</w:t>
            </w:r>
          </w:p>
        </w:tc>
        <w:tc>
          <w:tcPr>
            <w:tcW w:w="7662" w:type="dxa"/>
            <w:gridSpan w:val="2"/>
            <w:tcBorders>
              <w:top w:val="single" w:sz="4" w:space="0" w:color="000000"/>
              <w:left w:val="single" w:sz="4" w:space="0" w:color="000000"/>
              <w:bottom w:val="single" w:sz="4" w:space="0" w:color="000000"/>
              <w:right w:val="single" w:sz="4" w:space="0" w:color="000000"/>
            </w:tcBorders>
            <w:vAlign w:val="center"/>
          </w:tcPr>
          <w:p w:rsidR="009229AD" w:rsidRDefault="00972388">
            <w:pPr>
              <w:ind w:firstLineChars="200" w:firstLine="420"/>
            </w:pPr>
            <w:r>
              <w:t>▲</w:t>
            </w:r>
            <w:r>
              <w:rPr>
                <w:rFonts w:hint="eastAsia"/>
              </w:rPr>
              <w:t>一、基本情况</w:t>
            </w:r>
          </w:p>
          <w:p w:rsidR="009229AD" w:rsidRDefault="00972388">
            <w:pPr>
              <w:ind w:firstLineChars="200" w:firstLine="420"/>
            </w:pPr>
            <w:r>
              <w:rPr>
                <w:rFonts w:hint="eastAsia"/>
              </w:rPr>
              <w:t>1</w:t>
            </w:r>
            <w:r>
              <w:rPr>
                <w:rFonts w:hint="eastAsia"/>
              </w:rPr>
              <w:t>、处理规模：医院综合污水处理站处理水量为</w:t>
            </w:r>
            <w:r>
              <w:rPr>
                <w:rFonts w:hint="eastAsia"/>
              </w:rPr>
              <w:t xml:space="preserve"> 500</w:t>
            </w:r>
            <w:r>
              <w:rPr>
                <w:rFonts w:hint="eastAsia"/>
              </w:rPr>
              <w:t>吨</w:t>
            </w:r>
            <w:r>
              <w:rPr>
                <w:rFonts w:hint="eastAsia"/>
              </w:rPr>
              <w:t xml:space="preserve"> /</w:t>
            </w:r>
            <w:r>
              <w:rPr>
                <w:rFonts w:hint="eastAsia"/>
              </w:rPr>
              <w:t>天，乐群校区检验综合楼污水处理站处理水量为</w:t>
            </w:r>
            <w:r>
              <w:rPr>
                <w:rFonts w:hint="eastAsia"/>
              </w:rPr>
              <w:t>20</w:t>
            </w:r>
            <w:r>
              <w:rPr>
                <w:rFonts w:hint="eastAsia"/>
              </w:rPr>
              <w:t>吨</w:t>
            </w:r>
            <w:r>
              <w:rPr>
                <w:rFonts w:hint="eastAsia"/>
              </w:rPr>
              <w:t>/</w:t>
            </w:r>
            <w:r>
              <w:rPr>
                <w:rFonts w:hint="eastAsia"/>
              </w:rPr>
              <w:t>天</w:t>
            </w:r>
            <w:r>
              <w:rPr>
                <w:rFonts w:hint="eastAsia"/>
              </w:rPr>
              <w:t xml:space="preserve">, </w:t>
            </w:r>
            <w:r>
              <w:rPr>
                <w:rFonts w:hint="eastAsia"/>
              </w:rPr>
              <w:t>乐群校区</w:t>
            </w:r>
            <w:r>
              <w:rPr>
                <w:rFonts w:hint="eastAsia"/>
              </w:rPr>
              <w:t>10</w:t>
            </w:r>
            <w:r>
              <w:rPr>
                <w:rFonts w:hint="eastAsia"/>
              </w:rPr>
              <w:t>号楼前污水处理站处理水量为</w:t>
            </w:r>
            <w:r>
              <w:rPr>
                <w:rFonts w:hint="eastAsia"/>
              </w:rPr>
              <w:t>30</w:t>
            </w:r>
            <w:r>
              <w:rPr>
                <w:rFonts w:hint="eastAsia"/>
              </w:rPr>
              <w:t>吨</w:t>
            </w:r>
            <w:r>
              <w:rPr>
                <w:rFonts w:hint="eastAsia"/>
              </w:rPr>
              <w:t>/</w:t>
            </w:r>
            <w:r>
              <w:rPr>
                <w:rFonts w:hint="eastAsia"/>
              </w:rPr>
              <w:t>天，东城健康体检中心污水处理站处理水量为</w:t>
            </w:r>
            <w:r>
              <w:rPr>
                <w:rFonts w:hint="eastAsia"/>
              </w:rPr>
              <w:t>5</w:t>
            </w:r>
            <w:r>
              <w:rPr>
                <w:rFonts w:hint="eastAsia"/>
              </w:rPr>
              <w:t>吨</w:t>
            </w:r>
            <w:r>
              <w:rPr>
                <w:rFonts w:hint="eastAsia"/>
              </w:rPr>
              <w:t>/</w:t>
            </w:r>
            <w:r>
              <w:rPr>
                <w:rFonts w:hint="eastAsia"/>
              </w:rPr>
              <w:t>天。</w:t>
            </w:r>
          </w:p>
          <w:p w:rsidR="009229AD" w:rsidRDefault="00972388">
            <w:pPr>
              <w:ind w:firstLineChars="200" w:firstLine="420"/>
            </w:pPr>
            <w:r>
              <w:t>▲</w:t>
            </w:r>
            <w:r>
              <w:rPr>
                <w:rFonts w:hint="eastAsia"/>
              </w:rPr>
              <w:t>二、服务需求</w:t>
            </w:r>
          </w:p>
          <w:p w:rsidR="009229AD" w:rsidRDefault="00972388">
            <w:pPr>
              <w:ind w:firstLineChars="200" w:firstLine="420"/>
            </w:pPr>
            <w:r>
              <w:rPr>
                <w:rFonts w:hint="eastAsia"/>
              </w:rPr>
              <w:t>1</w:t>
            </w:r>
            <w:r>
              <w:rPr>
                <w:rFonts w:hint="eastAsia"/>
              </w:rPr>
              <w:t>、成交人负责，桂林医学院附属医院污水处理水质标准达到《医疗机构水污染物排放标准》（</w:t>
            </w:r>
            <w:r>
              <w:rPr>
                <w:rFonts w:hint="eastAsia"/>
              </w:rPr>
              <w:t>GB18466</w:t>
            </w:r>
            <w:r>
              <w:rPr>
                <w:rFonts w:hint="eastAsia"/>
              </w:rPr>
              <w:t>—</w:t>
            </w:r>
            <w:r>
              <w:rPr>
                <w:rFonts w:hint="eastAsia"/>
              </w:rPr>
              <w:t>2005</w:t>
            </w:r>
            <w:r>
              <w:rPr>
                <w:rFonts w:hint="eastAsia"/>
              </w:rPr>
              <w:t>）预处理排放标准。</w:t>
            </w:r>
          </w:p>
          <w:p w:rsidR="009229AD" w:rsidRDefault="00972388">
            <w:pPr>
              <w:snapToGrid w:val="0"/>
              <w:spacing w:line="360" w:lineRule="auto"/>
              <w:ind w:firstLineChars="200" w:firstLine="420"/>
              <w:jc w:val="left"/>
            </w:pPr>
            <w:r>
              <w:rPr>
                <w:rFonts w:hint="eastAsia"/>
              </w:rPr>
              <w:t>2</w:t>
            </w:r>
            <w:r>
              <w:rPr>
                <w:rFonts w:hint="eastAsia"/>
              </w:rPr>
              <w:t>、供应商负责派遣驻点配备持证上岗的专业操作人员并在响应文件中提供用于本次项目的投入人员名单、有效证书、身份证复印件【人员配备最低要求：项目工程师（环保专业中级或以上职称）</w:t>
            </w:r>
            <w:r>
              <w:rPr>
                <w:rFonts w:hint="eastAsia"/>
              </w:rPr>
              <w:t>1</w:t>
            </w:r>
            <w:r>
              <w:rPr>
                <w:rFonts w:hint="eastAsia"/>
              </w:rPr>
              <w:t>人、操作员（废水处理工四级</w:t>
            </w:r>
            <w:r>
              <w:rPr>
                <w:rFonts w:hint="eastAsia"/>
              </w:rPr>
              <w:t>/</w:t>
            </w:r>
            <w:r>
              <w:rPr>
                <w:rFonts w:hint="eastAsia"/>
              </w:rPr>
              <w:t>中级技能职业资格证书）</w:t>
            </w:r>
            <w:r>
              <w:rPr>
                <w:rFonts w:hint="eastAsia"/>
              </w:rPr>
              <w:t>3</w:t>
            </w:r>
            <w:r>
              <w:rPr>
                <w:rFonts w:hint="eastAsia"/>
              </w:rPr>
              <w:t>人】，全天候专业管理（每天有人值守</w:t>
            </w:r>
            <w:r>
              <w:rPr>
                <w:rFonts w:hint="eastAsia"/>
              </w:rPr>
              <w:t>）</w:t>
            </w:r>
            <w:r>
              <w:rPr>
                <w:rFonts w:hint="eastAsia"/>
              </w:rPr>
              <w:t>。操作运行全套污水处理系统，并承担因此所产生的所有费用（不包括水电费用）。</w:t>
            </w:r>
          </w:p>
          <w:p w:rsidR="009229AD" w:rsidRDefault="00972388">
            <w:pPr>
              <w:snapToGrid w:val="0"/>
              <w:spacing w:line="360" w:lineRule="auto"/>
              <w:ind w:firstLineChars="200" w:firstLine="420"/>
              <w:jc w:val="left"/>
            </w:pPr>
            <w:r>
              <w:rPr>
                <w:rFonts w:hint="eastAsia"/>
              </w:rPr>
              <w:t>3</w:t>
            </w:r>
            <w:r>
              <w:rPr>
                <w:rFonts w:hint="eastAsia"/>
              </w:rPr>
              <w:t>、供应商负责污水处理所需药剂的采购、运输、保管、投放等工作，并承担因此所产生的所有费用。</w:t>
            </w:r>
          </w:p>
          <w:p w:rsidR="009229AD" w:rsidRDefault="00972388">
            <w:pPr>
              <w:snapToGrid w:val="0"/>
              <w:spacing w:line="360" w:lineRule="auto"/>
              <w:ind w:firstLineChars="200" w:firstLine="420"/>
              <w:jc w:val="left"/>
            </w:pPr>
            <w:r>
              <w:rPr>
                <w:rFonts w:hint="eastAsia"/>
              </w:rPr>
              <w:t>4</w:t>
            </w:r>
            <w:r>
              <w:rPr>
                <w:rFonts w:hint="eastAsia"/>
              </w:rPr>
              <w:t>、</w:t>
            </w:r>
            <w:r>
              <w:rPr>
                <w:rFonts w:hint="eastAsia"/>
              </w:rPr>
              <w:t>供应商负责接手</w:t>
            </w:r>
            <w:r>
              <w:rPr>
                <w:rFonts w:hint="eastAsia"/>
              </w:rPr>
              <w:t>污水</w:t>
            </w:r>
            <w:r>
              <w:rPr>
                <w:rStyle w:val="NormalCharacter"/>
              </w:rPr>
              <w:t>处理站</w:t>
            </w:r>
            <w:r>
              <w:rPr>
                <w:rFonts w:hint="eastAsia"/>
              </w:rPr>
              <w:t>污水处理设备的保养、维修</w:t>
            </w:r>
            <w:r>
              <w:rPr>
                <w:rFonts w:hint="eastAsia"/>
              </w:rPr>
              <w:t>。</w:t>
            </w:r>
            <w:r>
              <w:rPr>
                <w:rFonts w:hint="eastAsia"/>
              </w:rPr>
              <w:t>。</w:t>
            </w:r>
          </w:p>
          <w:p w:rsidR="009229AD" w:rsidRDefault="00972388">
            <w:pPr>
              <w:snapToGrid w:val="0"/>
              <w:spacing w:line="360" w:lineRule="auto"/>
              <w:ind w:firstLineChars="200" w:firstLine="420"/>
              <w:jc w:val="left"/>
            </w:pPr>
            <w:r>
              <w:rPr>
                <w:rFonts w:hint="eastAsia"/>
              </w:rPr>
              <w:t>5</w:t>
            </w:r>
            <w:r>
              <w:rPr>
                <w:rFonts w:hint="eastAsia"/>
              </w:rPr>
              <w:t>、供应商在响应文件中</w:t>
            </w:r>
            <w:r>
              <w:rPr>
                <w:rFonts w:hint="eastAsia"/>
              </w:rPr>
              <w:t>提供的证照，在合同期内应保证合法有效。</w:t>
            </w:r>
          </w:p>
          <w:p w:rsidR="009229AD" w:rsidRDefault="00972388">
            <w:pPr>
              <w:snapToGrid w:val="0"/>
              <w:spacing w:line="360" w:lineRule="auto"/>
              <w:ind w:firstLineChars="200" w:firstLine="420"/>
              <w:jc w:val="left"/>
            </w:pPr>
            <w:r>
              <w:rPr>
                <w:rFonts w:hint="eastAsia"/>
              </w:rPr>
              <w:t>6</w:t>
            </w:r>
            <w:r>
              <w:rPr>
                <w:rFonts w:hint="eastAsia"/>
              </w:rPr>
              <w:t>、供应商必须保证污水处理结果符合国家标准和地方环保部门的要求。</w:t>
            </w:r>
          </w:p>
          <w:p w:rsidR="009229AD" w:rsidRDefault="00972388">
            <w:pPr>
              <w:snapToGrid w:val="0"/>
              <w:spacing w:line="360" w:lineRule="auto"/>
              <w:ind w:firstLineChars="200" w:firstLine="420"/>
              <w:jc w:val="left"/>
            </w:pPr>
            <w:r>
              <w:rPr>
                <w:rFonts w:hint="eastAsia"/>
              </w:rPr>
              <w:t>7</w:t>
            </w:r>
            <w:r>
              <w:rPr>
                <w:rFonts w:hint="eastAsia"/>
              </w:rPr>
              <w:t>、供应商全年全天有人值守，并做好日常记录。</w:t>
            </w:r>
          </w:p>
          <w:p w:rsidR="009229AD" w:rsidRDefault="00972388">
            <w:pPr>
              <w:snapToGrid w:val="0"/>
              <w:spacing w:line="360" w:lineRule="auto"/>
              <w:ind w:firstLineChars="200" w:firstLine="420"/>
              <w:jc w:val="left"/>
            </w:pPr>
            <w:r>
              <w:rPr>
                <w:rFonts w:hint="eastAsia"/>
              </w:rPr>
              <w:t>8</w:t>
            </w:r>
            <w:r>
              <w:rPr>
                <w:rFonts w:hint="eastAsia"/>
              </w:rPr>
              <w:t>、供应商应按污水监测项目及频率要求做好污水处理站污水处理的监测和相关记录。</w:t>
            </w:r>
          </w:p>
          <w:p w:rsidR="009229AD" w:rsidRDefault="00972388">
            <w:pPr>
              <w:snapToGrid w:val="0"/>
              <w:spacing w:line="360" w:lineRule="auto"/>
              <w:ind w:firstLineChars="200" w:firstLine="420"/>
              <w:jc w:val="left"/>
            </w:pPr>
            <w:r>
              <w:rPr>
                <w:rFonts w:hint="eastAsia"/>
              </w:rPr>
              <w:t>9</w:t>
            </w:r>
            <w:r>
              <w:rPr>
                <w:rFonts w:hint="eastAsia"/>
              </w:rPr>
              <w:t>、采购人有权监督供应商污水处理站的运行情况，如供应商出现一年中连续</w:t>
            </w:r>
            <w:r>
              <w:rPr>
                <w:rStyle w:val="NormalCharacter"/>
              </w:rPr>
              <w:t>2</w:t>
            </w:r>
            <w:r>
              <w:rPr>
                <w:rFonts w:hint="eastAsia"/>
              </w:rPr>
              <w:t>次环保、卫生部门监测不达标，采购人有权解除合同，由此造成的损失全部由供应商承担。</w:t>
            </w:r>
          </w:p>
          <w:p w:rsidR="009229AD" w:rsidRDefault="00972388">
            <w:pPr>
              <w:snapToGrid w:val="0"/>
              <w:spacing w:line="360" w:lineRule="auto"/>
              <w:ind w:firstLineChars="200" w:firstLine="420"/>
              <w:jc w:val="left"/>
            </w:pPr>
            <w:r>
              <w:rPr>
                <w:rFonts w:hint="eastAsia"/>
              </w:rPr>
              <w:t>11</w:t>
            </w:r>
            <w:r>
              <w:rPr>
                <w:rFonts w:hint="eastAsia"/>
              </w:rPr>
              <w:t>、供应商应将污水处理系统运行的管理规章制度在签订合同后</w:t>
            </w:r>
            <w:r>
              <w:t>5</w:t>
            </w:r>
            <w:r>
              <w:rPr>
                <w:rFonts w:hint="eastAsia"/>
              </w:rPr>
              <w:t>个工作日内报采购人备案。</w:t>
            </w:r>
          </w:p>
          <w:p w:rsidR="009229AD" w:rsidRDefault="00972388">
            <w:pPr>
              <w:snapToGrid w:val="0"/>
              <w:spacing w:line="360" w:lineRule="auto"/>
              <w:ind w:firstLineChars="200" w:firstLine="420"/>
              <w:jc w:val="left"/>
            </w:pPr>
            <w:r>
              <w:rPr>
                <w:rFonts w:hint="eastAsia"/>
              </w:rPr>
              <w:t>12</w:t>
            </w:r>
            <w:r>
              <w:rPr>
                <w:rFonts w:hint="eastAsia"/>
              </w:rPr>
              <w:t>、供应商必须妥善维护、使用、保管污水处理设施，保证污水处理主体设备的正常使用。</w:t>
            </w:r>
          </w:p>
          <w:p w:rsidR="009229AD" w:rsidRDefault="00972388">
            <w:pPr>
              <w:snapToGrid w:val="0"/>
              <w:spacing w:line="360" w:lineRule="auto"/>
              <w:ind w:firstLineChars="200" w:firstLine="420"/>
              <w:jc w:val="left"/>
            </w:pPr>
            <w:r>
              <w:rPr>
                <w:rFonts w:hint="eastAsia"/>
              </w:rPr>
              <w:t>1</w:t>
            </w:r>
            <w:r>
              <w:rPr>
                <w:rFonts w:hint="eastAsia"/>
              </w:rPr>
              <w:t>3</w:t>
            </w:r>
            <w:r>
              <w:rPr>
                <w:rFonts w:hint="eastAsia"/>
              </w:rPr>
              <w:t>、在供应商运营期间，污水处理站的建筑物需装修或维修以及池底的构筑物损坏需进行维修，供应商应提前将详细内容以书面形式报采购人，该维修、装</w:t>
            </w:r>
            <w:r>
              <w:rPr>
                <w:rFonts w:hint="eastAsia"/>
              </w:rPr>
              <w:lastRenderedPageBreak/>
              <w:t>修费用均由采购人承担。</w:t>
            </w:r>
          </w:p>
          <w:p w:rsidR="009229AD" w:rsidRDefault="00972388">
            <w:pPr>
              <w:snapToGrid w:val="0"/>
              <w:spacing w:line="360" w:lineRule="auto"/>
              <w:ind w:firstLineChars="200" w:firstLine="420"/>
              <w:jc w:val="left"/>
            </w:pPr>
            <w:r>
              <w:rPr>
                <w:rFonts w:hint="eastAsia"/>
              </w:rPr>
              <w:t>1</w:t>
            </w:r>
            <w:r>
              <w:rPr>
                <w:rFonts w:hint="eastAsia"/>
              </w:rPr>
              <w:t>4</w:t>
            </w:r>
            <w:r>
              <w:rPr>
                <w:rFonts w:hint="eastAsia"/>
              </w:rPr>
              <w:t>、在供应商运营期间，在国家有关法规、污水处理排放标准或环保主管部门的要求发生变化时，需要添加新设备，供应商应将添加新设备的目的和详细内容及价格以书面形式报采购人，经过采购人同意后方可实施。供应商添加新设备及土建的费用由采购人承担。</w:t>
            </w:r>
          </w:p>
          <w:p w:rsidR="009229AD" w:rsidRDefault="00972388">
            <w:pPr>
              <w:snapToGrid w:val="0"/>
              <w:spacing w:line="360" w:lineRule="auto"/>
              <w:ind w:firstLineChars="200" w:firstLine="420"/>
              <w:jc w:val="left"/>
            </w:pPr>
            <w:r>
              <w:rPr>
                <w:rFonts w:hint="eastAsia"/>
              </w:rPr>
              <w:t>1</w:t>
            </w:r>
            <w:r>
              <w:rPr>
                <w:rFonts w:hint="eastAsia"/>
              </w:rPr>
              <w:t>5</w:t>
            </w:r>
            <w:r>
              <w:rPr>
                <w:rFonts w:hint="eastAsia"/>
              </w:rPr>
              <w:t>、在医院内工作和生活的供应</w:t>
            </w:r>
            <w:r>
              <w:rPr>
                <w:rFonts w:hint="eastAsia"/>
              </w:rPr>
              <w:t>商有关人员，应具备与工作岗位相关的必要的证件（如身份证、环境保护设施运行人员考试合格证书（污废水处理工）等），并提供相关人员资料向采购人报备。供应商自觉遵守国家法律法规以及采购人的规章制度，服从采购人的监督与管理，不得影响医院正常工作和生活。如有违反，采购人有权要求供应商更换工作人员，否则采购人有权解除合同，由此造成的损失全部由供应商承担。</w:t>
            </w:r>
          </w:p>
          <w:p w:rsidR="009229AD" w:rsidRDefault="00972388">
            <w:pPr>
              <w:snapToGrid w:val="0"/>
              <w:spacing w:line="360" w:lineRule="auto"/>
              <w:ind w:firstLineChars="200" w:firstLine="420"/>
              <w:jc w:val="left"/>
            </w:pPr>
            <w:r>
              <w:rPr>
                <w:rFonts w:hint="eastAsia"/>
              </w:rPr>
              <w:t>另外，供应商的工作人员工资福利、医疗保险、人身安全、突发伤亡等所产生的一切开支均由供应商负责。</w:t>
            </w:r>
          </w:p>
          <w:p w:rsidR="009229AD" w:rsidRDefault="00972388">
            <w:pPr>
              <w:snapToGrid w:val="0"/>
              <w:spacing w:line="360" w:lineRule="auto"/>
              <w:ind w:firstLineChars="200" w:firstLine="420"/>
              <w:jc w:val="left"/>
            </w:pPr>
            <w:r>
              <w:t>1</w:t>
            </w:r>
            <w:r>
              <w:rPr>
                <w:rFonts w:hint="eastAsia"/>
              </w:rPr>
              <w:t>6</w:t>
            </w:r>
            <w:r>
              <w:t>、</w:t>
            </w:r>
            <w:r>
              <w:rPr>
                <w:rFonts w:hint="eastAsia"/>
              </w:rPr>
              <w:t>由于供应商责任造成污水处理结果不达标而给采购人造成的损失及产生的费</w:t>
            </w:r>
            <w:r>
              <w:rPr>
                <w:rFonts w:hint="eastAsia"/>
              </w:rPr>
              <w:t>用，全部由供应商承担（因不可抗拒的原因如：自然灾害、停电、停水等造成的不达标除外）。如采购人因此受到有关部门罚款，罚款由供应商承担。</w:t>
            </w:r>
          </w:p>
        </w:tc>
      </w:tr>
      <w:tr w:rsidR="009229AD">
        <w:tc>
          <w:tcPr>
            <w:tcW w:w="9310" w:type="dxa"/>
            <w:gridSpan w:val="5"/>
            <w:tcBorders>
              <w:top w:val="single" w:sz="4" w:space="0" w:color="000000"/>
              <w:left w:val="single" w:sz="4" w:space="0" w:color="000000"/>
              <w:bottom w:val="single" w:sz="4" w:space="0" w:color="000000"/>
              <w:right w:val="single" w:sz="4" w:space="0" w:color="000000"/>
            </w:tcBorders>
          </w:tcPr>
          <w:p w:rsidR="009229AD" w:rsidRDefault="00972388">
            <w:pPr>
              <w:widowControl/>
              <w:jc w:val="left"/>
              <w:rPr>
                <w:rFonts w:ascii="宋体" w:hAnsi="宋体"/>
                <w:szCs w:val="21"/>
              </w:rPr>
            </w:pPr>
            <w:r>
              <w:rPr>
                <w:rFonts w:ascii="宋体" w:hAnsi="宋体" w:hint="eastAsia"/>
                <w:szCs w:val="21"/>
              </w:rPr>
              <w:t>▲商务要求</w:t>
            </w:r>
            <w:r>
              <w:rPr>
                <w:rFonts w:ascii="宋体" w:hAnsi="宋体" w:hint="eastAsia"/>
                <w:szCs w:val="21"/>
              </w:rPr>
              <w:t xml:space="preserve"> </w:t>
            </w:r>
          </w:p>
        </w:tc>
      </w:tr>
      <w:tr w:rsidR="009229AD">
        <w:tc>
          <w:tcPr>
            <w:tcW w:w="1951" w:type="dxa"/>
            <w:gridSpan w:val="4"/>
            <w:tcBorders>
              <w:top w:val="single" w:sz="4" w:space="0" w:color="000000"/>
              <w:left w:val="single" w:sz="4" w:space="0" w:color="000000"/>
              <w:bottom w:val="single" w:sz="4" w:space="0" w:color="000000"/>
              <w:right w:val="single" w:sz="4" w:space="0" w:color="000000"/>
            </w:tcBorders>
            <w:vAlign w:val="center"/>
          </w:tcPr>
          <w:p w:rsidR="009229AD" w:rsidRDefault="00972388">
            <w:pPr>
              <w:spacing w:line="288" w:lineRule="auto"/>
              <w:jc w:val="center"/>
              <w:rPr>
                <w:rFonts w:cs="宋体"/>
                <w:szCs w:val="21"/>
              </w:rPr>
            </w:pPr>
            <w:r>
              <w:rPr>
                <w:rFonts w:cs="宋体" w:hint="eastAsia"/>
                <w:szCs w:val="21"/>
              </w:rPr>
              <w:t>服务期限及服务地点</w:t>
            </w:r>
          </w:p>
        </w:tc>
        <w:tc>
          <w:tcPr>
            <w:tcW w:w="7359" w:type="dxa"/>
            <w:tcBorders>
              <w:top w:val="single" w:sz="4" w:space="0" w:color="000000"/>
              <w:left w:val="single" w:sz="4" w:space="0" w:color="000000"/>
              <w:bottom w:val="single" w:sz="4" w:space="0" w:color="000000"/>
              <w:right w:val="single" w:sz="4" w:space="0" w:color="000000"/>
            </w:tcBorders>
            <w:vAlign w:val="center"/>
          </w:tcPr>
          <w:p w:rsidR="009229AD" w:rsidRDefault="00972388">
            <w:pPr>
              <w:pStyle w:val="a8"/>
              <w:outlineLvl w:val="0"/>
              <w:rPr>
                <w:rFonts w:hAnsi="宋体" w:cs="宋体"/>
                <w:sz w:val="21"/>
              </w:rPr>
            </w:pPr>
            <w:r>
              <w:rPr>
                <w:rFonts w:hAnsi="宋体" w:cs="宋体" w:hint="eastAsia"/>
                <w:sz w:val="21"/>
              </w:rPr>
              <w:t>服务期限：自签订合同之日起</w:t>
            </w:r>
            <w:r w:rsidR="00387C3E">
              <w:rPr>
                <w:rFonts w:hAnsi="宋体" w:cs="宋体" w:hint="eastAsia"/>
                <w:sz w:val="21"/>
              </w:rPr>
              <w:t>2</w:t>
            </w:r>
            <w:r>
              <w:rPr>
                <w:rFonts w:hAnsi="宋体" w:cs="宋体" w:hint="eastAsia"/>
                <w:sz w:val="21"/>
              </w:rPr>
              <w:t xml:space="preserve"> </w:t>
            </w:r>
            <w:r>
              <w:rPr>
                <w:rFonts w:hAnsi="宋体" w:cs="宋体" w:hint="eastAsia"/>
                <w:sz w:val="21"/>
              </w:rPr>
              <w:t>年。</w:t>
            </w:r>
          </w:p>
          <w:p w:rsidR="009229AD" w:rsidRDefault="00972388">
            <w:pPr>
              <w:pStyle w:val="a8"/>
              <w:outlineLvl w:val="0"/>
              <w:rPr>
                <w:rFonts w:hAnsi="宋体" w:cs="宋体"/>
                <w:sz w:val="21"/>
              </w:rPr>
            </w:pPr>
            <w:r>
              <w:rPr>
                <w:rFonts w:hAnsi="宋体" w:cs="宋体" w:hint="eastAsia"/>
                <w:sz w:val="21"/>
              </w:rPr>
              <w:t>服务地点：</w:t>
            </w:r>
          </w:p>
        </w:tc>
      </w:tr>
      <w:tr w:rsidR="009229AD">
        <w:tc>
          <w:tcPr>
            <w:tcW w:w="1951" w:type="dxa"/>
            <w:gridSpan w:val="4"/>
            <w:tcBorders>
              <w:top w:val="single" w:sz="4" w:space="0" w:color="000000"/>
              <w:left w:val="single" w:sz="4" w:space="0" w:color="000000"/>
              <w:bottom w:val="single" w:sz="4" w:space="0" w:color="000000"/>
              <w:right w:val="single" w:sz="4" w:space="0" w:color="000000"/>
            </w:tcBorders>
            <w:vAlign w:val="center"/>
          </w:tcPr>
          <w:p w:rsidR="009229AD" w:rsidRDefault="00972388">
            <w:pPr>
              <w:spacing w:line="288" w:lineRule="auto"/>
              <w:jc w:val="center"/>
              <w:rPr>
                <w:rFonts w:cs="宋体"/>
              </w:rPr>
            </w:pPr>
            <w:r>
              <w:rPr>
                <w:rFonts w:cs="宋体" w:hint="eastAsia"/>
              </w:rPr>
              <w:t>付款方式</w:t>
            </w:r>
          </w:p>
        </w:tc>
        <w:tc>
          <w:tcPr>
            <w:tcW w:w="7359" w:type="dxa"/>
            <w:tcBorders>
              <w:top w:val="single" w:sz="4" w:space="0" w:color="000000"/>
              <w:left w:val="single" w:sz="4" w:space="0" w:color="000000"/>
              <w:bottom w:val="single" w:sz="4" w:space="0" w:color="000000"/>
              <w:right w:val="single" w:sz="4" w:space="0" w:color="000000"/>
            </w:tcBorders>
            <w:vAlign w:val="center"/>
          </w:tcPr>
          <w:p w:rsidR="009229AD" w:rsidRDefault="00972388">
            <w:pPr>
              <w:rPr>
                <w:rStyle w:val="NormalCharacter"/>
                <w:rFonts w:ascii="宋体" w:hAnsi="宋体" w:cs="宋体"/>
                <w:szCs w:val="21"/>
              </w:rPr>
            </w:pPr>
            <w:r>
              <w:rPr>
                <w:rStyle w:val="NormalCharacter"/>
                <w:rFonts w:ascii="宋体" w:hAnsi="宋体" w:cs="宋体" w:hint="eastAsia"/>
                <w:szCs w:val="21"/>
              </w:rPr>
              <w:t>采购人按季度支付污水处理费。</w:t>
            </w:r>
          </w:p>
          <w:p w:rsidR="009229AD" w:rsidRDefault="00972388">
            <w:pPr>
              <w:rPr>
                <w:rFonts w:cs="宋体"/>
              </w:rPr>
            </w:pPr>
            <w:r>
              <w:rPr>
                <w:rStyle w:val="NormalCharacter"/>
                <w:rFonts w:ascii="宋体" w:hAnsi="宋体" w:cs="宋体" w:hint="eastAsia"/>
                <w:szCs w:val="21"/>
              </w:rPr>
              <w:t>在项目正常投入使用之日开始每季度初支付上一季度污水处理费。经采购人确认上一季度供应商的服务无误后，供应商应向采购人开具有效的发票和请款函，</w:t>
            </w:r>
          </w:p>
        </w:tc>
      </w:tr>
      <w:tr w:rsidR="009229AD">
        <w:tc>
          <w:tcPr>
            <w:tcW w:w="1951" w:type="dxa"/>
            <w:gridSpan w:val="4"/>
            <w:tcBorders>
              <w:top w:val="single" w:sz="4" w:space="0" w:color="000000"/>
              <w:left w:val="single" w:sz="4" w:space="0" w:color="000000"/>
              <w:bottom w:val="single" w:sz="4" w:space="0" w:color="000000"/>
              <w:right w:val="single" w:sz="4" w:space="0" w:color="000000"/>
            </w:tcBorders>
            <w:vAlign w:val="center"/>
          </w:tcPr>
          <w:p w:rsidR="009229AD" w:rsidRDefault="00972388">
            <w:pPr>
              <w:spacing w:line="288" w:lineRule="auto"/>
              <w:jc w:val="center"/>
              <w:rPr>
                <w:rFonts w:cs="宋体"/>
              </w:rPr>
            </w:pPr>
            <w:r>
              <w:rPr>
                <w:rFonts w:cs="宋体" w:hint="eastAsia"/>
              </w:rPr>
              <w:t>报价要求</w:t>
            </w:r>
          </w:p>
        </w:tc>
        <w:tc>
          <w:tcPr>
            <w:tcW w:w="7359" w:type="dxa"/>
            <w:tcBorders>
              <w:top w:val="single" w:sz="4" w:space="0" w:color="000000"/>
              <w:left w:val="single" w:sz="4" w:space="0" w:color="000000"/>
              <w:bottom w:val="single" w:sz="4" w:space="0" w:color="000000"/>
              <w:right w:val="single" w:sz="4" w:space="0" w:color="000000"/>
            </w:tcBorders>
            <w:vAlign w:val="center"/>
          </w:tcPr>
          <w:p w:rsidR="009229AD" w:rsidRPr="00387C3E" w:rsidRDefault="00972388" w:rsidP="00387C3E">
            <w:pPr>
              <w:rPr>
                <w:rFonts w:ascii="宋体" w:hAnsi="宋体" w:cs="宋体"/>
                <w:szCs w:val="21"/>
              </w:rPr>
            </w:pPr>
            <w:r>
              <w:rPr>
                <w:rStyle w:val="NormalCharacter"/>
                <w:rFonts w:ascii="宋体" w:hAnsi="宋体" w:cs="宋体" w:hint="eastAsia"/>
                <w:szCs w:val="21"/>
              </w:rPr>
              <w:t>污水处理费按年包干价，包含污水处理的人工费、药剂费、水质监测费及监测报告费、设备维保费、</w:t>
            </w:r>
            <w:r>
              <w:rPr>
                <w:rFonts w:ascii="等线" w:hAnsi="等线" w:hint="eastAsia"/>
                <w:szCs w:val="21"/>
              </w:rPr>
              <w:t>技术服务费、防护用品费</w:t>
            </w:r>
            <w:r>
              <w:rPr>
                <w:rStyle w:val="NormalCharacter"/>
                <w:rFonts w:ascii="宋体" w:hAnsi="宋体" w:cs="宋体" w:hint="eastAsia"/>
                <w:szCs w:val="21"/>
              </w:rPr>
              <w:t>、日常检测费、管理费、税金等。</w:t>
            </w:r>
            <w:bookmarkStart w:id="3" w:name="_GoBack"/>
            <w:bookmarkEnd w:id="3"/>
          </w:p>
        </w:tc>
      </w:tr>
      <w:tr w:rsidR="009229AD">
        <w:tc>
          <w:tcPr>
            <w:tcW w:w="1951" w:type="dxa"/>
            <w:gridSpan w:val="4"/>
            <w:tcBorders>
              <w:top w:val="single" w:sz="4" w:space="0" w:color="000000"/>
              <w:left w:val="single" w:sz="4" w:space="0" w:color="000000"/>
              <w:bottom w:val="single" w:sz="4" w:space="0" w:color="000000"/>
              <w:right w:val="single" w:sz="4" w:space="0" w:color="000000"/>
            </w:tcBorders>
            <w:vAlign w:val="center"/>
          </w:tcPr>
          <w:p w:rsidR="009229AD" w:rsidRDefault="00972388">
            <w:pPr>
              <w:jc w:val="center"/>
              <w:rPr>
                <w:rFonts w:hAnsi="宋体" w:cs="宋体"/>
              </w:rPr>
            </w:pPr>
            <w:r>
              <w:rPr>
                <w:rFonts w:cs="宋体" w:hint="eastAsia"/>
              </w:rPr>
              <w:t>其他要求</w:t>
            </w:r>
          </w:p>
        </w:tc>
        <w:tc>
          <w:tcPr>
            <w:tcW w:w="7359" w:type="dxa"/>
            <w:tcBorders>
              <w:top w:val="single" w:sz="4" w:space="0" w:color="000000"/>
              <w:left w:val="single" w:sz="4" w:space="0" w:color="000000"/>
              <w:bottom w:val="single" w:sz="4" w:space="0" w:color="000000"/>
              <w:right w:val="single" w:sz="4" w:space="0" w:color="000000"/>
            </w:tcBorders>
            <w:vAlign w:val="center"/>
          </w:tcPr>
          <w:p w:rsidR="009229AD" w:rsidRDefault="00972388">
            <w:pPr>
              <w:pStyle w:val="a1"/>
            </w:pPr>
            <w:r>
              <w:t>1</w:t>
            </w:r>
            <w:r>
              <w:rPr>
                <w:rFonts w:hint="eastAsia"/>
              </w:rPr>
              <w:t>.</w:t>
            </w:r>
            <w:r>
              <w:rPr>
                <w:rFonts w:hint="eastAsia"/>
              </w:rPr>
              <w:t>签订合同后供应商必须在</w:t>
            </w:r>
            <w:r>
              <w:rPr>
                <w:rFonts w:hint="eastAsia"/>
              </w:rPr>
              <w:t>1</w:t>
            </w:r>
            <w:r>
              <w:rPr>
                <w:rFonts w:hint="eastAsia"/>
              </w:rPr>
              <w:t>5</w:t>
            </w:r>
            <w:r>
              <w:rPr>
                <w:rFonts w:hint="eastAsia"/>
              </w:rPr>
              <w:t>日内与采购人完成污水处理设备的交接，并开始正式负责相关工作。</w:t>
            </w:r>
          </w:p>
          <w:p w:rsidR="009229AD" w:rsidRDefault="00972388">
            <w:pPr>
              <w:pStyle w:val="a1"/>
              <w:rPr>
                <w:rStyle w:val="NormalCharacter"/>
                <w:rFonts w:ascii="宋体" w:hAnsi="宋体" w:cs="宋体"/>
                <w:szCs w:val="21"/>
              </w:rPr>
            </w:pPr>
            <w:r>
              <w:rPr>
                <w:rStyle w:val="NormalCharacter"/>
                <w:rFonts w:ascii="宋体" w:hAnsi="宋体" w:cs="宋体" w:hint="eastAsia"/>
                <w:szCs w:val="21"/>
              </w:rPr>
              <w:t>供应商提供服务不能满足要求的服务，每天按合同总金额的</w:t>
            </w:r>
            <w:r>
              <w:rPr>
                <w:rStyle w:val="NormalCharacter"/>
                <w:rFonts w:ascii="宋体" w:hAnsi="宋体" w:cs="宋体" w:hint="eastAsia"/>
                <w:szCs w:val="21"/>
              </w:rPr>
              <w:t>1</w:t>
            </w:r>
            <w:r>
              <w:rPr>
                <w:rStyle w:val="NormalCharacter"/>
                <w:rFonts w:ascii="宋体" w:hAnsi="宋体" w:cs="宋体" w:hint="eastAsia"/>
                <w:szCs w:val="21"/>
              </w:rPr>
              <w:t>‰支付违约金；无正当理由延期提供服务，每天按合同总金额的</w:t>
            </w:r>
            <w:r>
              <w:rPr>
                <w:rStyle w:val="NormalCharacter"/>
                <w:rFonts w:ascii="宋体" w:hAnsi="宋体" w:cs="宋体" w:hint="eastAsia"/>
                <w:szCs w:val="21"/>
              </w:rPr>
              <w:t>1</w:t>
            </w:r>
            <w:r>
              <w:rPr>
                <w:rStyle w:val="NormalCharacter"/>
                <w:rFonts w:ascii="宋体" w:hAnsi="宋体" w:cs="宋体" w:hint="eastAsia"/>
                <w:szCs w:val="21"/>
              </w:rPr>
              <w:t>‰支付违约金。</w:t>
            </w:r>
          </w:p>
          <w:p w:rsidR="009229AD" w:rsidRDefault="00972388">
            <w:pPr>
              <w:pStyle w:val="a1"/>
              <w:rPr>
                <w:rStyle w:val="NormalCharacter"/>
                <w:rFonts w:ascii="宋体" w:hAnsi="宋体" w:cs="宋体"/>
                <w:szCs w:val="21"/>
              </w:rPr>
            </w:pPr>
            <w:r>
              <w:rPr>
                <w:rStyle w:val="NormalCharacter"/>
                <w:rFonts w:ascii="宋体" w:hAnsi="宋体" w:cs="宋体"/>
                <w:szCs w:val="21"/>
              </w:rPr>
              <w:t>3</w:t>
            </w:r>
            <w:r>
              <w:rPr>
                <w:rStyle w:val="NormalCharacter"/>
                <w:rFonts w:ascii="宋体" w:hAnsi="宋体" w:cs="宋体" w:hint="eastAsia"/>
                <w:szCs w:val="21"/>
              </w:rPr>
              <w:t>.</w:t>
            </w:r>
            <w:r>
              <w:rPr>
                <w:rStyle w:val="NormalCharacter"/>
                <w:rFonts w:ascii="宋体" w:hAnsi="宋体" w:cs="宋体" w:hint="eastAsia"/>
                <w:szCs w:val="21"/>
              </w:rPr>
              <w:t>在合同有效期内，任何一方因不可抗力事件导致不能履行合同，应立即通知对方，并提供有资质的第三方机构出具的证明或卫生系统相关证明文件；</w:t>
            </w:r>
            <w:r>
              <w:rPr>
                <w:rStyle w:val="NormalCharacter"/>
                <w:rFonts w:ascii="宋体" w:hAnsi="宋体" w:cs="宋体" w:hint="eastAsia"/>
                <w:szCs w:val="21"/>
              </w:rPr>
              <w:t>10</w:t>
            </w:r>
            <w:r>
              <w:rPr>
                <w:rStyle w:val="NormalCharacter"/>
                <w:rFonts w:ascii="宋体" w:hAnsi="宋体" w:cs="宋体" w:hint="eastAsia"/>
                <w:szCs w:val="21"/>
              </w:rPr>
              <w:t>日内不能提供的，双方有权解除合同，</w:t>
            </w:r>
            <w:r>
              <w:rPr>
                <w:rFonts w:hint="eastAsia"/>
              </w:rPr>
              <w:t>所造成的损失由不能履</w:t>
            </w:r>
            <w:r>
              <w:rPr>
                <w:rFonts w:hint="eastAsia"/>
              </w:rPr>
              <w:t>行方承担。</w:t>
            </w:r>
          </w:p>
          <w:p w:rsidR="009229AD" w:rsidRDefault="00972388">
            <w:pPr>
              <w:pStyle w:val="a1"/>
              <w:rPr>
                <w:rStyle w:val="NormalCharacter"/>
                <w:rFonts w:ascii="宋体" w:hAnsi="宋体" w:cs="宋体"/>
                <w:szCs w:val="21"/>
              </w:rPr>
            </w:pPr>
            <w:r>
              <w:rPr>
                <w:rStyle w:val="NormalCharacter"/>
                <w:rFonts w:ascii="宋体" w:hAnsi="宋体" w:cs="宋体"/>
                <w:szCs w:val="21"/>
              </w:rPr>
              <w:t>4</w:t>
            </w:r>
            <w:r>
              <w:rPr>
                <w:rStyle w:val="NormalCharacter"/>
                <w:rFonts w:ascii="宋体" w:hAnsi="宋体" w:cs="宋体" w:hint="eastAsia"/>
                <w:szCs w:val="21"/>
              </w:rPr>
              <w:t>.</w:t>
            </w:r>
            <w:r>
              <w:rPr>
                <w:rStyle w:val="NormalCharacter"/>
                <w:rFonts w:ascii="宋体" w:hAnsi="宋体" w:cs="宋体" w:hint="eastAsia"/>
                <w:szCs w:val="21"/>
              </w:rPr>
              <w:t>不可抗力事件发生后，双方应通过友好协商，确定是否继续履行合同以及弥补损失的办法；</w:t>
            </w:r>
          </w:p>
          <w:p w:rsidR="009229AD" w:rsidRDefault="00972388">
            <w:pPr>
              <w:pStyle w:val="a1"/>
            </w:pPr>
            <w:r>
              <w:rPr>
                <w:rStyle w:val="NormalCharacter"/>
                <w:rFonts w:ascii="宋体" w:hAnsi="宋体" w:cs="宋体"/>
                <w:szCs w:val="21"/>
              </w:rPr>
              <w:t>5</w:t>
            </w:r>
            <w:r>
              <w:rPr>
                <w:rStyle w:val="NormalCharacter"/>
                <w:rFonts w:ascii="宋体" w:hAnsi="宋体" w:cs="宋体" w:hint="eastAsia"/>
                <w:szCs w:val="21"/>
              </w:rPr>
              <w:t>.</w:t>
            </w:r>
            <w:r>
              <w:rPr>
                <w:rStyle w:val="NormalCharacter"/>
                <w:rFonts w:ascii="宋体" w:hAnsi="宋体" w:cs="宋体" w:hint="eastAsia"/>
                <w:szCs w:val="21"/>
              </w:rPr>
              <w:t>如因政府政策原因，造成合同需要进行变更，双方通过协商解决。</w:t>
            </w:r>
          </w:p>
        </w:tc>
      </w:tr>
      <w:bookmarkEnd w:id="2"/>
    </w:tbl>
    <w:p w:rsidR="009229AD" w:rsidRDefault="009229AD">
      <w:pPr>
        <w:pStyle w:val="a6"/>
        <w:spacing w:line="360" w:lineRule="auto"/>
        <w:rPr>
          <w:rFonts w:hint="eastAsia"/>
          <w:szCs w:val="21"/>
        </w:rPr>
      </w:pPr>
    </w:p>
    <w:sectPr w:rsidR="009229AD">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388" w:rsidRDefault="00972388">
      <w:r>
        <w:separator/>
      </w:r>
    </w:p>
  </w:endnote>
  <w:endnote w:type="continuationSeparator" w:id="0">
    <w:p w:rsidR="00972388" w:rsidRDefault="0097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9AD" w:rsidRDefault="00972388">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229AD" w:rsidRDefault="00972388">
                          <w:pPr>
                            <w:pStyle w:val="a9"/>
                          </w:pPr>
                          <w:r>
                            <w:fldChar w:fldCharType="begin"/>
                          </w:r>
                          <w:r>
                            <w:instrText xml:space="preserve"> PAGE  \* MERGEFORMAT </w:instrText>
                          </w:r>
                          <w:r>
                            <w:fldChar w:fldCharType="separate"/>
                          </w:r>
                          <w:r w:rsidR="00387C3E">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9229AD" w:rsidRDefault="00972388">
                    <w:pPr>
                      <w:pStyle w:val="a9"/>
                    </w:pPr>
                    <w:r>
                      <w:fldChar w:fldCharType="begin"/>
                    </w:r>
                    <w:r>
                      <w:instrText xml:space="preserve"> PAGE  \* MERGEFORMAT </w:instrText>
                    </w:r>
                    <w:r>
                      <w:fldChar w:fldCharType="separate"/>
                    </w:r>
                    <w:r w:rsidR="00387C3E">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388" w:rsidRDefault="00972388">
      <w:r>
        <w:separator/>
      </w:r>
    </w:p>
  </w:footnote>
  <w:footnote w:type="continuationSeparator" w:id="0">
    <w:p w:rsidR="00972388" w:rsidRDefault="00972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B114"/>
    <w:multiLevelType w:val="singleLevel"/>
    <w:tmpl w:val="0CA5B114"/>
    <w:lvl w:ilvl="0">
      <w:start w:val="1"/>
      <w:numFmt w:val="decimal"/>
      <w:pStyle w:val="a"/>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kMWU2MDZjMDg0MDZmMzZkMGM5MTQ3MWE0NmQxYjgifQ=="/>
  </w:docVars>
  <w:rsids>
    <w:rsidRoot w:val="7CFE4FCB"/>
    <w:rsid w:val="00387C3E"/>
    <w:rsid w:val="009229AD"/>
    <w:rsid w:val="00972388"/>
    <w:rsid w:val="03922DA0"/>
    <w:rsid w:val="0531503E"/>
    <w:rsid w:val="0869623A"/>
    <w:rsid w:val="091F2D9D"/>
    <w:rsid w:val="09D873B4"/>
    <w:rsid w:val="0A222B45"/>
    <w:rsid w:val="0CF63C63"/>
    <w:rsid w:val="0D366907"/>
    <w:rsid w:val="0F6950DE"/>
    <w:rsid w:val="0F6C4862"/>
    <w:rsid w:val="100D557C"/>
    <w:rsid w:val="10CB02D4"/>
    <w:rsid w:val="11E16F81"/>
    <w:rsid w:val="135D4BEE"/>
    <w:rsid w:val="13DC59B8"/>
    <w:rsid w:val="15A12E8B"/>
    <w:rsid w:val="1666025D"/>
    <w:rsid w:val="17A54DB5"/>
    <w:rsid w:val="180A090B"/>
    <w:rsid w:val="18A25315"/>
    <w:rsid w:val="18B10F32"/>
    <w:rsid w:val="1A834206"/>
    <w:rsid w:val="1A9D4946"/>
    <w:rsid w:val="1BC12EB3"/>
    <w:rsid w:val="1D0F6E4E"/>
    <w:rsid w:val="1E5135A1"/>
    <w:rsid w:val="20292F1E"/>
    <w:rsid w:val="20947775"/>
    <w:rsid w:val="227710FC"/>
    <w:rsid w:val="22C7044A"/>
    <w:rsid w:val="22E03E37"/>
    <w:rsid w:val="236D1035"/>
    <w:rsid w:val="23CA2515"/>
    <w:rsid w:val="24DF5BF8"/>
    <w:rsid w:val="272F6449"/>
    <w:rsid w:val="29AA7E52"/>
    <w:rsid w:val="29E259F5"/>
    <w:rsid w:val="2AA96E04"/>
    <w:rsid w:val="2B011EAB"/>
    <w:rsid w:val="2CB133BF"/>
    <w:rsid w:val="301A3BDE"/>
    <w:rsid w:val="306D38BC"/>
    <w:rsid w:val="30823A8E"/>
    <w:rsid w:val="30EB1633"/>
    <w:rsid w:val="32121877"/>
    <w:rsid w:val="3371594E"/>
    <w:rsid w:val="36280C33"/>
    <w:rsid w:val="36F777E1"/>
    <w:rsid w:val="38A85856"/>
    <w:rsid w:val="3B133C60"/>
    <w:rsid w:val="3BA80652"/>
    <w:rsid w:val="3BD038FF"/>
    <w:rsid w:val="3CE120F1"/>
    <w:rsid w:val="3E0909BD"/>
    <w:rsid w:val="3E9311A4"/>
    <w:rsid w:val="3EFA7C7D"/>
    <w:rsid w:val="3F9A6ACF"/>
    <w:rsid w:val="419F398A"/>
    <w:rsid w:val="422F01AA"/>
    <w:rsid w:val="436A153B"/>
    <w:rsid w:val="44562E10"/>
    <w:rsid w:val="44FF5255"/>
    <w:rsid w:val="456D30F4"/>
    <w:rsid w:val="460A54A6"/>
    <w:rsid w:val="46606B3F"/>
    <w:rsid w:val="46D44AB8"/>
    <w:rsid w:val="47FB7F56"/>
    <w:rsid w:val="496F29A9"/>
    <w:rsid w:val="49C64593"/>
    <w:rsid w:val="4A6342FE"/>
    <w:rsid w:val="4B83273C"/>
    <w:rsid w:val="4B8D35BB"/>
    <w:rsid w:val="4D2B4C2A"/>
    <w:rsid w:val="4E340CEB"/>
    <w:rsid w:val="4E405857"/>
    <w:rsid w:val="4F0A5801"/>
    <w:rsid w:val="4F8E401A"/>
    <w:rsid w:val="53AA7457"/>
    <w:rsid w:val="54233BAB"/>
    <w:rsid w:val="55A44E79"/>
    <w:rsid w:val="56807714"/>
    <w:rsid w:val="57407733"/>
    <w:rsid w:val="57433835"/>
    <w:rsid w:val="576F4E44"/>
    <w:rsid w:val="5797119C"/>
    <w:rsid w:val="58663577"/>
    <w:rsid w:val="58935F89"/>
    <w:rsid w:val="58B008E9"/>
    <w:rsid w:val="58B33DCD"/>
    <w:rsid w:val="58CB6E21"/>
    <w:rsid w:val="5C50666A"/>
    <w:rsid w:val="5C9D2E04"/>
    <w:rsid w:val="5CFB3898"/>
    <w:rsid w:val="5D225997"/>
    <w:rsid w:val="5D4712F4"/>
    <w:rsid w:val="5E8D61DC"/>
    <w:rsid w:val="5EB17168"/>
    <w:rsid w:val="5EF91597"/>
    <w:rsid w:val="60F910B5"/>
    <w:rsid w:val="61532759"/>
    <w:rsid w:val="61907509"/>
    <w:rsid w:val="636F4033"/>
    <w:rsid w:val="650B12E7"/>
    <w:rsid w:val="654F0FE3"/>
    <w:rsid w:val="6589499B"/>
    <w:rsid w:val="66536753"/>
    <w:rsid w:val="66C20165"/>
    <w:rsid w:val="677832BD"/>
    <w:rsid w:val="691D7D88"/>
    <w:rsid w:val="6AA54025"/>
    <w:rsid w:val="6BE566A3"/>
    <w:rsid w:val="6C6C3041"/>
    <w:rsid w:val="6CE52928"/>
    <w:rsid w:val="6E76443B"/>
    <w:rsid w:val="6FC74E6E"/>
    <w:rsid w:val="725B3B5D"/>
    <w:rsid w:val="73942E89"/>
    <w:rsid w:val="74957176"/>
    <w:rsid w:val="762F6E99"/>
    <w:rsid w:val="786D54BC"/>
    <w:rsid w:val="78C91659"/>
    <w:rsid w:val="7A2F56B9"/>
    <w:rsid w:val="7A4C606F"/>
    <w:rsid w:val="7A5074BD"/>
    <w:rsid w:val="7A8520C5"/>
    <w:rsid w:val="7A972DF4"/>
    <w:rsid w:val="7B3813B3"/>
    <w:rsid w:val="7B84410A"/>
    <w:rsid w:val="7CFE4FCB"/>
    <w:rsid w:val="7D2A660C"/>
    <w:rsid w:val="7DB86C91"/>
    <w:rsid w:val="7F8F4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F7B16"/>
  <w15:docId w15:val="{9456BA5B-1113-4F8C-8A77-B135E1A7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uiPriority="99" w:unhideWhenUsed="1" w:qFormat="1"/>
    <w:lsdException w:name="footer" w:qFormat="1"/>
    <w:lsdException w:name="caption" w:semiHidden="1" w:unhideWhenUsed="1" w:qFormat="1"/>
    <w:lsdException w:name="List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keepNext/>
      <w:jc w:val="center"/>
      <w:outlineLvl w:val="0"/>
    </w:pPr>
    <w:rPr>
      <w:rFonts w:ascii="宋体" w:hAnsi="宋体"/>
      <w:b/>
      <w:bCs/>
      <w:kern w:val="0"/>
      <w:sz w:val="20"/>
    </w:rPr>
  </w:style>
  <w:style w:type="paragraph" w:styleId="2">
    <w:name w:val="heading 2"/>
    <w:basedOn w:val="a0"/>
    <w:next w:val="a0"/>
    <w:uiPriority w:val="9"/>
    <w:qFormat/>
    <w:pPr>
      <w:keepNext/>
      <w:keepLines/>
      <w:spacing w:before="260" w:after="260" w:line="416" w:lineRule="auto"/>
      <w:outlineLvl w:val="1"/>
    </w:pPr>
    <w:rPr>
      <w:rFonts w:ascii="Cambria" w:hAnsi="Cambria"/>
      <w:b/>
      <w:bCs/>
      <w:sz w:val="32"/>
      <w:szCs w:val="32"/>
    </w:rPr>
  </w:style>
  <w:style w:type="paragraph" w:styleId="4">
    <w:name w:val="heading 4"/>
    <w:basedOn w:val="a0"/>
    <w:next w:val="a0"/>
    <w:unhideWhenUsed/>
    <w:qFormat/>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pPr>
      <w:spacing w:line="380" w:lineRule="exact"/>
    </w:pPr>
    <w:rPr>
      <w:sz w:val="24"/>
    </w:rPr>
  </w:style>
  <w:style w:type="paragraph" w:styleId="a">
    <w:name w:val="List Number"/>
    <w:basedOn w:val="a0"/>
    <w:qFormat/>
    <w:pPr>
      <w:numPr>
        <w:numId w:val="1"/>
      </w:numPr>
    </w:pPr>
  </w:style>
  <w:style w:type="paragraph" w:styleId="a5">
    <w:name w:val="Normal Indent"/>
    <w:basedOn w:val="a0"/>
    <w:qFormat/>
    <w:pPr>
      <w:ind w:firstLine="420"/>
    </w:pPr>
    <w:rPr>
      <w:szCs w:val="20"/>
    </w:rPr>
  </w:style>
  <w:style w:type="paragraph" w:styleId="a6">
    <w:name w:val="annotation text"/>
    <w:basedOn w:val="a0"/>
    <w:qFormat/>
    <w:pPr>
      <w:jc w:val="left"/>
    </w:pPr>
  </w:style>
  <w:style w:type="paragraph" w:styleId="a7">
    <w:name w:val="Body Text Indent"/>
    <w:basedOn w:val="a0"/>
    <w:qFormat/>
    <w:pPr>
      <w:spacing w:line="200" w:lineRule="exact"/>
      <w:ind w:firstLine="301"/>
    </w:pPr>
    <w:rPr>
      <w:rFonts w:ascii="宋体" w:hAnsi="Courier New"/>
      <w:spacing w:val="-4"/>
      <w:sz w:val="18"/>
      <w:szCs w:val="20"/>
    </w:rPr>
  </w:style>
  <w:style w:type="paragraph" w:styleId="a8">
    <w:name w:val="Plain Text"/>
    <w:basedOn w:val="a0"/>
    <w:qFormat/>
    <w:rPr>
      <w:rFonts w:ascii="宋体" w:hAnsi="Courier New"/>
      <w:kern w:val="0"/>
      <w:sz w:val="20"/>
      <w:szCs w:val="21"/>
    </w:rPr>
  </w:style>
  <w:style w:type="paragraph" w:styleId="a9">
    <w:name w:val="footer"/>
    <w:basedOn w:val="a0"/>
    <w:qFormat/>
    <w:pPr>
      <w:tabs>
        <w:tab w:val="center" w:pos="4153"/>
        <w:tab w:val="right" w:pos="8306"/>
      </w:tabs>
      <w:snapToGrid w:val="0"/>
      <w:jc w:val="left"/>
    </w:pPr>
    <w:rPr>
      <w:sz w:val="18"/>
    </w:rPr>
  </w:style>
  <w:style w:type="paragraph" w:styleId="aa">
    <w:name w:val="header"/>
    <w:basedOn w:val="a0"/>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customStyle="1" w:styleId="ab">
    <w:name w:val="表格文字"/>
    <w:basedOn w:val="a0"/>
    <w:next w:val="a1"/>
    <w:qFormat/>
    <w:pPr>
      <w:spacing w:before="25" w:after="25"/>
      <w:jc w:val="left"/>
    </w:pPr>
    <w:rPr>
      <w:bCs/>
      <w:spacing w:val="10"/>
      <w:kern w:val="0"/>
      <w:sz w:val="24"/>
      <w:szCs w:val="20"/>
    </w:rPr>
  </w:style>
  <w:style w:type="paragraph" w:customStyle="1" w:styleId="21">
    <w:name w:val="样式 正文缩进正文（首行缩进两字）首行缩进两字 + 首行缩进:  2 字符1"/>
    <w:basedOn w:val="a5"/>
    <w:qFormat/>
    <w:pPr>
      <w:spacing w:beforeLines="50" w:before="156" w:afterLines="50" w:after="156" w:line="500" w:lineRule="exact"/>
      <w:ind w:firstLine="200"/>
    </w:pPr>
    <w:rPr>
      <w:color w:val="000000"/>
      <w:sz w:val="28"/>
    </w:rPr>
  </w:style>
  <w:style w:type="character" w:customStyle="1" w:styleId="NormalCharacter">
    <w:name w:val="NormalCharacter"/>
    <w:semiHidden/>
    <w:qFormat/>
    <w:rPr>
      <w:sz w:val="21"/>
    </w:rPr>
  </w:style>
  <w:style w:type="paragraph" w:customStyle="1" w:styleId="AnnotationText">
    <w:name w:val="AnnotationText"/>
    <w:basedOn w:val="a0"/>
    <w:qFormat/>
    <w:pPr>
      <w:widowControl/>
      <w:jc w:val="left"/>
      <w:textAlignment w:val="baseline"/>
    </w:pPr>
  </w:style>
  <w:style w:type="paragraph" w:customStyle="1" w:styleId="TableParagraph">
    <w:name w:val="Table Paragraph"/>
    <w:basedOn w:val="a0"/>
    <w:uiPriority w:val="1"/>
    <w:qFormat/>
    <w:pPr>
      <w:jc w:val="left"/>
    </w:pPr>
    <w:rPr>
      <w:rFonts w:ascii="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Weíleǐ</dc:creator>
  <cp:lastModifiedBy>Administrator</cp:lastModifiedBy>
  <cp:revision>2</cp:revision>
  <cp:lastPrinted>2024-03-11T02:21:00Z</cp:lastPrinted>
  <dcterms:created xsi:type="dcterms:W3CDTF">2020-12-17T03:18:00Z</dcterms:created>
  <dcterms:modified xsi:type="dcterms:W3CDTF">2025-05-06T07:24:00Z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E9E8B2D7F07C4B21922D5CDC9CB59A19_13</vt:lpwstr>
  </property>
  <property fmtid="{D5CDD505-2E9C-101B-9397-08002B2CF9AE}" pid="4" name="KSOTemplateDocerSaveRecord">
    <vt:lpwstr>eyJoZGlkIjoiYzMyZjUxZDU2YTNmODAwYzk0M2IzZThlNjFlMTgxZWQiLCJ1c2VySWQiOiIyMjc1ODMyNTAifQ==</vt:lpwstr>
  </property>
</Properties>
</file>