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2054" w:rsidRDefault="00BB40BB" w:rsidP="00BB40BB">
      <w:pPr>
        <w:pStyle w:val="a0"/>
        <w:numPr>
          <w:ilvl w:val="0"/>
          <w:numId w:val="7"/>
        </w:numPr>
        <w:spacing w:before="79" w:line="222" w:lineRule="auto"/>
        <w:outlineLvl w:val="2"/>
        <w:rPr>
          <w:rFonts w:ascii="宋体" w:eastAsia="宋体" w:hAnsi="宋体" w:cs="新宋体"/>
          <w:b/>
          <w:bCs/>
          <w:color w:val="000000" w:themeColor="text1"/>
          <w:spacing w:val="-7"/>
          <w:sz w:val="24"/>
        </w:rPr>
      </w:pPr>
      <w:r>
        <w:rPr>
          <w:rFonts w:ascii="宋体" w:eastAsia="宋体" w:hAnsi="宋体" w:cs="新宋体" w:hint="eastAsia"/>
          <w:b/>
          <w:bCs/>
          <w:color w:val="000000" w:themeColor="text1"/>
          <w:spacing w:val="-7"/>
          <w:sz w:val="24"/>
        </w:rPr>
        <w:t>总体</w:t>
      </w:r>
      <w:r w:rsidR="00732054" w:rsidRPr="006E410C">
        <w:rPr>
          <w:rFonts w:ascii="宋体" w:eastAsia="宋体" w:hAnsi="宋体" w:cs="新宋体" w:hint="eastAsia"/>
          <w:b/>
          <w:bCs/>
          <w:color w:val="000000" w:themeColor="text1"/>
          <w:spacing w:val="-7"/>
          <w:sz w:val="24"/>
        </w:rPr>
        <w:t>要求</w:t>
      </w:r>
    </w:p>
    <w:p w:rsidR="00732054" w:rsidRPr="00BB40BB" w:rsidRDefault="00BB40BB" w:rsidP="00BB40BB">
      <w:pPr>
        <w:pStyle w:val="aa"/>
        <w:spacing w:line="360" w:lineRule="auto"/>
        <w:ind w:left="755" w:firstLineChars="200" w:firstLine="420"/>
        <w:rPr>
          <w:rFonts w:hint="eastAsia"/>
          <w:szCs w:val="21"/>
        </w:rPr>
      </w:pPr>
      <w:r w:rsidRPr="00BB40BB">
        <w:rPr>
          <w:rFonts w:ascii="宋体" w:hAnsi="宋体" w:cs="宋体" w:hint="eastAsia"/>
          <w:kern w:val="0"/>
          <w:szCs w:val="21"/>
          <w:lang w:bidi="ar"/>
        </w:rPr>
        <w:t>为响应《国家卫生健康办公厅关于印发临床营养科见识与管理指南（实行通知）》和《三级医院临床营养质量控制标准》的患者入院营养风险筛查要求，提升医院患者营养风险率和扩大营养科室诊疗半径，通过信息化手段及时排查出存在营养风险患者。</w:t>
      </w:r>
      <w:r w:rsidRPr="00BB40BB">
        <w:rPr>
          <w:rFonts w:ascii="宋体" w:hAnsi="宋体" w:cs="宋体" w:hint="eastAsia"/>
          <w:szCs w:val="21"/>
        </w:rPr>
        <w:t>实现营养风险智能筛查，患者入院</w:t>
      </w:r>
      <w:r w:rsidRPr="00BB40BB">
        <w:rPr>
          <w:rFonts w:ascii="宋体" w:hAnsi="宋体" w:cs="宋体" w:hint="eastAsia"/>
          <w:szCs w:val="21"/>
        </w:rPr>
        <w:t>24</w:t>
      </w:r>
      <w:r w:rsidRPr="00BB40BB">
        <w:rPr>
          <w:rFonts w:ascii="宋体" w:hAnsi="宋体" w:cs="宋体" w:hint="eastAsia"/>
          <w:szCs w:val="21"/>
        </w:rPr>
        <w:t>小时自动启动营养风险筛查，从而使营养风险筛查率达到</w:t>
      </w:r>
      <w:r w:rsidRPr="00BB40BB">
        <w:rPr>
          <w:rFonts w:ascii="宋体" w:hAnsi="宋体" w:cs="宋体" w:hint="eastAsia"/>
          <w:szCs w:val="21"/>
        </w:rPr>
        <w:t>100%</w:t>
      </w:r>
      <w:r w:rsidRPr="00BB40BB">
        <w:rPr>
          <w:rFonts w:ascii="宋体" w:hAnsi="宋体" w:cs="宋体" w:hint="eastAsia"/>
          <w:szCs w:val="21"/>
        </w:rPr>
        <w:t>，提升筛查率准确率</w:t>
      </w:r>
      <w:r w:rsidRPr="00BB40BB">
        <w:rPr>
          <w:rFonts w:ascii="宋体" w:hAnsi="宋体" w:cs="宋体" w:hint="eastAsia"/>
          <w:szCs w:val="21"/>
        </w:rPr>
        <w:t>，</w:t>
      </w:r>
      <w:r w:rsidRPr="00BB40BB">
        <w:rPr>
          <w:rFonts w:ascii="宋体" w:hAnsi="宋体" w:cs="宋体" w:hint="eastAsia"/>
          <w:kern w:val="0"/>
          <w:szCs w:val="21"/>
          <w:lang w:bidi="ar"/>
        </w:rPr>
        <w:t>当有风险弹窗提醒后</w:t>
      </w:r>
      <w:r w:rsidRPr="00BB40BB">
        <w:rPr>
          <w:rFonts w:ascii="宋体" w:hAnsi="宋体" w:cs="宋体" w:hint="eastAsia"/>
          <w:kern w:val="0"/>
          <w:szCs w:val="21"/>
          <w:lang w:bidi="ar"/>
        </w:rPr>
        <w:t>,</w:t>
      </w:r>
      <w:r w:rsidRPr="00BB40BB">
        <w:rPr>
          <w:rFonts w:ascii="宋体" w:hAnsi="宋体" w:cs="宋体" w:hint="eastAsia"/>
          <w:kern w:val="0"/>
          <w:szCs w:val="21"/>
          <w:lang w:bidi="ar"/>
        </w:rPr>
        <w:t>更多的临床医生会选择会诊。同时根据患者病情变化</w:t>
      </w:r>
      <w:r w:rsidRPr="00BB40BB">
        <w:rPr>
          <w:rFonts w:ascii="宋体" w:hAnsi="宋体" w:cs="宋体" w:hint="eastAsia"/>
          <w:kern w:val="0"/>
          <w:szCs w:val="21"/>
          <w:lang w:bidi="ar"/>
        </w:rPr>
        <w:t xml:space="preserve"> </w:t>
      </w:r>
      <w:r w:rsidRPr="00BB40BB">
        <w:rPr>
          <w:rFonts w:ascii="宋体" w:hAnsi="宋体" w:cs="宋体" w:hint="eastAsia"/>
          <w:kern w:val="0"/>
          <w:szCs w:val="21"/>
          <w:lang w:bidi="ar"/>
        </w:rPr>
        <w:t>进行再次营养筛查。经筛查确定存在营养风险的，应当及时申请营养评估及营养干预治疗，实现营养风险患者管理，</w:t>
      </w:r>
      <w:r w:rsidRPr="00BB40BB">
        <w:rPr>
          <w:rFonts w:ascii="宋体" w:hAnsi="宋体" w:cs="宋体" w:hint="eastAsia"/>
          <w:kern w:val="0"/>
          <w:szCs w:val="21"/>
          <w:lang w:bidi="ar"/>
        </w:rPr>
        <w:t>助力</w:t>
      </w:r>
      <w:r w:rsidRPr="00BB40BB">
        <w:rPr>
          <w:rFonts w:ascii="宋体" w:hAnsi="宋体" w:cs="宋体" w:hint="eastAsia"/>
          <w:kern w:val="0"/>
          <w:szCs w:val="21"/>
          <w:lang w:bidi="ar"/>
        </w:rPr>
        <w:t>医院临床营养业务管理的标准化、流程化、规范化、协同化，健全临床营养诊疗工作流程闭环。</w:t>
      </w:r>
    </w:p>
    <w:p w:rsidR="00732054" w:rsidRPr="00732054" w:rsidRDefault="00732054" w:rsidP="00732054">
      <w:pPr>
        <w:pStyle w:val="a0"/>
        <w:widowControl/>
        <w:numPr>
          <w:ilvl w:val="0"/>
          <w:numId w:val="6"/>
        </w:numPr>
        <w:kinsoku w:val="0"/>
        <w:autoSpaceDE w:val="0"/>
        <w:autoSpaceDN w:val="0"/>
        <w:adjustRightInd w:val="0"/>
        <w:snapToGrid w:val="0"/>
        <w:spacing w:before="274" w:after="0" w:line="221" w:lineRule="auto"/>
        <w:ind w:left="0"/>
        <w:jc w:val="left"/>
        <w:textAlignment w:val="baseline"/>
        <w:outlineLvl w:val="2"/>
        <w:rPr>
          <w:rFonts w:ascii="宋体" w:eastAsia="宋体" w:hAnsi="宋体" w:cs="新宋体" w:hint="eastAsia"/>
          <w:b/>
          <w:bCs/>
          <w:color w:val="000000" w:themeColor="text1"/>
          <w:spacing w:val="-5"/>
          <w:sz w:val="24"/>
        </w:rPr>
      </w:pPr>
      <w:r w:rsidRPr="006E410C">
        <w:rPr>
          <w:rFonts w:ascii="宋体" w:eastAsia="宋体" w:hAnsi="宋体" w:cs="新宋体" w:hint="eastAsia"/>
          <w:b/>
          <w:bCs/>
          <w:color w:val="000000" w:themeColor="text1"/>
          <w:spacing w:val="-5"/>
          <w:sz w:val="24"/>
        </w:rPr>
        <w:t>系统详细功能要求</w:t>
      </w:r>
    </w:p>
    <w:tbl>
      <w:tblPr>
        <w:tblStyle w:val="af"/>
        <w:tblpPr w:leftFromText="180" w:rightFromText="180" w:vertAnchor="text" w:horzAnchor="page" w:tblpX="1281" w:tblpY="154"/>
        <w:tblOverlap w:val="never"/>
        <w:tblW w:w="5294" w:type="pct"/>
        <w:tblLayout w:type="fixed"/>
        <w:tblLook w:val="04A0" w:firstRow="1" w:lastRow="0" w:firstColumn="1" w:lastColumn="0" w:noHBand="0" w:noVBand="1"/>
      </w:tblPr>
      <w:tblGrid>
        <w:gridCol w:w="705"/>
        <w:gridCol w:w="1931"/>
        <w:gridCol w:w="5017"/>
        <w:gridCol w:w="1131"/>
      </w:tblGrid>
      <w:tr w:rsidR="004716BB" w:rsidTr="004716BB">
        <w:trPr>
          <w:trHeight w:val="796"/>
        </w:trPr>
        <w:tc>
          <w:tcPr>
            <w:tcW w:w="5000" w:type="pct"/>
            <w:gridSpan w:val="4"/>
            <w:shd w:val="clear" w:color="auto" w:fill="FFFFFF" w:themeFill="background1"/>
          </w:tcPr>
          <w:p w:rsidR="004716BB" w:rsidRPr="004716BB" w:rsidRDefault="004716BB" w:rsidP="004716BB">
            <w:pPr>
              <w:spacing w:line="600" w:lineRule="auto"/>
              <w:jc w:val="center"/>
              <w:rPr>
                <w:rFonts w:hint="eastAsia"/>
                <w:b/>
                <w:bCs/>
                <w:sz w:val="28"/>
                <w:szCs w:val="28"/>
              </w:rPr>
            </w:pPr>
            <w:r w:rsidRPr="004716BB">
              <w:rPr>
                <w:rFonts w:hint="eastAsia"/>
                <w:b/>
                <w:bCs/>
                <w:sz w:val="28"/>
                <w:szCs w:val="28"/>
              </w:rPr>
              <w:t>智能筛查患者营养风险</w:t>
            </w:r>
          </w:p>
        </w:tc>
      </w:tr>
      <w:tr w:rsidR="004716BB" w:rsidTr="00361999">
        <w:trPr>
          <w:trHeight w:val="796"/>
        </w:trPr>
        <w:tc>
          <w:tcPr>
            <w:tcW w:w="401" w:type="pct"/>
            <w:shd w:val="clear" w:color="auto" w:fill="FFFFFF" w:themeFill="background1"/>
            <w:vAlign w:val="center"/>
          </w:tcPr>
          <w:p w:rsidR="004716BB" w:rsidRDefault="004716BB" w:rsidP="004716BB">
            <w:pPr>
              <w:jc w:val="center"/>
              <w:rPr>
                <w:b/>
                <w:bCs/>
              </w:rPr>
            </w:pPr>
            <w:r>
              <w:rPr>
                <w:rFonts w:hint="eastAsia"/>
                <w:b/>
                <w:bCs/>
              </w:rPr>
              <w:t>序号</w:t>
            </w:r>
          </w:p>
        </w:tc>
        <w:tc>
          <w:tcPr>
            <w:tcW w:w="1099" w:type="pct"/>
            <w:shd w:val="clear" w:color="auto" w:fill="FFFFFF" w:themeFill="background1"/>
            <w:vAlign w:val="center"/>
          </w:tcPr>
          <w:p w:rsidR="004716BB" w:rsidRDefault="004716BB" w:rsidP="004716BB">
            <w:pPr>
              <w:jc w:val="center"/>
              <w:rPr>
                <w:b/>
                <w:bCs/>
              </w:rPr>
            </w:pPr>
            <w:r>
              <w:rPr>
                <w:rFonts w:hint="eastAsia"/>
                <w:b/>
                <w:bCs/>
              </w:rPr>
              <w:t>相关描述</w:t>
            </w:r>
          </w:p>
        </w:tc>
        <w:tc>
          <w:tcPr>
            <w:tcW w:w="2856" w:type="pct"/>
            <w:shd w:val="clear" w:color="auto" w:fill="FFFFFF" w:themeFill="background1"/>
            <w:vAlign w:val="center"/>
          </w:tcPr>
          <w:p w:rsidR="004716BB" w:rsidRDefault="004716BB" w:rsidP="004716BB">
            <w:pPr>
              <w:jc w:val="center"/>
              <w:rPr>
                <w:b/>
                <w:bCs/>
              </w:rPr>
            </w:pPr>
            <w:r>
              <w:rPr>
                <w:rFonts w:hint="eastAsia"/>
                <w:b/>
                <w:bCs/>
              </w:rPr>
              <w:t>相关描述</w:t>
            </w:r>
          </w:p>
        </w:tc>
        <w:tc>
          <w:tcPr>
            <w:tcW w:w="644" w:type="pct"/>
            <w:shd w:val="clear" w:color="auto" w:fill="FFFFFF" w:themeFill="background1"/>
            <w:vAlign w:val="center"/>
          </w:tcPr>
          <w:p w:rsidR="004716BB" w:rsidRDefault="004716BB" w:rsidP="004716BB">
            <w:pPr>
              <w:jc w:val="center"/>
              <w:rPr>
                <w:b/>
                <w:bCs/>
              </w:rPr>
            </w:pPr>
            <w:r>
              <w:rPr>
                <w:rFonts w:hint="eastAsia"/>
                <w:b/>
                <w:bCs/>
              </w:rPr>
              <w:t>备注</w:t>
            </w:r>
          </w:p>
        </w:tc>
      </w:tr>
      <w:tr w:rsidR="004716BB" w:rsidTr="002B62DC">
        <w:trPr>
          <w:trHeight w:val="1922"/>
        </w:trPr>
        <w:tc>
          <w:tcPr>
            <w:tcW w:w="401" w:type="pct"/>
            <w:vAlign w:val="center"/>
          </w:tcPr>
          <w:p w:rsidR="004716BB" w:rsidRDefault="00732054" w:rsidP="00732054">
            <w:pPr>
              <w:jc w:val="center"/>
            </w:pPr>
            <w:r>
              <w:rPr>
                <w:rFonts w:hint="eastAsia"/>
              </w:rPr>
              <w:t>1</w:t>
            </w:r>
          </w:p>
        </w:tc>
        <w:tc>
          <w:tcPr>
            <w:tcW w:w="1099" w:type="pct"/>
            <w:vAlign w:val="center"/>
          </w:tcPr>
          <w:p w:rsidR="004716BB" w:rsidRPr="00732054" w:rsidRDefault="00732054" w:rsidP="00732054">
            <w:pPr>
              <w:jc w:val="center"/>
              <w:rPr>
                <w:b/>
                <w:bCs/>
                <w:szCs w:val="21"/>
              </w:rPr>
            </w:pPr>
            <w:r>
              <w:rPr>
                <w:rFonts w:ascii="宋体" w:hAnsi="宋体" w:cs="新宋体" w:hint="eastAsia"/>
                <w:color w:val="000000" w:themeColor="text1"/>
                <w:spacing w:val="-3"/>
                <w:sz w:val="24"/>
              </w:rPr>
              <w:t>▲</w:t>
            </w:r>
            <w:r w:rsidR="004716BB" w:rsidRPr="00732054">
              <w:rPr>
                <w:rFonts w:hint="eastAsia"/>
                <w:b/>
                <w:bCs/>
                <w:szCs w:val="21"/>
              </w:rPr>
              <w:t>智能筛查</w:t>
            </w:r>
          </w:p>
        </w:tc>
        <w:tc>
          <w:tcPr>
            <w:tcW w:w="2856" w:type="pct"/>
            <w:vAlign w:val="center"/>
          </w:tcPr>
          <w:p w:rsidR="004716BB" w:rsidRPr="00732054" w:rsidRDefault="004716BB" w:rsidP="004716BB">
            <w:pPr>
              <w:rPr>
                <w:szCs w:val="21"/>
              </w:rPr>
            </w:pPr>
          </w:p>
          <w:p w:rsidR="004716BB" w:rsidRPr="00732054" w:rsidRDefault="004716BB" w:rsidP="004716BB">
            <w:pPr>
              <w:rPr>
                <w:szCs w:val="21"/>
              </w:rPr>
            </w:pPr>
            <w:r w:rsidRPr="00732054">
              <w:rPr>
                <w:rFonts w:hint="eastAsia"/>
                <w:szCs w:val="21"/>
              </w:rPr>
              <w:t>实现患者入院</w:t>
            </w:r>
            <w:r w:rsidRPr="00732054">
              <w:rPr>
                <w:rFonts w:hint="eastAsia"/>
                <w:szCs w:val="21"/>
              </w:rPr>
              <w:t>24</w:t>
            </w:r>
            <w:r w:rsidRPr="00732054">
              <w:rPr>
                <w:rFonts w:hint="eastAsia"/>
                <w:szCs w:val="21"/>
              </w:rPr>
              <w:t>小时执行智能筛查患者营养风险，并全覆盖所有住院患者。智能筛查在</w:t>
            </w:r>
            <w:r w:rsidRPr="00732054">
              <w:rPr>
                <w:rFonts w:hint="eastAsia"/>
                <w:szCs w:val="21"/>
              </w:rPr>
              <w:t>NRS2002</w:t>
            </w:r>
            <w:r w:rsidRPr="00732054">
              <w:rPr>
                <w:rFonts w:hint="eastAsia"/>
                <w:szCs w:val="21"/>
              </w:rPr>
              <w:t>的基础上与医院相关信息系统（</w:t>
            </w:r>
            <w:r w:rsidRPr="00732054">
              <w:rPr>
                <w:rFonts w:hint="eastAsia"/>
                <w:szCs w:val="21"/>
              </w:rPr>
              <w:t>his</w:t>
            </w:r>
            <w:r w:rsidRPr="00732054">
              <w:rPr>
                <w:rFonts w:hint="eastAsia"/>
                <w:szCs w:val="21"/>
              </w:rPr>
              <w:t>系统）对接进行数据抓取后自动计算营养风险筛查得分</w:t>
            </w:r>
            <w:r w:rsidRPr="00732054">
              <w:rPr>
                <w:rFonts w:hint="eastAsia"/>
                <w:szCs w:val="21"/>
              </w:rPr>
              <w:t>,</w:t>
            </w:r>
            <w:r w:rsidRPr="00732054">
              <w:rPr>
                <w:rFonts w:hint="eastAsia"/>
                <w:szCs w:val="21"/>
              </w:rPr>
              <w:t>实现智能筛查患者营养风险。根据患者疾病、营养状态、年龄进行评分其中疾病评分根据患者诊断疾病精准匹配疾病评分库进行评分，疾病评分库来源于国家版疾病评分库。</w:t>
            </w:r>
            <w:r w:rsidRPr="00732054">
              <w:rPr>
                <w:rFonts w:hint="eastAsia"/>
                <w:szCs w:val="21"/>
              </w:rPr>
              <w:br/>
            </w:r>
          </w:p>
        </w:tc>
        <w:tc>
          <w:tcPr>
            <w:tcW w:w="644" w:type="pct"/>
            <w:vAlign w:val="center"/>
          </w:tcPr>
          <w:p w:rsidR="004716BB" w:rsidRDefault="004716BB" w:rsidP="004716BB"/>
        </w:tc>
      </w:tr>
      <w:tr w:rsidR="004716BB" w:rsidTr="00C860D1">
        <w:trPr>
          <w:trHeight w:val="489"/>
        </w:trPr>
        <w:tc>
          <w:tcPr>
            <w:tcW w:w="401" w:type="pct"/>
            <w:vAlign w:val="center"/>
          </w:tcPr>
          <w:p w:rsidR="004716BB" w:rsidRDefault="00732054" w:rsidP="00732054">
            <w:pPr>
              <w:jc w:val="center"/>
            </w:pPr>
            <w:r>
              <w:rPr>
                <w:rFonts w:hint="eastAsia"/>
              </w:rPr>
              <w:t>2</w:t>
            </w:r>
          </w:p>
        </w:tc>
        <w:tc>
          <w:tcPr>
            <w:tcW w:w="1099" w:type="pct"/>
            <w:vAlign w:val="center"/>
          </w:tcPr>
          <w:p w:rsidR="004716BB" w:rsidRPr="00732054" w:rsidRDefault="004716BB" w:rsidP="00732054">
            <w:pPr>
              <w:jc w:val="center"/>
              <w:rPr>
                <w:b/>
                <w:bCs/>
                <w:szCs w:val="21"/>
              </w:rPr>
            </w:pPr>
            <w:r w:rsidRPr="00732054">
              <w:rPr>
                <w:rFonts w:hint="eastAsia"/>
                <w:b/>
                <w:bCs/>
                <w:szCs w:val="21"/>
              </w:rPr>
              <w:t>弹窗提醒</w:t>
            </w:r>
          </w:p>
        </w:tc>
        <w:tc>
          <w:tcPr>
            <w:tcW w:w="2856" w:type="pct"/>
            <w:vAlign w:val="center"/>
          </w:tcPr>
          <w:p w:rsidR="004716BB" w:rsidRPr="00732054" w:rsidRDefault="004716BB" w:rsidP="00732054">
            <w:pPr>
              <w:jc w:val="left"/>
              <w:rPr>
                <w:szCs w:val="21"/>
              </w:rPr>
            </w:pPr>
            <w:r w:rsidRPr="00732054">
              <w:rPr>
                <w:rFonts w:hint="eastAsia"/>
                <w:szCs w:val="21"/>
              </w:rPr>
              <w:t>存在营养风险的患者，支持系统自动向临床医生弹窗提醒</w:t>
            </w:r>
            <w:r w:rsidRPr="00732054">
              <w:rPr>
                <w:rFonts w:hint="eastAsia"/>
                <w:szCs w:val="21"/>
              </w:rPr>
              <w:t>,</w:t>
            </w:r>
            <w:r w:rsidRPr="00732054">
              <w:rPr>
                <w:rFonts w:hint="eastAsia"/>
                <w:szCs w:val="21"/>
              </w:rPr>
              <w:t>并把筛查结果展现出来。临床医生可根据系统提醒，根据实际情况看是否需要邀请会诊</w:t>
            </w:r>
            <w:r w:rsidRPr="00732054">
              <w:rPr>
                <w:rFonts w:hint="eastAsia"/>
                <w:szCs w:val="21"/>
              </w:rPr>
              <w:t>。</w:t>
            </w:r>
          </w:p>
        </w:tc>
        <w:tc>
          <w:tcPr>
            <w:tcW w:w="644" w:type="pct"/>
            <w:vAlign w:val="center"/>
          </w:tcPr>
          <w:p w:rsidR="004716BB" w:rsidRDefault="004716BB" w:rsidP="004716BB"/>
        </w:tc>
      </w:tr>
      <w:tr w:rsidR="004716BB" w:rsidTr="00E77515">
        <w:trPr>
          <w:trHeight w:val="489"/>
        </w:trPr>
        <w:tc>
          <w:tcPr>
            <w:tcW w:w="401" w:type="pct"/>
            <w:vAlign w:val="center"/>
          </w:tcPr>
          <w:p w:rsidR="004716BB" w:rsidRDefault="00732054" w:rsidP="00732054">
            <w:pPr>
              <w:jc w:val="center"/>
            </w:pPr>
            <w:r>
              <w:rPr>
                <w:rFonts w:hint="eastAsia"/>
              </w:rPr>
              <w:t>3</w:t>
            </w:r>
          </w:p>
        </w:tc>
        <w:tc>
          <w:tcPr>
            <w:tcW w:w="1099" w:type="pct"/>
            <w:vAlign w:val="center"/>
          </w:tcPr>
          <w:p w:rsidR="004716BB" w:rsidRPr="00732054" w:rsidRDefault="00732054" w:rsidP="00732054">
            <w:pPr>
              <w:jc w:val="center"/>
              <w:rPr>
                <w:rFonts w:hint="eastAsia"/>
                <w:b/>
                <w:bCs/>
                <w:szCs w:val="21"/>
              </w:rPr>
            </w:pPr>
            <w:r>
              <w:rPr>
                <w:rFonts w:ascii="宋体" w:hAnsi="宋体" w:cs="新宋体" w:hint="eastAsia"/>
                <w:color w:val="000000" w:themeColor="text1"/>
                <w:spacing w:val="-3"/>
                <w:sz w:val="24"/>
              </w:rPr>
              <w:t>▲</w:t>
            </w:r>
            <w:r w:rsidR="004716BB" w:rsidRPr="00732054">
              <w:rPr>
                <w:rFonts w:hint="eastAsia"/>
                <w:b/>
                <w:bCs/>
                <w:szCs w:val="21"/>
              </w:rPr>
              <w:t>营养风险复筛</w:t>
            </w:r>
          </w:p>
        </w:tc>
        <w:tc>
          <w:tcPr>
            <w:tcW w:w="2856" w:type="pct"/>
            <w:vAlign w:val="center"/>
          </w:tcPr>
          <w:p w:rsidR="004716BB" w:rsidRPr="00732054" w:rsidRDefault="004716BB" w:rsidP="004716BB">
            <w:pPr>
              <w:widowControl/>
              <w:jc w:val="left"/>
              <w:rPr>
                <w:szCs w:val="21"/>
              </w:rPr>
            </w:pPr>
            <w:r w:rsidRPr="00732054">
              <w:rPr>
                <w:rFonts w:hint="eastAsia"/>
                <w:szCs w:val="21"/>
              </w:rPr>
              <w:t>1</w:t>
            </w:r>
            <w:r w:rsidRPr="00732054">
              <w:rPr>
                <w:rFonts w:hint="eastAsia"/>
                <w:szCs w:val="21"/>
              </w:rPr>
              <w:t>、支持复筛，</w:t>
            </w:r>
            <w:r w:rsidRPr="00732054">
              <w:rPr>
                <w:rFonts w:hint="eastAsia"/>
                <w:szCs w:val="21"/>
              </w:rPr>
              <w:t>患者住院时间超过</w:t>
            </w:r>
            <w:r w:rsidRPr="00732054">
              <w:rPr>
                <w:rFonts w:hint="eastAsia"/>
                <w:szCs w:val="21"/>
              </w:rPr>
              <w:t>8</w:t>
            </w:r>
            <w:r w:rsidRPr="00732054">
              <w:rPr>
                <w:rFonts w:hint="eastAsia"/>
                <w:szCs w:val="21"/>
              </w:rPr>
              <w:t>天、上一次智能筛查评分</w:t>
            </w:r>
            <w:r w:rsidRPr="00732054">
              <w:rPr>
                <w:rFonts w:hint="eastAsia"/>
                <w:szCs w:val="21"/>
              </w:rPr>
              <w:t>&lt;3</w:t>
            </w:r>
            <w:r w:rsidRPr="00732054">
              <w:rPr>
                <w:rFonts w:hint="eastAsia"/>
                <w:szCs w:val="21"/>
              </w:rPr>
              <w:t>分在</w:t>
            </w:r>
            <w:r w:rsidRPr="00732054">
              <w:rPr>
                <w:rFonts w:hint="eastAsia"/>
                <w:szCs w:val="21"/>
              </w:rPr>
              <w:t>8</w:t>
            </w:r>
            <w:r w:rsidRPr="00732054">
              <w:rPr>
                <w:rFonts w:hint="eastAsia"/>
                <w:szCs w:val="21"/>
              </w:rPr>
              <w:t>天前</w:t>
            </w:r>
            <w:r w:rsidRPr="00732054">
              <w:rPr>
                <w:rFonts w:hint="eastAsia"/>
                <w:szCs w:val="21"/>
              </w:rPr>
              <w:t>的自动启动复筛。</w:t>
            </w:r>
          </w:p>
          <w:p w:rsidR="004716BB" w:rsidRPr="00732054" w:rsidRDefault="004716BB" w:rsidP="004716BB">
            <w:pPr>
              <w:rPr>
                <w:rFonts w:ascii="新宋体" w:eastAsia="新宋体" w:hAnsi="新宋体" w:cs="新宋体"/>
                <w:color w:val="323232"/>
                <w:szCs w:val="21"/>
                <w:lang w:bidi="ar"/>
              </w:rPr>
            </w:pPr>
            <w:r w:rsidRPr="00732054">
              <w:rPr>
                <w:rFonts w:ascii="新宋体" w:eastAsia="新宋体" w:hAnsi="新宋体" w:cs="新宋体" w:hint="eastAsia"/>
                <w:color w:val="323232"/>
                <w:szCs w:val="21"/>
                <w:lang w:bidi="ar"/>
              </w:rPr>
              <w:t>2、当</w:t>
            </w:r>
            <w:r w:rsidRPr="00732054">
              <w:rPr>
                <w:rFonts w:ascii="新宋体" w:eastAsia="新宋体" w:hAnsi="新宋体" w:cs="新宋体" w:hint="eastAsia"/>
                <w:color w:val="323232"/>
                <w:szCs w:val="21"/>
                <w:lang w:bidi="ar"/>
              </w:rPr>
              <w:t>his患者疾病诊断发生调整</w:t>
            </w:r>
            <w:r w:rsidRPr="00732054">
              <w:rPr>
                <w:rFonts w:ascii="新宋体" w:eastAsia="新宋体" w:hAnsi="新宋体" w:cs="新宋体" w:hint="eastAsia"/>
                <w:color w:val="323232"/>
                <w:szCs w:val="21"/>
                <w:lang w:bidi="ar"/>
              </w:rPr>
              <w:t>时可触发</w:t>
            </w:r>
            <w:r w:rsidRPr="00732054">
              <w:rPr>
                <w:rFonts w:ascii="新宋体" w:eastAsia="新宋体" w:hAnsi="新宋体" w:cs="新宋体" w:hint="eastAsia"/>
                <w:color w:val="323232"/>
                <w:szCs w:val="21"/>
                <w:lang w:bidi="ar"/>
              </w:rPr>
              <w:t>复筛</w:t>
            </w:r>
            <w:r w:rsidRPr="00732054">
              <w:rPr>
                <w:rFonts w:ascii="新宋体" w:eastAsia="新宋体" w:hAnsi="新宋体" w:cs="新宋体" w:hint="eastAsia"/>
                <w:color w:val="323232"/>
                <w:szCs w:val="21"/>
                <w:lang w:bidi="ar"/>
              </w:rPr>
              <w:t>。</w:t>
            </w:r>
          </w:p>
          <w:p w:rsidR="004716BB" w:rsidRPr="00732054" w:rsidRDefault="004716BB" w:rsidP="004716BB">
            <w:pPr>
              <w:rPr>
                <w:rFonts w:ascii="新宋体" w:eastAsia="新宋体" w:hAnsi="新宋体" w:cs="新宋体"/>
                <w:color w:val="323232"/>
                <w:szCs w:val="21"/>
                <w:lang w:bidi="ar"/>
              </w:rPr>
            </w:pPr>
            <w:r w:rsidRPr="00732054">
              <w:rPr>
                <w:rFonts w:ascii="新宋体" w:eastAsia="新宋体" w:hAnsi="新宋体" w:cs="新宋体" w:hint="eastAsia"/>
                <w:color w:val="323232"/>
                <w:szCs w:val="21"/>
                <w:lang w:bidi="ar"/>
              </w:rPr>
              <w:t>3、</w:t>
            </w:r>
            <w:r w:rsidRPr="00732054">
              <w:rPr>
                <w:rFonts w:ascii="新宋体" w:eastAsia="新宋体" w:hAnsi="新宋体" w:cs="新宋体" w:hint="eastAsia"/>
                <w:color w:val="323232"/>
                <w:szCs w:val="21"/>
                <w:lang w:bidi="ar"/>
              </w:rPr>
              <w:t>支持对医生填写病程记录时填写筛查弹框进行复筛。</w:t>
            </w:r>
          </w:p>
          <w:p w:rsidR="004716BB" w:rsidRPr="00732054" w:rsidRDefault="004716BB" w:rsidP="004716BB">
            <w:pPr>
              <w:pStyle w:val="a0"/>
              <w:rPr>
                <w:rFonts w:hint="eastAsia"/>
                <w:szCs w:val="21"/>
                <w:lang w:bidi="ar"/>
              </w:rPr>
            </w:pPr>
            <w:r w:rsidRPr="00732054">
              <w:rPr>
                <w:rFonts w:hint="eastAsia"/>
                <w:szCs w:val="21"/>
                <w:lang w:bidi="ar"/>
              </w:rPr>
              <w:t>4</w:t>
            </w:r>
            <w:r w:rsidRPr="00732054">
              <w:rPr>
                <w:rFonts w:hint="eastAsia"/>
                <w:szCs w:val="21"/>
                <w:lang w:bidi="ar"/>
              </w:rPr>
              <w:t>、复筛规则须区分成人和儿童放营养风险筛查。</w:t>
            </w:r>
          </w:p>
        </w:tc>
        <w:tc>
          <w:tcPr>
            <w:tcW w:w="644" w:type="pct"/>
            <w:vAlign w:val="center"/>
          </w:tcPr>
          <w:p w:rsidR="004716BB" w:rsidRDefault="004716BB" w:rsidP="004716BB"/>
        </w:tc>
      </w:tr>
      <w:tr w:rsidR="004716BB" w:rsidTr="002A67E4">
        <w:trPr>
          <w:trHeight w:val="489"/>
        </w:trPr>
        <w:tc>
          <w:tcPr>
            <w:tcW w:w="401" w:type="pct"/>
            <w:vAlign w:val="center"/>
          </w:tcPr>
          <w:p w:rsidR="004716BB" w:rsidRDefault="00732054" w:rsidP="00732054">
            <w:pPr>
              <w:jc w:val="center"/>
            </w:pPr>
            <w:r>
              <w:rPr>
                <w:rFonts w:hint="eastAsia"/>
              </w:rPr>
              <w:t>4</w:t>
            </w:r>
          </w:p>
        </w:tc>
        <w:tc>
          <w:tcPr>
            <w:tcW w:w="1099" w:type="pct"/>
            <w:vAlign w:val="center"/>
          </w:tcPr>
          <w:p w:rsidR="004716BB" w:rsidRPr="00732054" w:rsidRDefault="00732054" w:rsidP="00732054">
            <w:pPr>
              <w:jc w:val="center"/>
              <w:rPr>
                <w:rFonts w:hint="eastAsia"/>
                <w:b/>
                <w:bCs/>
                <w:szCs w:val="21"/>
              </w:rPr>
            </w:pPr>
            <w:r>
              <w:rPr>
                <w:rFonts w:ascii="宋体" w:hAnsi="宋体" w:cs="新宋体" w:hint="eastAsia"/>
                <w:color w:val="000000" w:themeColor="text1"/>
                <w:spacing w:val="-3"/>
                <w:sz w:val="24"/>
              </w:rPr>
              <w:t>▲</w:t>
            </w:r>
            <w:r w:rsidR="004716BB" w:rsidRPr="00732054">
              <w:rPr>
                <w:rFonts w:hint="eastAsia"/>
                <w:b/>
                <w:bCs/>
                <w:szCs w:val="21"/>
              </w:rPr>
              <w:t>使用途径</w:t>
            </w:r>
          </w:p>
        </w:tc>
        <w:tc>
          <w:tcPr>
            <w:tcW w:w="2856" w:type="pct"/>
            <w:vAlign w:val="center"/>
          </w:tcPr>
          <w:p w:rsidR="004716BB" w:rsidRPr="00732054" w:rsidRDefault="004716BB" w:rsidP="004716BB">
            <w:pPr>
              <w:widowControl/>
              <w:jc w:val="left"/>
              <w:rPr>
                <w:rFonts w:hint="eastAsia"/>
                <w:szCs w:val="21"/>
              </w:rPr>
            </w:pPr>
            <w:r w:rsidRPr="00732054">
              <w:rPr>
                <w:rFonts w:hint="eastAsia"/>
                <w:szCs w:val="21"/>
              </w:rPr>
              <w:t>营养风险智能筛查可支持直接嵌入医院信息系统使用（</w:t>
            </w:r>
            <w:r w:rsidRPr="00732054">
              <w:rPr>
                <w:rFonts w:hint="eastAsia"/>
                <w:szCs w:val="21"/>
              </w:rPr>
              <w:t>如</w:t>
            </w:r>
            <w:r w:rsidRPr="00732054">
              <w:rPr>
                <w:rFonts w:hint="eastAsia"/>
                <w:szCs w:val="21"/>
              </w:rPr>
              <w:t>his</w:t>
            </w:r>
            <w:r w:rsidRPr="00732054">
              <w:rPr>
                <w:rFonts w:hint="eastAsia"/>
                <w:szCs w:val="21"/>
              </w:rPr>
              <w:t>系统）；支持在临床营养系统中使用。</w:t>
            </w:r>
          </w:p>
        </w:tc>
        <w:tc>
          <w:tcPr>
            <w:tcW w:w="644" w:type="pct"/>
            <w:vAlign w:val="center"/>
          </w:tcPr>
          <w:p w:rsidR="004716BB" w:rsidRDefault="004716BB" w:rsidP="004716BB"/>
        </w:tc>
      </w:tr>
      <w:tr w:rsidR="004716BB" w:rsidTr="009673C2">
        <w:trPr>
          <w:trHeight w:val="489"/>
        </w:trPr>
        <w:tc>
          <w:tcPr>
            <w:tcW w:w="401" w:type="pct"/>
            <w:vAlign w:val="center"/>
          </w:tcPr>
          <w:p w:rsidR="004716BB" w:rsidRDefault="00732054" w:rsidP="00732054">
            <w:pPr>
              <w:jc w:val="center"/>
            </w:pPr>
            <w:r>
              <w:rPr>
                <w:rFonts w:hint="eastAsia"/>
              </w:rPr>
              <w:lastRenderedPageBreak/>
              <w:t>5</w:t>
            </w:r>
          </w:p>
        </w:tc>
        <w:tc>
          <w:tcPr>
            <w:tcW w:w="1099" w:type="pct"/>
            <w:vAlign w:val="center"/>
          </w:tcPr>
          <w:p w:rsidR="004716BB" w:rsidRPr="00732054" w:rsidRDefault="004716BB" w:rsidP="00732054">
            <w:pPr>
              <w:jc w:val="center"/>
              <w:rPr>
                <w:rFonts w:hint="eastAsia"/>
                <w:b/>
                <w:bCs/>
                <w:szCs w:val="21"/>
              </w:rPr>
            </w:pPr>
            <w:r w:rsidRPr="00732054">
              <w:rPr>
                <w:b/>
                <w:bCs/>
                <w:szCs w:val="21"/>
              </w:rPr>
              <w:t>智能筛查配置</w:t>
            </w:r>
          </w:p>
        </w:tc>
        <w:tc>
          <w:tcPr>
            <w:tcW w:w="2856" w:type="pct"/>
            <w:vAlign w:val="center"/>
          </w:tcPr>
          <w:p w:rsidR="004716BB" w:rsidRPr="00732054" w:rsidRDefault="004716BB" w:rsidP="004716BB">
            <w:pPr>
              <w:pStyle w:val="aa"/>
              <w:numPr>
                <w:ilvl w:val="0"/>
                <w:numId w:val="3"/>
              </w:numPr>
              <w:rPr>
                <w:rFonts w:ascii="新宋体" w:eastAsia="新宋体" w:hAnsi="新宋体" w:cs="新宋体"/>
                <w:color w:val="323232"/>
                <w:szCs w:val="21"/>
                <w:lang w:bidi="ar"/>
              </w:rPr>
            </w:pPr>
            <w:r w:rsidRPr="00732054">
              <w:rPr>
                <w:rFonts w:ascii="新宋体" w:eastAsia="新宋体" w:hAnsi="新宋体" w:cs="新宋体" w:hint="eastAsia"/>
                <w:color w:val="323232"/>
                <w:szCs w:val="21"/>
                <w:lang w:bidi="ar"/>
              </w:rPr>
              <w:t>支持智能筛查首筛后台配置首筛触发节点，自定义配置首筛时间，拉取his中对应入院时间范围内患者，没有做过智能筛查且智能且年龄不为空的患者产生首筛数据。</w:t>
            </w:r>
          </w:p>
          <w:p w:rsidR="004716BB" w:rsidRPr="00732054" w:rsidRDefault="004716BB" w:rsidP="004716BB">
            <w:pPr>
              <w:pStyle w:val="aa"/>
              <w:numPr>
                <w:ilvl w:val="0"/>
                <w:numId w:val="3"/>
              </w:numPr>
              <w:rPr>
                <w:rFonts w:ascii="新宋体" w:eastAsia="新宋体" w:hAnsi="新宋体" w:cs="新宋体"/>
                <w:color w:val="323232"/>
                <w:szCs w:val="21"/>
                <w:lang w:bidi="ar"/>
              </w:rPr>
            </w:pPr>
            <w:r w:rsidRPr="00732054">
              <w:rPr>
                <w:rFonts w:ascii="新宋体" w:eastAsia="新宋体" w:hAnsi="新宋体" w:cs="新宋体" w:hint="eastAsia"/>
                <w:color w:val="323232"/>
                <w:szCs w:val="21"/>
                <w:lang w:bidi="ar"/>
              </w:rPr>
              <w:t>病情筛查形式配置，支持按国家标准的</w:t>
            </w:r>
            <w:r w:rsidRPr="00732054">
              <w:rPr>
                <w:rFonts w:hint="eastAsia"/>
                <w:szCs w:val="21"/>
              </w:rPr>
              <w:t>疾病评分库（</w:t>
            </w:r>
            <w:r w:rsidRPr="00732054">
              <w:rPr>
                <w:rFonts w:ascii="新宋体" w:eastAsia="新宋体" w:hAnsi="新宋体" w:cs="新宋体" w:hint="eastAsia"/>
                <w:color w:val="323232"/>
                <w:szCs w:val="21"/>
                <w:lang w:bidi="ar"/>
              </w:rPr>
              <w:t>ICD</w:t>
            </w:r>
            <w:r w:rsidRPr="00732054">
              <w:rPr>
                <w:rFonts w:hint="eastAsia"/>
                <w:szCs w:val="21"/>
              </w:rPr>
              <w:t>）</w:t>
            </w:r>
            <w:r w:rsidRPr="00732054">
              <w:rPr>
                <w:rFonts w:ascii="新宋体" w:eastAsia="新宋体" w:hAnsi="新宋体" w:cs="新宋体" w:hint="eastAsia"/>
                <w:color w:val="323232"/>
                <w:szCs w:val="21"/>
                <w:lang w:bidi="ar"/>
              </w:rPr>
              <w:t>进行疾病筛查评分，支持按描述性诊断进行疾病筛查评分。</w:t>
            </w:r>
          </w:p>
          <w:p w:rsidR="004716BB" w:rsidRPr="00732054" w:rsidRDefault="004716BB" w:rsidP="004716BB">
            <w:pPr>
              <w:pStyle w:val="aa"/>
              <w:numPr>
                <w:ilvl w:val="0"/>
                <w:numId w:val="3"/>
              </w:numPr>
              <w:rPr>
                <w:rFonts w:ascii="新宋体" w:eastAsia="新宋体" w:hAnsi="新宋体" w:cs="新宋体"/>
                <w:color w:val="323232"/>
                <w:szCs w:val="21"/>
                <w:lang w:bidi="ar"/>
              </w:rPr>
            </w:pPr>
            <w:r w:rsidRPr="00732054">
              <w:rPr>
                <w:rFonts w:ascii="新宋体" w:eastAsia="新宋体" w:hAnsi="新宋体" w:cs="新宋体" w:hint="eastAsia"/>
                <w:color w:val="323232"/>
                <w:szCs w:val="21"/>
                <w:lang w:bidi="ar"/>
              </w:rPr>
              <w:t>风险分值配置，支持配置营养风险的分值。</w:t>
            </w:r>
          </w:p>
          <w:p w:rsidR="004716BB" w:rsidRPr="00732054" w:rsidRDefault="004716BB" w:rsidP="004716BB">
            <w:pPr>
              <w:pStyle w:val="aa"/>
              <w:numPr>
                <w:ilvl w:val="0"/>
                <w:numId w:val="3"/>
              </w:numPr>
              <w:rPr>
                <w:rFonts w:ascii="新宋体" w:eastAsia="新宋体" w:hAnsi="新宋体" w:cs="新宋体" w:hint="eastAsia"/>
                <w:color w:val="323232"/>
                <w:szCs w:val="21"/>
                <w:lang w:bidi="ar"/>
              </w:rPr>
            </w:pPr>
            <w:r w:rsidRPr="00732054">
              <w:rPr>
                <w:rFonts w:ascii="新宋体" w:eastAsia="新宋体" w:hAnsi="新宋体" w:cs="新宋体" w:hint="eastAsia"/>
                <w:color w:val="323232"/>
                <w:szCs w:val="21"/>
                <w:lang w:bidi="ar"/>
              </w:rPr>
              <w:t>支持根据配置重点科室，可将重点科室的患者定义为营养风险患者。</w:t>
            </w:r>
          </w:p>
        </w:tc>
        <w:tc>
          <w:tcPr>
            <w:tcW w:w="644" w:type="pct"/>
            <w:vAlign w:val="center"/>
          </w:tcPr>
          <w:p w:rsidR="004716BB" w:rsidRDefault="004716BB" w:rsidP="004716BB"/>
        </w:tc>
      </w:tr>
      <w:tr w:rsidR="00732054" w:rsidTr="009E25B7">
        <w:trPr>
          <w:trHeight w:val="489"/>
        </w:trPr>
        <w:tc>
          <w:tcPr>
            <w:tcW w:w="401" w:type="pct"/>
            <w:vAlign w:val="center"/>
          </w:tcPr>
          <w:p w:rsidR="00732054" w:rsidRDefault="00732054" w:rsidP="00732054">
            <w:pPr>
              <w:jc w:val="center"/>
            </w:pPr>
            <w:r>
              <w:rPr>
                <w:rFonts w:hint="eastAsia"/>
              </w:rPr>
              <w:t>6</w:t>
            </w:r>
          </w:p>
        </w:tc>
        <w:tc>
          <w:tcPr>
            <w:tcW w:w="1099" w:type="pct"/>
            <w:vAlign w:val="center"/>
          </w:tcPr>
          <w:p w:rsidR="00732054" w:rsidRPr="00732054" w:rsidRDefault="00732054" w:rsidP="00732054">
            <w:pPr>
              <w:jc w:val="center"/>
              <w:rPr>
                <w:b/>
                <w:bCs/>
                <w:szCs w:val="21"/>
              </w:rPr>
            </w:pPr>
            <w:r w:rsidRPr="00732054">
              <w:rPr>
                <w:b/>
                <w:bCs/>
                <w:szCs w:val="21"/>
              </w:rPr>
              <w:t>智能筛查疾病管理</w:t>
            </w:r>
          </w:p>
        </w:tc>
        <w:tc>
          <w:tcPr>
            <w:tcW w:w="2856" w:type="pct"/>
            <w:vAlign w:val="center"/>
          </w:tcPr>
          <w:p w:rsidR="00732054" w:rsidRPr="00732054" w:rsidRDefault="00732054" w:rsidP="00732054">
            <w:pPr>
              <w:rPr>
                <w:rFonts w:ascii="新宋体" w:eastAsia="新宋体" w:hAnsi="新宋体" w:cs="新宋体" w:hint="eastAsia"/>
                <w:color w:val="323232"/>
                <w:szCs w:val="21"/>
                <w:lang w:bidi="ar"/>
              </w:rPr>
            </w:pPr>
            <w:r w:rsidRPr="00732054">
              <w:rPr>
                <w:rFonts w:ascii="新宋体" w:eastAsia="新宋体" w:hAnsi="新宋体" w:cs="新宋体"/>
                <w:color w:val="323232"/>
                <w:szCs w:val="21"/>
                <w:lang w:bidi="ar"/>
              </w:rPr>
              <w:t>智能筛查疾病管理</w:t>
            </w:r>
            <w:r w:rsidRPr="00732054">
              <w:rPr>
                <w:rFonts w:ascii="新宋体" w:eastAsia="新宋体" w:hAnsi="新宋体" w:cs="新宋体" w:hint="eastAsia"/>
                <w:color w:val="323232"/>
                <w:szCs w:val="21"/>
                <w:lang w:bidi="ar"/>
              </w:rPr>
              <w:t>，支持维护疾病评分库，包括疾病类别、疾病内容、国际编码、医院编码、评分、是否启用等；支持增删改查疾病评分库。</w:t>
            </w:r>
          </w:p>
        </w:tc>
        <w:tc>
          <w:tcPr>
            <w:tcW w:w="644" w:type="pct"/>
            <w:vAlign w:val="center"/>
          </w:tcPr>
          <w:p w:rsidR="00732054" w:rsidRDefault="00732054" w:rsidP="00732054"/>
        </w:tc>
      </w:tr>
      <w:tr w:rsidR="00732054" w:rsidTr="003433A9">
        <w:trPr>
          <w:trHeight w:val="489"/>
        </w:trPr>
        <w:tc>
          <w:tcPr>
            <w:tcW w:w="401" w:type="pct"/>
            <w:vAlign w:val="center"/>
          </w:tcPr>
          <w:p w:rsidR="00732054" w:rsidRPr="004716BB" w:rsidRDefault="00732054" w:rsidP="00732054">
            <w:pPr>
              <w:jc w:val="center"/>
            </w:pPr>
            <w:r w:rsidRPr="004716BB">
              <w:rPr>
                <w:rFonts w:hint="eastAsia"/>
              </w:rPr>
              <w:t xml:space="preserve"> </w:t>
            </w:r>
            <w:r>
              <w:rPr>
                <w:rFonts w:hint="eastAsia"/>
              </w:rPr>
              <w:t>7</w:t>
            </w:r>
            <w:r w:rsidRPr="004716BB">
              <w:rPr>
                <w:rFonts w:hint="eastAsia"/>
              </w:rPr>
              <w:t>.1</w:t>
            </w:r>
          </w:p>
        </w:tc>
        <w:tc>
          <w:tcPr>
            <w:tcW w:w="1099" w:type="pct"/>
            <w:vAlign w:val="center"/>
          </w:tcPr>
          <w:p w:rsidR="00732054" w:rsidRPr="00732054" w:rsidRDefault="00732054" w:rsidP="00732054">
            <w:pPr>
              <w:spacing w:afterLines="50" w:after="156" w:line="500" w:lineRule="exact"/>
              <w:jc w:val="center"/>
              <w:rPr>
                <w:rFonts w:ascii="宋体" w:hAnsi="宋体" w:cs="新宋体"/>
                <w:b/>
                <w:bCs/>
                <w:iCs/>
                <w:color w:val="000000" w:themeColor="text1"/>
                <w:szCs w:val="21"/>
              </w:rPr>
            </w:pPr>
            <w:r w:rsidRPr="00732054">
              <w:rPr>
                <w:rFonts w:ascii="宋体" w:hAnsi="宋体" w:cs="新宋体" w:hint="eastAsia"/>
                <w:b/>
                <w:bCs/>
                <w:iCs/>
                <w:color w:val="000000" w:themeColor="text1"/>
                <w:szCs w:val="21"/>
              </w:rPr>
              <w:t>接口要求</w:t>
            </w:r>
          </w:p>
        </w:tc>
        <w:tc>
          <w:tcPr>
            <w:tcW w:w="2856" w:type="pct"/>
            <w:vAlign w:val="center"/>
          </w:tcPr>
          <w:p w:rsidR="00732054" w:rsidRPr="00732054" w:rsidRDefault="00732054" w:rsidP="00732054">
            <w:pPr>
              <w:widowControl/>
              <w:numPr>
                <w:ilvl w:val="0"/>
                <w:numId w:val="4"/>
              </w:numPr>
              <w:kinsoku w:val="0"/>
              <w:autoSpaceDE w:val="0"/>
              <w:autoSpaceDN w:val="0"/>
              <w:adjustRightInd w:val="0"/>
              <w:snapToGrid w:val="0"/>
              <w:jc w:val="left"/>
              <w:textAlignment w:val="baseline"/>
              <w:rPr>
                <w:rFonts w:ascii="宋体" w:hAnsi="宋体" w:cs="新宋体"/>
                <w:color w:val="000000" w:themeColor="text1"/>
                <w:szCs w:val="21"/>
                <w:lang w:bidi="ar"/>
              </w:rPr>
            </w:pPr>
            <w:r w:rsidRPr="00732054">
              <w:rPr>
                <w:rFonts w:ascii="宋体" w:hAnsi="宋体" w:cs="新宋体" w:hint="eastAsia"/>
                <w:color w:val="000000" w:themeColor="text1"/>
                <w:szCs w:val="21"/>
                <w:lang w:bidi="ar"/>
              </w:rPr>
              <w:t xml:space="preserve">实施交付需包含业务应用功能所需的接口开发、联调服务。具体接口开发联调的需求范围以项目交付过程中采购人要求的准。 </w:t>
            </w:r>
          </w:p>
          <w:p w:rsidR="00732054" w:rsidRPr="00732054" w:rsidRDefault="00732054" w:rsidP="00732054">
            <w:pPr>
              <w:pStyle w:val="a0"/>
              <w:rPr>
                <w:rFonts w:hint="eastAsia"/>
                <w:szCs w:val="21"/>
                <w:lang w:bidi="ar"/>
              </w:rPr>
            </w:pPr>
            <w:r w:rsidRPr="00732054">
              <w:rPr>
                <w:rFonts w:hint="eastAsia"/>
                <w:szCs w:val="21"/>
                <w:lang w:bidi="ar"/>
              </w:rPr>
              <w:t>2</w:t>
            </w:r>
            <w:r w:rsidRPr="00732054">
              <w:rPr>
                <w:rFonts w:hint="eastAsia"/>
                <w:szCs w:val="21"/>
                <w:lang w:bidi="ar"/>
              </w:rPr>
              <w:t>、</w:t>
            </w:r>
            <w:r w:rsidRPr="00732054">
              <w:rPr>
                <w:rFonts w:hint="eastAsia"/>
                <w:szCs w:val="21"/>
              </w:rPr>
              <w:t>支持对接医院相关信息系统，如</w:t>
            </w:r>
            <w:r w:rsidRPr="00732054">
              <w:rPr>
                <w:rFonts w:hint="eastAsia"/>
                <w:szCs w:val="21"/>
                <w:lang w:eastAsia="zh-Hans"/>
              </w:rPr>
              <w:t>HIS</w:t>
            </w:r>
            <w:r w:rsidRPr="00732054">
              <w:rPr>
                <w:rFonts w:hint="eastAsia"/>
                <w:szCs w:val="21"/>
              </w:rPr>
              <w:t>（涉及第三方系统接口费用医院自理）</w:t>
            </w:r>
            <w:r>
              <w:rPr>
                <w:rFonts w:hint="eastAsia"/>
                <w:szCs w:val="21"/>
              </w:rPr>
              <w:t>。</w:t>
            </w:r>
          </w:p>
        </w:tc>
        <w:tc>
          <w:tcPr>
            <w:tcW w:w="644" w:type="pct"/>
            <w:vAlign w:val="center"/>
          </w:tcPr>
          <w:p w:rsidR="00732054" w:rsidRDefault="00732054" w:rsidP="00732054"/>
        </w:tc>
      </w:tr>
      <w:tr w:rsidR="00732054" w:rsidTr="00BC0588">
        <w:trPr>
          <w:trHeight w:val="489"/>
        </w:trPr>
        <w:tc>
          <w:tcPr>
            <w:tcW w:w="401" w:type="pct"/>
            <w:vAlign w:val="center"/>
          </w:tcPr>
          <w:p w:rsidR="00732054" w:rsidRPr="004716BB" w:rsidRDefault="00732054" w:rsidP="00732054">
            <w:pPr>
              <w:jc w:val="center"/>
            </w:pPr>
            <w:r>
              <w:rPr>
                <w:rFonts w:hint="eastAsia"/>
              </w:rPr>
              <w:t>7</w:t>
            </w:r>
            <w:r w:rsidRPr="004716BB">
              <w:rPr>
                <w:rFonts w:hint="eastAsia"/>
              </w:rPr>
              <w:t>.2</w:t>
            </w:r>
          </w:p>
        </w:tc>
        <w:tc>
          <w:tcPr>
            <w:tcW w:w="1099" w:type="pct"/>
            <w:vAlign w:val="center"/>
          </w:tcPr>
          <w:p w:rsidR="00732054" w:rsidRPr="00732054" w:rsidRDefault="00732054" w:rsidP="00732054">
            <w:pPr>
              <w:spacing w:afterLines="50" w:after="156" w:line="500" w:lineRule="exact"/>
              <w:jc w:val="center"/>
              <w:rPr>
                <w:rFonts w:ascii="宋体" w:hAnsi="宋体" w:cs="新宋体"/>
                <w:b/>
                <w:bCs/>
                <w:iCs/>
                <w:color w:val="000000" w:themeColor="text1"/>
                <w:szCs w:val="21"/>
              </w:rPr>
            </w:pPr>
            <w:r w:rsidRPr="00732054">
              <w:rPr>
                <w:rFonts w:ascii="宋体" w:hAnsi="宋体" w:cs="新宋体" w:hint="eastAsia"/>
                <w:b/>
                <w:bCs/>
                <w:iCs/>
                <w:color w:val="000000" w:themeColor="text1"/>
                <w:szCs w:val="21"/>
              </w:rPr>
              <w:t>服务接口</w:t>
            </w:r>
          </w:p>
        </w:tc>
        <w:tc>
          <w:tcPr>
            <w:tcW w:w="2856" w:type="pct"/>
            <w:vAlign w:val="center"/>
          </w:tcPr>
          <w:p w:rsidR="00732054" w:rsidRPr="00732054" w:rsidRDefault="00732054" w:rsidP="00732054">
            <w:pPr>
              <w:widowControl/>
              <w:numPr>
                <w:ilvl w:val="0"/>
                <w:numId w:val="5"/>
              </w:numPr>
              <w:kinsoku w:val="0"/>
              <w:autoSpaceDE w:val="0"/>
              <w:autoSpaceDN w:val="0"/>
              <w:adjustRightInd w:val="0"/>
              <w:snapToGrid w:val="0"/>
              <w:jc w:val="left"/>
              <w:textAlignment w:val="baseline"/>
              <w:rPr>
                <w:rFonts w:ascii="宋体" w:hAnsi="宋体" w:cs="新宋体"/>
                <w:color w:val="000000" w:themeColor="text1"/>
                <w:szCs w:val="21"/>
              </w:rPr>
            </w:pPr>
            <w:r w:rsidRPr="00732054">
              <w:rPr>
                <w:rFonts w:ascii="宋体" w:hAnsi="宋体" w:cs="新宋体" w:hint="eastAsia"/>
                <w:color w:val="000000" w:themeColor="text1"/>
                <w:szCs w:val="21"/>
              </w:rPr>
              <w:t>视图接口包括医生、科室、疾病诊断、患者基本信息；</w:t>
            </w:r>
          </w:p>
          <w:p w:rsidR="00732054" w:rsidRPr="00732054" w:rsidRDefault="00732054" w:rsidP="00732054">
            <w:pPr>
              <w:widowControl/>
              <w:numPr>
                <w:ilvl w:val="0"/>
                <w:numId w:val="5"/>
              </w:numPr>
              <w:kinsoku w:val="0"/>
              <w:autoSpaceDE w:val="0"/>
              <w:autoSpaceDN w:val="0"/>
              <w:adjustRightInd w:val="0"/>
              <w:snapToGrid w:val="0"/>
              <w:jc w:val="left"/>
              <w:textAlignment w:val="baseline"/>
              <w:rPr>
                <w:rFonts w:ascii="宋体" w:hAnsi="宋体" w:cs="新宋体"/>
                <w:color w:val="000000" w:themeColor="text1"/>
                <w:szCs w:val="21"/>
              </w:rPr>
            </w:pPr>
            <w:r w:rsidRPr="00732054">
              <w:rPr>
                <w:rFonts w:ascii="宋体" w:hAnsi="宋体" w:cs="新宋体" w:hint="eastAsia"/>
                <w:color w:val="000000" w:themeColor="text1"/>
                <w:szCs w:val="21"/>
              </w:rPr>
              <w:t>his工作站</w:t>
            </w:r>
            <w:r w:rsidRPr="00732054">
              <w:rPr>
                <w:rFonts w:ascii="宋体" w:hAnsi="宋体" w:cs="新宋体" w:hint="eastAsia"/>
                <w:color w:val="000000" w:themeColor="text1"/>
                <w:szCs w:val="21"/>
              </w:rPr>
              <w:t>风险筛查</w:t>
            </w:r>
            <w:r w:rsidRPr="00732054">
              <w:rPr>
                <w:rFonts w:ascii="宋体" w:hAnsi="宋体" w:cs="新宋体" w:hint="eastAsia"/>
                <w:color w:val="000000" w:themeColor="text1"/>
                <w:szCs w:val="21"/>
              </w:rPr>
              <w:t>数据回传，护士工作站营养筛查量表嵌入；</w:t>
            </w:r>
          </w:p>
          <w:p w:rsidR="00732054" w:rsidRPr="00732054" w:rsidRDefault="00732054" w:rsidP="00732054">
            <w:pPr>
              <w:widowControl/>
              <w:numPr>
                <w:ilvl w:val="0"/>
                <w:numId w:val="5"/>
              </w:numPr>
              <w:kinsoku w:val="0"/>
              <w:autoSpaceDE w:val="0"/>
              <w:autoSpaceDN w:val="0"/>
              <w:adjustRightInd w:val="0"/>
              <w:snapToGrid w:val="0"/>
              <w:jc w:val="left"/>
              <w:textAlignment w:val="baseline"/>
              <w:rPr>
                <w:rFonts w:ascii="宋体" w:hAnsi="宋体" w:cs="新宋体"/>
                <w:color w:val="000000" w:themeColor="text1"/>
                <w:szCs w:val="21"/>
              </w:rPr>
            </w:pPr>
            <w:r w:rsidRPr="00732054">
              <w:rPr>
                <w:rFonts w:ascii="宋体" w:hAnsi="宋体" w:cs="新宋体" w:hint="eastAsia"/>
                <w:color w:val="000000" w:themeColor="text1"/>
                <w:szCs w:val="21"/>
              </w:rPr>
              <w:t>住院患者就诊信息包括身高、体重等入参返参；</w:t>
            </w:r>
          </w:p>
          <w:p w:rsidR="00732054" w:rsidRPr="00732054" w:rsidRDefault="00732054" w:rsidP="00732054">
            <w:pPr>
              <w:widowControl/>
              <w:numPr>
                <w:ilvl w:val="0"/>
                <w:numId w:val="5"/>
              </w:numPr>
              <w:kinsoku w:val="0"/>
              <w:autoSpaceDE w:val="0"/>
              <w:autoSpaceDN w:val="0"/>
              <w:adjustRightInd w:val="0"/>
              <w:snapToGrid w:val="0"/>
              <w:jc w:val="left"/>
              <w:textAlignment w:val="baseline"/>
              <w:rPr>
                <w:rFonts w:ascii="宋体" w:hAnsi="宋体" w:cs="新宋体"/>
                <w:color w:val="000000" w:themeColor="text1"/>
                <w:szCs w:val="21"/>
              </w:rPr>
            </w:pPr>
            <w:r w:rsidRPr="00732054">
              <w:rPr>
                <w:rFonts w:ascii="宋体" w:hAnsi="宋体" w:cs="新宋体" w:hint="eastAsia"/>
                <w:color w:val="000000" w:themeColor="text1"/>
                <w:szCs w:val="21"/>
              </w:rPr>
              <w:t>his弹窗患者营养状态评分；</w:t>
            </w:r>
          </w:p>
          <w:p w:rsidR="00732054" w:rsidRPr="00732054" w:rsidRDefault="00732054" w:rsidP="00732054">
            <w:pPr>
              <w:widowControl/>
              <w:kinsoku w:val="0"/>
              <w:autoSpaceDE w:val="0"/>
              <w:autoSpaceDN w:val="0"/>
              <w:adjustRightInd w:val="0"/>
              <w:snapToGrid w:val="0"/>
              <w:ind w:left="105"/>
              <w:jc w:val="left"/>
              <w:textAlignment w:val="baseline"/>
              <w:rPr>
                <w:rFonts w:ascii="宋体" w:hAnsi="宋体" w:cs="新宋体" w:hint="eastAsia"/>
                <w:color w:val="000000" w:themeColor="text1"/>
                <w:szCs w:val="21"/>
              </w:rPr>
            </w:pPr>
          </w:p>
        </w:tc>
        <w:tc>
          <w:tcPr>
            <w:tcW w:w="644" w:type="pct"/>
            <w:vAlign w:val="center"/>
          </w:tcPr>
          <w:p w:rsidR="00732054" w:rsidRDefault="00732054" w:rsidP="00732054"/>
        </w:tc>
      </w:tr>
    </w:tbl>
    <w:p w:rsidR="00732054" w:rsidRDefault="00732054"/>
    <w:p w:rsidR="00732054" w:rsidRPr="00732054" w:rsidRDefault="00732054" w:rsidP="00732054">
      <w:pPr>
        <w:spacing w:before="78" w:line="219" w:lineRule="auto"/>
        <w:ind w:firstLineChars="200" w:firstLine="452"/>
        <w:rPr>
          <w:rFonts w:ascii="宋体" w:eastAsia="宋体" w:hAnsi="宋体" w:cs="新宋体"/>
          <w:color w:val="000000" w:themeColor="text1"/>
          <w:sz w:val="24"/>
        </w:rPr>
      </w:pPr>
      <w:r w:rsidRPr="00732054">
        <w:rPr>
          <w:rFonts w:ascii="宋体" w:eastAsia="宋体" w:hAnsi="宋体" w:cs="新宋体" w:hint="eastAsia"/>
          <w:color w:val="000000" w:themeColor="text1"/>
          <w:spacing w:val="-7"/>
          <w:sz w:val="24"/>
        </w:rPr>
        <w:t>说明：</w:t>
      </w:r>
    </w:p>
    <w:p w:rsidR="00732054" w:rsidRPr="00732054" w:rsidRDefault="00732054" w:rsidP="00732054">
      <w:pPr>
        <w:spacing w:line="360" w:lineRule="auto"/>
        <w:ind w:leftChars="-5" w:left="-10" w:rightChars="1" w:right="2" w:firstLineChars="200" w:firstLine="480"/>
        <w:rPr>
          <w:rFonts w:ascii="宋体" w:eastAsia="宋体" w:hAnsi="宋体" w:cs="新宋体"/>
          <w:color w:val="000000" w:themeColor="text1"/>
          <w:sz w:val="24"/>
        </w:rPr>
      </w:pPr>
      <w:r w:rsidRPr="00732054">
        <w:rPr>
          <w:rFonts w:ascii="宋体" w:eastAsia="宋体" w:hAnsi="宋体" w:cs="新宋体" w:hint="eastAsia"/>
          <w:color w:val="000000" w:themeColor="text1"/>
          <w:sz w:val="24"/>
        </w:rPr>
        <w:t>1、谈判供应商所提供的产品应实质上相当于或优于本需求表中的服务内容及技术需求。</w:t>
      </w:r>
    </w:p>
    <w:p w:rsidR="00732054" w:rsidRPr="00732054" w:rsidRDefault="00732054" w:rsidP="00732054">
      <w:pPr>
        <w:spacing w:line="360" w:lineRule="auto"/>
        <w:ind w:leftChars="-5" w:left="-10" w:rightChars="1" w:right="2" w:firstLineChars="200" w:firstLine="480"/>
        <w:rPr>
          <w:rFonts w:ascii="宋体" w:eastAsia="宋体" w:hAnsi="宋体" w:cs="新宋体"/>
          <w:color w:val="000000" w:themeColor="text1"/>
          <w:sz w:val="24"/>
        </w:rPr>
      </w:pPr>
      <w:r w:rsidRPr="00732054">
        <w:rPr>
          <w:rFonts w:ascii="宋体" w:eastAsia="宋体" w:hAnsi="宋体" w:cs="新宋体" w:hint="eastAsia"/>
          <w:color w:val="000000" w:themeColor="text1"/>
          <w:sz w:val="24"/>
        </w:rPr>
        <w:t>2、本一览表的服务内容及技术需求不明确或有误的，谈判供应商请以详细、正确的服务内容及技术质量指标同时填写谈判报价表和技术质量响应及偏离情况说明表。</w:t>
      </w:r>
    </w:p>
    <w:p w:rsidR="00732054" w:rsidRPr="00732054" w:rsidRDefault="00732054" w:rsidP="00732054">
      <w:pPr>
        <w:spacing w:line="360" w:lineRule="auto"/>
        <w:ind w:leftChars="-5" w:left="-10" w:rightChars="1" w:right="2" w:firstLineChars="200" w:firstLine="468"/>
        <w:rPr>
          <w:rFonts w:ascii="宋体" w:eastAsia="宋体" w:hAnsi="宋体" w:cs="新宋体"/>
          <w:color w:val="000000" w:themeColor="text1"/>
          <w:sz w:val="24"/>
        </w:rPr>
      </w:pPr>
      <w:r w:rsidRPr="00732054">
        <w:rPr>
          <w:rFonts w:ascii="宋体" w:eastAsia="宋体" w:hAnsi="宋体" w:cs="新宋体" w:hint="eastAsia"/>
          <w:color w:val="000000" w:themeColor="text1"/>
          <w:spacing w:val="-3"/>
          <w:sz w:val="24"/>
        </w:rPr>
        <w:t>3、</w:t>
      </w:r>
      <w:bookmarkStart w:id="0" w:name="OLE_LINK1"/>
      <w:r w:rsidRPr="00732054">
        <w:rPr>
          <w:rFonts w:ascii="宋体" w:eastAsia="宋体" w:hAnsi="宋体" w:cs="新宋体" w:hint="eastAsia"/>
          <w:color w:val="000000" w:themeColor="text1"/>
          <w:sz w:val="24"/>
        </w:rPr>
        <w:t>本项目中</w:t>
      </w:r>
      <w:r w:rsidRPr="00732054">
        <w:rPr>
          <w:rFonts w:ascii="宋体" w:eastAsia="宋体" w:hAnsi="宋体" w:cs="新宋体" w:hint="eastAsia"/>
          <w:color w:val="000000" w:themeColor="text1"/>
          <w:spacing w:val="-3"/>
          <w:sz w:val="24"/>
        </w:rPr>
        <w:t>“</w:t>
      </w:r>
      <w:r>
        <w:rPr>
          <w:rFonts w:ascii="宋体" w:eastAsia="宋体" w:hAnsi="宋体" w:cs="新宋体" w:hint="eastAsia"/>
          <w:color w:val="000000" w:themeColor="text1"/>
          <w:spacing w:val="-3"/>
          <w:sz w:val="24"/>
        </w:rPr>
        <w:t>▲</w:t>
      </w:r>
      <w:r w:rsidRPr="00732054">
        <w:rPr>
          <w:rFonts w:ascii="宋体" w:eastAsia="宋体" w:hAnsi="宋体" w:cs="新宋体" w:hint="eastAsia"/>
          <w:color w:val="000000" w:themeColor="text1"/>
          <w:spacing w:val="-86"/>
          <w:sz w:val="24"/>
        </w:rPr>
        <w:t xml:space="preserve"> </w:t>
      </w:r>
      <w:r w:rsidRPr="00732054">
        <w:rPr>
          <w:rFonts w:ascii="宋体" w:eastAsia="宋体" w:hAnsi="宋体" w:cs="新宋体" w:hint="eastAsia"/>
          <w:color w:val="000000" w:themeColor="text1"/>
          <w:spacing w:val="-3"/>
          <w:sz w:val="24"/>
        </w:rPr>
        <w:t>”号</w:t>
      </w:r>
      <w:bookmarkEnd w:id="0"/>
      <w:r w:rsidRPr="00732054">
        <w:rPr>
          <w:rFonts w:ascii="宋体" w:eastAsia="宋体" w:hAnsi="宋体" w:cs="新宋体" w:hint="eastAsia"/>
          <w:color w:val="000000" w:themeColor="text1"/>
          <w:spacing w:val="-3"/>
          <w:sz w:val="24"/>
        </w:rPr>
        <w:t>标注的内容为实质性要求，必须满足或</w:t>
      </w:r>
      <w:r w:rsidRPr="00732054">
        <w:rPr>
          <w:rFonts w:ascii="宋体" w:eastAsia="宋体" w:hAnsi="宋体" w:cs="新宋体" w:hint="eastAsia"/>
          <w:color w:val="000000" w:themeColor="text1"/>
          <w:spacing w:val="-4"/>
          <w:sz w:val="24"/>
        </w:rPr>
        <w:t>优于该要求，否则按照无效响应</w:t>
      </w:r>
      <w:r w:rsidRPr="00732054">
        <w:rPr>
          <w:rFonts w:ascii="宋体" w:eastAsia="宋体" w:hAnsi="宋体" w:cs="新宋体" w:hint="eastAsia"/>
          <w:color w:val="000000" w:themeColor="text1"/>
          <w:spacing w:val="-2"/>
          <w:sz w:val="24"/>
        </w:rPr>
        <w:t>处理。（供应商须就此项内容提供承诺函及相关证明材料，承诺函</w:t>
      </w:r>
      <w:r w:rsidRPr="00732054">
        <w:rPr>
          <w:rFonts w:ascii="宋体" w:eastAsia="宋体" w:hAnsi="宋体" w:cs="新宋体" w:hint="eastAsia"/>
          <w:color w:val="000000" w:themeColor="text1"/>
          <w:spacing w:val="-3"/>
          <w:sz w:val="24"/>
        </w:rPr>
        <w:t>格式自拟）</w:t>
      </w:r>
    </w:p>
    <w:p w:rsidR="00E94DEA" w:rsidRDefault="00E94DEA">
      <w:pPr>
        <w:rPr>
          <w:rFonts w:hint="eastAsia"/>
        </w:rPr>
      </w:pPr>
    </w:p>
    <w:sectPr w:rsidR="00E94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EECF6"/>
    <w:multiLevelType w:val="singleLevel"/>
    <w:tmpl w:val="8FFEECF6"/>
    <w:lvl w:ilvl="0">
      <w:start w:val="1"/>
      <w:numFmt w:val="decimal"/>
      <w:suff w:val="nothing"/>
      <w:lvlText w:val="%1、"/>
      <w:lvlJc w:val="left"/>
    </w:lvl>
  </w:abstractNum>
  <w:abstractNum w:abstractNumId="1" w15:restartNumberingAfterBreak="0">
    <w:nsid w:val="F6FF052F"/>
    <w:multiLevelType w:val="singleLevel"/>
    <w:tmpl w:val="F6FF052F"/>
    <w:lvl w:ilvl="0">
      <w:start w:val="2"/>
      <w:numFmt w:val="chineseCounting"/>
      <w:suff w:val="nothing"/>
      <w:lvlText w:val="（%1）"/>
      <w:lvlJc w:val="left"/>
      <w:pPr>
        <w:ind w:left="-35"/>
      </w:pPr>
      <w:rPr>
        <w:rFonts w:hint="eastAsia"/>
      </w:rPr>
    </w:lvl>
  </w:abstractNum>
  <w:abstractNum w:abstractNumId="2" w15:restartNumberingAfterBreak="0">
    <w:nsid w:val="FDDAE156"/>
    <w:multiLevelType w:val="singleLevel"/>
    <w:tmpl w:val="FDDAE156"/>
    <w:lvl w:ilvl="0">
      <w:start w:val="1"/>
      <w:numFmt w:val="decimal"/>
      <w:suff w:val="nothing"/>
      <w:lvlText w:val="%1、"/>
      <w:lvlJc w:val="left"/>
      <w:pPr>
        <w:ind w:left="105" w:firstLine="0"/>
      </w:pPr>
    </w:lvl>
  </w:abstractNum>
  <w:abstractNum w:abstractNumId="3" w15:restartNumberingAfterBreak="0">
    <w:nsid w:val="31927CE8"/>
    <w:multiLevelType w:val="singleLevel"/>
    <w:tmpl w:val="31927CE8"/>
    <w:lvl w:ilvl="0">
      <w:start w:val="1"/>
      <w:numFmt w:val="decimal"/>
      <w:lvlText w:val="%1."/>
      <w:lvlJc w:val="left"/>
      <w:pPr>
        <w:tabs>
          <w:tab w:val="left" w:pos="312"/>
        </w:tabs>
      </w:pPr>
    </w:lvl>
  </w:abstractNum>
  <w:abstractNum w:abstractNumId="4" w15:restartNumberingAfterBreak="0">
    <w:nsid w:val="350C1381"/>
    <w:multiLevelType w:val="singleLevel"/>
    <w:tmpl w:val="350C1381"/>
    <w:lvl w:ilvl="0">
      <w:start w:val="2"/>
      <w:numFmt w:val="decimal"/>
      <w:lvlText w:val="%1."/>
      <w:lvlJc w:val="left"/>
      <w:pPr>
        <w:tabs>
          <w:tab w:val="left" w:pos="312"/>
        </w:tabs>
      </w:pPr>
    </w:lvl>
  </w:abstractNum>
  <w:abstractNum w:abstractNumId="5" w15:restartNumberingAfterBreak="0">
    <w:nsid w:val="46C71041"/>
    <w:multiLevelType w:val="hybridMultilevel"/>
    <w:tmpl w:val="A4C0D4B0"/>
    <w:lvl w:ilvl="0" w:tplc="BD0856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F233682"/>
    <w:multiLevelType w:val="hybridMultilevel"/>
    <w:tmpl w:val="D00E5A40"/>
    <w:lvl w:ilvl="0" w:tplc="C20486E6">
      <w:start w:val="1"/>
      <w:numFmt w:val="japaneseCounting"/>
      <w:lvlText w:val="（%1）"/>
      <w:lvlJc w:val="left"/>
      <w:pPr>
        <w:ind w:left="755" w:hanging="720"/>
      </w:pPr>
      <w:rPr>
        <w:rFonts w:hint="default"/>
      </w:rPr>
    </w:lvl>
    <w:lvl w:ilvl="1" w:tplc="04090019" w:tentative="1">
      <w:start w:val="1"/>
      <w:numFmt w:val="lowerLetter"/>
      <w:lvlText w:val="%2)"/>
      <w:lvlJc w:val="left"/>
      <w:pPr>
        <w:ind w:left="915" w:hanging="440"/>
      </w:pPr>
    </w:lvl>
    <w:lvl w:ilvl="2" w:tplc="0409001B" w:tentative="1">
      <w:start w:val="1"/>
      <w:numFmt w:val="lowerRoman"/>
      <w:lvlText w:val="%3."/>
      <w:lvlJc w:val="right"/>
      <w:pPr>
        <w:ind w:left="1355" w:hanging="440"/>
      </w:pPr>
    </w:lvl>
    <w:lvl w:ilvl="3" w:tplc="0409000F" w:tentative="1">
      <w:start w:val="1"/>
      <w:numFmt w:val="decimal"/>
      <w:lvlText w:val="%4."/>
      <w:lvlJc w:val="left"/>
      <w:pPr>
        <w:ind w:left="1795" w:hanging="440"/>
      </w:pPr>
    </w:lvl>
    <w:lvl w:ilvl="4" w:tplc="04090019" w:tentative="1">
      <w:start w:val="1"/>
      <w:numFmt w:val="lowerLetter"/>
      <w:lvlText w:val="%5)"/>
      <w:lvlJc w:val="left"/>
      <w:pPr>
        <w:ind w:left="2235" w:hanging="440"/>
      </w:pPr>
    </w:lvl>
    <w:lvl w:ilvl="5" w:tplc="0409001B" w:tentative="1">
      <w:start w:val="1"/>
      <w:numFmt w:val="lowerRoman"/>
      <w:lvlText w:val="%6."/>
      <w:lvlJc w:val="right"/>
      <w:pPr>
        <w:ind w:left="2675" w:hanging="440"/>
      </w:pPr>
    </w:lvl>
    <w:lvl w:ilvl="6" w:tplc="0409000F" w:tentative="1">
      <w:start w:val="1"/>
      <w:numFmt w:val="decimal"/>
      <w:lvlText w:val="%7."/>
      <w:lvlJc w:val="left"/>
      <w:pPr>
        <w:ind w:left="3115" w:hanging="440"/>
      </w:pPr>
    </w:lvl>
    <w:lvl w:ilvl="7" w:tplc="04090019" w:tentative="1">
      <w:start w:val="1"/>
      <w:numFmt w:val="lowerLetter"/>
      <w:lvlText w:val="%8)"/>
      <w:lvlJc w:val="left"/>
      <w:pPr>
        <w:ind w:left="3555" w:hanging="440"/>
      </w:pPr>
    </w:lvl>
    <w:lvl w:ilvl="8" w:tplc="0409001B" w:tentative="1">
      <w:start w:val="1"/>
      <w:numFmt w:val="lowerRoman"/>
      <w:lvlText w:val="%9."/>
      <w:lvlJc w:val="right"/>
      <w:pPr>
        <w:ind w:left="3995" w:hanging="440"/>
      </w:pPr>
    </w:lvl>
  </w:abstractNum>
  <w:num w:numId="1" w16cid:durableId="1154416810">
    <w:abstractNumId w:val="3"/>
  </w:num>
  <w:num w:numId="2" w16cid:durableId="479811199">
    <w:abstractNumId w:val="4"/>
  </w:num>
  <w:num w:numId="3" w16cid:durableId="749690448">
    <w:abstractNumId w:val="5"/>
  </w:num>
  <w:num w:numId="4" w16cid:durableId="1151218625">
    <w:abstractNumId w:val="0"/>
  </w:num>
  <w:num w:numId="5" w16cid:durableId="608467239">
    <w:abstractNumId w:val="2"/>
  </w:num>
  <w:num w:numId="6" w16cid:durableId="1692032609">
    <w:abstractNumId w:val="1"/>
  </w:num>
  <w:num w:numId="7" w16cid:durableId="633558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EB"/>
    <w:rsid w:val="000A40EB"/>
    <w:rsid w:val="004716BB"/>
    <w:rsid w:val="004D731B"/>
    <w:rsid w:val="00732054"/>
    <w:rsid w:val="007C6BF1"/>
    <w:rsid w:val="009E2389"/>
    <w:rsid w:val="009F3E53"/>
    <w:rsid w:val="00A021CB"/>
    <w:rsid w:val="00BB40BB"/>
    <w:rsid w:val="00BD23E2"/>
    <w:rsid w:val="00C7363D"/>
    <w:rsid w:val="00E9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6BD9"/>
  <w15:chartTrackingRefBased/>
  <w15:docId w15:val="{58022F12-57AB-47B4-95A2-B3AFB83A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A40EB"/>
    <w:pPr>
      <w:widowControl w:val="0"/>
      <w:spacing w:after="0" w:line="240" w:lineRule="auto"/>
      <w:jc w:val="both"/>
    </w:pPr>
    <w:rPr>
      <w:sz w:val="21"/>
      <w14:ligatures w14:val="none"/>
    </w:rPr>
  </w:style>
  <w:style w:type="paragraph" w:styleId="1">
    <w:name w:val="heading 1"/>
    <w:basedOn w:val="a"/>
    <w:next w:val="a"/>
    <w:link w:val="10"/>
    <w:uiPriority w:val="9"/>
    <w:qFormat/>
    <w:rsid w:val="000A40E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40E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40E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A40E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A40E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A40E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A40E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0E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A40EB"/>
    <w:pPr>
      <w:keepNext/>
      <w:keepLines/>
      <w:outlineLvl w:val="8"/>
    </w:pPr>
    <w:rPr>
      <w:rFonts w:eastAsiaTheme="majorEastAsia" w:cstheme="majorBidi"/>
      <w:color w:val="595959" w:themeColor="text1" w:themeTint="A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A40EB"/>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0A40EB"/>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0A40EB"/>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0A40EB"/>
    <w:rPr>
      <w:rFonts w:cstheme="majorBidi"/>
      <w:color w:val="0F4761" w:themeColor="accent1" w:themeShade="BF"/>
      <w:sz w:val="28"/>
      <w:szCs w:val="28"/>
    </w:rPr>
  </w:style>
  <w:style w:type="character" w:customStyle="1" w:styleId="50">
    <w:name w:val="标题 5 字符"/>
    <w:basedOn w:val="a1"/>
    <w:link w:val="5"/>
    <w:uiPriority w:val="9"/>
    <w:semiHidden/>
    <w:rsid w:val="000A40EB"/>
    <w:rPr>
      <w:rFonts w:cstheme="majorBidi"/>
      <w:color w:val="0F4761" w:themeColor="accent1" w:themeShade="BF"/>
      <w:sz w:val="24"/>
    </w:rPr>
  </w:style>
  <w:style w:type="character" w:customStyle="1" w:styleId="60">
    <w:name w:val="标题 6 字符"/>
    <w:basedOn w:val="a1"/>
    <w:link w:val="6"/>
    <w:uiPriority w:val="9"/>
    <w:semiHidden/>
    <w:rsid w:val="000A40EB"/>
    <w:rPr>
      <w:rFonts w:cstheme="majorBidi"/>
      <w:b/>
      <w:bCs/>
      <w:color w:val="0F4761" w:themeColor="accent1" w:themeShade="BF"/>
    </w:rPr>
  </w:style>
  <w:style w:type="character" w:customStyle="1" w:styleId="70">
    <w:name w:val="标题 7 字符"/>
    <w:basedOn w:val="a1"/>
    <w:link w:val="7"/>
    <w:uiPriority w:val="9"/>
    <w:semiHidden/>
    <w:rsid w:val="000A40EB"/>
    <w:rPr>
      <w:rFonts w:cstheme="majorBidi"/>
      <w:b/>
      <w:bCs/>
      <w:color w:val="595959" w:themeColor="text1" w:themeTint="A6"/>
    </w:rPr>
  </w:style>
  <w:style w:type="character" w:customStyle="1" w:styleId="80">
    <w:name w:val="标题 8 字符"/>
    <w:basedOn w:val="a1"/>
    <w:link w:val="8"/>
    <w:uiPriority w:val="9"/>
    <w:semiHidden/>
    <w:rsid w:val="000A40EB"/>
    <w:rPr>
      <w:rFonts w:cstheme="majorBidi"/>
      <w:color w:val="595959" w:themeColor="text1" w:themeTint="A6"/>
    </w:rPr>
  </w:style>
  <w:style w:type="character" w:customStyle="1" w:styleId="90">
    <w:name w:val="标题 9 字符"/>
    <w:basedOn w:val="a1"/>
    <w:link w:val="9"/>
    <w:uiPriority w:val="9"/>
    <w:semiHidden/>
    <w:rsid w:val="000A40EB"/>
    <w:rPr>
      <w:rFonts w:eastAsiaTheme="majorEastAsia" w:cstheme="majorBidi"/>
      <w:color w:val="595959" w:themeColor="text1" w:themeTint="A6"/>
    </w:rPr>
  </w:style>
  <w:style w:type="paragraph" w:styleId="a4">
    <w:name w:val="Title"/>
    <w:basedOn w:val="a"/>
    <w:next w:val="a"/>
    <w:link w:val="a5"/>
    <w:uiPriority w:val="10"/>
    <w:qFormat/>
    <w:rsid w:val="000A40EB"/>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A40E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A4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A40E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A40EB"/>
    <w:pPr>
      <w:spacing w:before="160"/>
      <w:jc w:val="center"/>
    </w:pPr>
    <w:rPr>
      <w:i/>
      <w:iCs/>
      <w:color w:val="404040" w:themeColor="text1" w:themeTint="BF"/>
    </w:rPr>
  </w:style>
  <w:style w:type="character" w:customStyle="1" w:styleId="a9">
    <w:name w:val="引用 字符"/>
    <w:basedOn w:val="a1"/>
    <w:link w:val="a8"/>
    <w:uiPriority w:val="29"/>
    <w:rsid w:val="000A40EB"/>
    <w:rPr>
      <w:i/>
      <w:iCs/>
      <w:color w:val="404040" w:themeColor="text1" w:themeTint="BF"/>
    </w:rPr>
  </w:style>
  <w:style w:type="paragraph" w:styleId="aa">
    <w:name w:val="List Paragraph"/>
    <w:basedOn w:val="a"/>
    <w:uiPriority w:val="34"/>
    <w:qFormat/>
    <w:rsid w:val="000A40EB"/>
    <w:pPr>
      <w:ind w:left="720"/>
      <w:contextualSpacing/>
    </w:pPr>
  </w:style>
  <w:style w:type="character" w:styleId="ab">
    <w:name w:val="Intense Emphasis"/>
    <w:basedOn w:val="a1"/>
    <w:uiPriority w:val="21"/>
    <w:qFormat/>
    <w:rsid w:val="000A40EB"/>
    <w:rPr>
      <w:i/>
      <w:iCs/>
      <w:color w:val="0F4761" w:themeColor="accent1" w:themeShade="BF"/>
    </w:rPr>
  </w:style>
  <w:style w:type="paragraph" w:styleId="ac">
    <w:name w:val="Intense Quote"/>
    <w:basedOn w:val="a"/>
    <w:next w:val="a"/>
    <w:link w:val="ad"/>
    <w:uiPriority w:val="30"/>
    <w:qFormat/>
    <w:rsid w:val="000A4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0A40EB"/>
    <w:rPr>
      <w:i/>
      <w:iCs/>
      <w:color w:val="0F4761" w:themeColor="accent1" w:themeShade="BF"/>
    </w:rPr>
  </w:style>
  <w:style w:type="character" w:styleId="ae">
    <w:name w:val="Intense Reference"/>
    <w:basedOn w:val="a1"/>
    <w:uiPriority w:val="32"/>
    <w:qFormat/>
    <w:rsid w:val="000A40EB"/>
    <w:rPr>
      <w:b/>
      <w:bCs/>
      <w:smallCaps/>
      <w:color w:val="0F4761" w:themeColor="accent1" w:themeShade="BF"/>
      <w:spacing w:val="5"/>
    </w:rPr>
  </w:style>
  <w:style w:type="table" w:styleId="af">
    <w:name w:val="Table Grid"/>
    <w:basedOn w:val="a2"/>
    <w:uiPriority w:val="39"/>
    <w:qFormat/>
    <w:rsid w:val="000A40EB"/>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f0"/>
    <w:uiPriority w:val="99"/>
    <w:unhideWhenUsed/>
    <w:rsid w:val="000A40EB"/>
    <w:pPr>
      <w:spacing w:after="120"/>
    </w:pPr>
  </w:style>
  <w:style w:type="character" w:customStyle="1" w:styleId="af0">
    <w:name w:val="正文文本 字符"/>
    <w:basedOn w:val="a1"/>
    <w:link w:val="a0"/>
    <w:uiPriority w:val="99"/>
    <w:rsid w:val="000A40EB"/>
    <w:rPr>
      <w:sz w:val="21"/>
      <w14:ligatures w14:val="none"/>
    </w:rPr>
  </w:style>
  <w:style w:type="paragraph" w:customStyle="1" w:styleId="TableText">
    <w:name w:val="Table Text"/>
    <w:basedOn w:val="a"/>
    <w:semiHidden/>
    <w:qFormat/>
    <w:rsid w:val="00732054"/>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lang w:eastAsia="en-US"/>
    </w:rPr>
  </w:style>
  <w:style w:type="table" w:customStyle="1" w:styleId="TableNormal">
    <w:name w:val="Table Normal"/>
    <w:semiHidden/>
    <w:unhideWhenUsed/>
    <w:qFormat/>
    <w:rsid w:val="00732054"/>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2025-03-28T02:14:00Z</dcterms:created>
  <dcterms:modified xsi:type="dcterms:W3CDTF">2025-03-28T03:41:00Z</dcterms:modified>
</cp:coreProperties>
</file>