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71DDD">
      <w:pPr>
        <w:spacing w:line="360" w:lineRule="auto"/>
        <w:jc w:val="center"/>
        <w:rPr>
          <w:rFonts w:ascii="宋体" w:hAnsi="宋体" w:cs="宋体"/>
          <w:color w:val="auto"/>
          <w:sz w:val="52"/>
          <w:szCs w:val="52"/>
          <w:highlight w:val="none"/>
        </w:rPr>
      </w:pPr>
    </w:p>
    <w:p w14:paraId="0D0C5EC1">
      <w:pPr>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云之龙咨询集团有限公司</w:t>
      </w:r>
    </w:p>
    <w:p w14:paraId="6D57B438">
      <w:pPr>
        <w:spacing w:line="360" w:lineRule="auto"/>
        <w:jc w:val="center"/>
        <w:rPr>
          <w:rFonts w:ascii="宋体" w:hAnsi="宋体" w:cs="宋体"/>
          <w:b/>
          <w:color w:val="auto"/>
          <w:sz w:val="48"/>
          <w:szCs w:val="48"/>
          <w:highlight w:val="none"/>
        </w:rPr>
      </w:pPr>
    </w:p>
    <w:p w14:paraId="1125F528">
      <w:pPr>
        <w:snapToGrid w:val="0"/>
        <w:spacing w:beforeLines="50" w:line="360" w:lineRule="auto"/>
        <w:jc w:val="center"/>
        <w:rPr>
          <w:rFonts w:ascii="宋体" w:hAnsi="宋体" w:cs="宋体"/>
          <w:color w:val="auto"/>
          <w:sz w:val="120"/>
          <w:szCs w:val="120"/>
          <w:highlight w:val="none"/>
        </w:rPr>
      </w:pPr>
      <w:r>
        <w:rPr>
          <w:rFonts w:hint="eastAsia" w:ascii="宋体" w:hAnsi="宋体" w:cs="宋体"/>
          <w:color w:val="auto"/>
          <w:sz w:val="120"/>
          <w:szCs w:val="120"/>
          <w:highlight w:val="none"/>
        </w:rPr>
        <w:t>招 标 文 件</w:t>
      </w:r>
    </w:p>
    <w:p w14:paraId="115437C2">
      <w:pPr>
        <w:snapToGrid w:val="0"/>
        <w:spacing w:line="360" w:lineRule="auto"/>
        <w:rPr>
          <w:rFonts w:ascii="宋体" w:hAnsi="宋体" w:cs="宋体"/>
          <w:color w:val="auto"/>
          <w:sz w:val="30"/>
          <w:szCs w:val="72"/>
          <w:highlight w:val="none"/>
        </w:rPr>
      </w:pPr>
    </w:p>
    <w:p w14:paraId="1556ABFB">
      <w:pPr>
        <w:pStyle w:val="25"/>
        <w:snapToGrid w:val="0"/>
        <w:spacing w:line="360" w:lineRule="auto"/>
        <w:ind w:left="840" w:leftChars="400" w:firstLine="286" w:firstLineChars="100"/>
        <w:rPr>
          <w:rFonts w:hAnsi="宋体" w:cs="宋体"/>
          <w:b/>
          <w:bCs/>
          <w:color w:val="auto"/>
          <w:w w:val="95"/>
          <w:sz w:val="30"/>
          <w:szCs w:val="30"/>
          <w:highlight w:val="none"/>
        </w:rPr>
      </w:pPr>
      <w:r>
        <w:rPr>
          <w:rFonts w:hint="eastAsia" w:hAnsi="宋体" w:cs="宋体"/>
          <w:b/>
          <w:bCs/>
          <w:color w:val="auto"/>
          <w:w w:val="95"/>
          <w:sz w:val="30"/>
          <w:szCs w:val="30"/>
          <w:highlight w:val="none"/>
        </w:rPr>
        <w:t>项目名称：医疗设备采购项目（复合式冷热消融系统1套）</w:t>
      </w:r>
    </w:p>
    <w:p w14:paraId="1261AF1F">
      <w:pPr>
        <w:pStyle w:val="25"/>
        <w:snapToGrid w:val="0"/>
        <w:spacing w:line="360" w:lineRule="auto"/>
        <w:ind w:left="840" w:leftChars="400" w:firstLine="286" w:firstLineChars="100"/>
        <w:rPr>
          <w:rFonts w:hAnsi="宋体" w:cs="宋体"/>
          <w:b/>
          <w:bCs/>
          <w:color w:val="auto"/>
          <w:w w:val="95"/>
          <w:sz w:val="30"/>
          <w:szCs w:val="30"/>
          <w:highlight w:val="none"/>
        </w:rPr>
      </w:pPr>
      <w:r>
        <w:rPr>
          <w:rFonts w:hint="eastAsia" w:hAnsi="宋体" w:cs="宋体"/>
          <w:b/>
          <w:bCs/>
          <w:color w:val="auto"/>
          <w:w w:val="95"/>
          <w:sz w:val="30"/>
          <w:szCs w:val="30"/>
          <w:highlight w:val="none"/>
        </w:rPr>
        <w:t>项目编号：GXZC2024-G1-006273-YZLZ</w:t>
      </w:r>
    </w:p>
    <w:p w14:paraId="723EA3BC">
      <w:pPr>
        <w:pStyle w:val="25"/>
        <w:snapToGrid w:val="0"/>
        <w:spacing w:line="360" w:lineRule="auto"/>
        <w:ind w:firstLine="1145" w:firstLineChars="400"/>
        <w:rPr>
          <w:rFonts w:hAnsi="宋体" w:cs="宋体"/>
          <w:b/>
          <w:bCs/>
          <w:color w:val="auto"/>
          <w:w w:val="95"/>
          <w:sz w:val="30"/>
          <w:szCs w:val="30"/>
          <w:highlight w:val="none"/>
        </w:rPr>
      </w:pPr>
      <w:r>
        <w:rPr>
          <w:rFonts w:hint="eastAsia" w:hAnsi="宋体" w:cs="宋体"/>
          <w:b/>
          <w:bCs/>
          <w:color w:val="auto"/>
          <w:w w:val="95"/>
          <w:sz w:val="30"/>
          <w:szCs w:val="30"/>
          <w:highlight w:val="none"/>
        </w:rPr>
        <w:t>采 购 人：桂林医学院附属医院</w:t>
      </w:r>
    </w:p>
    <w:p w14:paraId="36B0E845">
      <w:pPr>
        <w:pStyle w:val="25"/>
        <w:snapToGrid w:val="0"/>
        <w:spacing w:line="360" w:lineRule="auto"/>
        <w:ind w:firstLine="1145" w:firstLineChars="4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采购代理机构：云之龙咨询集团有限公司</w:t>
      </w:r>
    </w:p>
    <w:p w14:paraId="0B5E6153">
      <w:pPr>
        <w:pStyle w:val="25"/>
        <w:snapToGrid w:val="0"/>
        <w:spacing w:line="360" w:lineRule="auto"/>
        <w:ind w:firstLine="1125" w:firstLineChars="393"/>
        <w:rPr>
          <w:rFonts w:hAnsi="宋体" w:cs="宋体"/>
          <w:b/>
          <w:bCs/>
          <w:color w:val="auto"/>
          <w:w w:val="95"/>
          <w:sz w:val="30"/>
          <w:szCs w:val="30"/>
          <w:highlight w:val="none"/>
        </w:rPr>
      </w:pPr>
    </w:p>
    <w:p w14:paraId="2243648C">
      <w:pPr>
        <w:pStyle w:val="25"/>
        <w:snapToGrid w:val="0"/>
        <w:spacing w:line="360" w:lineRule="auto"/>
        <w:ind w:firstLine="1125" w:firstLineChars="393"/>
        <w:rPr>
          <w:rFonts w:hAnsi="宋体" w:cs="宋体"/>
          <w:b/>
          <w:bCs/>
          <w:color w:val="auto"/>
          <w:w w:val="95"/>
          <w:sz w:val="30"/>
          <w:szCs w:val="30"/>
          <w:highlight w:val="none"/>
        </w:rPr>
      </w:pPr>
    </w:p>
    <w:p w14:paraId="25204B2D">
      <w:pPr>
        <w:pStyle w:val="25"/>
        <w:snapToGrid w:val="0"/>
        <w:spacing w:line="360" w:lineRule="auto"/>
        <w:jc w:val="center"/>
        <w:rPr>
          <w:rFonts w:hAnsi="宋体" w:cs="宋体"/>
          <w:color w:val="auto"/>
          <w:szCs w:val="20"/>
          <w:highlight w:val="none"/>
        </w:r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1</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10</w:t>
      </w:r>
      <w:r>
        <w:rPr>
          <w:rFonts w:hint="eastAsia" w:hAnsi="宋体" w:cs="宋体"/>
          <w:b/>
          <w:bCs/>
          <w:color w:val="auto"/>
          <w:w w:val="95"/>
          <w:sz w:val="30"/>
          <w:szCs w:val="30"/>
          <w:highlight w:val="none"/>
        </w:rPr>
        <w:t>日</w:t>
      </w:r>
    </w:p>
    <w:p w14:paraId="60155859">
      <w:pPr>
        <w:pStyle w:val="18"/>
        <w:ind w:firstLine="803"/>
        <w:jc w:val="center"/>
        <w:rPr>
          <w:rFonts w:ascii="宋体" w:hAnsi="宋体" w:cs="宋体"/>
          <w:bCs/>
          <w:color w:val="auto"/>
          <w:kern w:val="0"/>
          <w:sz w:val="32"/>
          <w:szCs w:val="32"/>
          <w:highlight w:val="none"/>
        </w:rPr>
      </w:pPr>
    </w:p>
    <w:p w14:paraId="13D14AC0">
      <w:pPr>
        <w:pStyle w:val="25"/>
        <w:spacing w:before="120" w:after="120" w:line="360" w:lineRule="auto"/>
        <w:jc w:val="center"/>
        <w:rPr>
          <w:rFonts w:hAnsi="宋体" w:cs="宋体"/>
          <w:b/>
          <w:color w:val="auto"/>
          <w:sz w:val="44"/>
          <w:szCs w:val="44"/>
          <w:highlight w:val="none"/>
        </w:rPr>
      </w:pPr>
    </w:p>
    <w:p w14:paraId="25B2911F">
      <w:pPr>
        <w:pStyle w:val="25"/>
        <w:spacing w:before="120" w:after="120" w:line="360" w:lineRule="auto"/>
        <w:jc w:val="center"/>
        <w:rPr>
          <w:rFonts w:hAnsi="宋体" w:cs="宋体"/>
          <w:b/>
          <w:color w:val="auto"/>
          <w:sz w:val="44"/>
          <w:szCs w:val="44"/>
          <w:highlight w:val="none"/>
        </w:rPr>
      </w:pPr>
    </w:p>
    <w:p w14:paraId="60E92571">
      <w:pPr>
        <w:pStyle w:val="25"/>
        <w:spacing w:before="120" w:after="120" w:line="360" w:lineRule="auto"/>
        <w:jc w:val="center"/>
        <w:rPr>
          <w:rFonts w:hAnsi="宋体" w:cs="宋体"/>
          <w:b/>
          <w:color w:val="auto"/>
          <w:sz w:val="44"/>
          <w:szCs w:val="44"/>
          <w:highlight w:val="none"/>
        </w:rPr>
      </w:pPr>
    </w:p>
    <w:p w14:paraId="2D67B850">
      <w:pPr>
        <w:pStyle w:val="25"/>
        <w:spacing w:before="120" w:after="120" w:line="360" w:lineRule="auto"/>
        <w:jc w:val="center"/>
        <w:rPr>
          <w:rFonts w:hAnsi="宋体" w:cs="宋体"/>
          <w:b/>
          <w:color w:val="auto"/>
          <w:sz w:val="44"/>
          <w:szCs w:val="44"/>
          <w:highlight w:val="none"/>
        </w:rPr>
      </w:pPr>
      <w:r>
        <w:rPr>
          <w:rFonts w:hint="eastAsia" w:hAnsi="宋体" w:cs="宋体"/>
          <w:b/>
          <w:color w:val="auto"/>
          <w:sz w:val="44"/>
          <w:szCs w:val="44"/>
          <w:highlight w:val="none"/>
        </w:rPr>
        <w:t>目  录</w:t>
      </w:r>
    </w:p>
    <w:p w14:paraId="74B5424C">
      <w:pPr>
        <w:pStyle w:val="34"/>
        <w:rPr>
          <w:rFonts w:cs="宋体"/>
          <w:b w:val="0"/>
          <w:bCs w:val="0"/>
          <w:caps w:val="0"/>
          <w:color w:val="auto"/>
          <w:sz w:val="21"/>
          <w:szCs w:val="22"/>
          <w:highlight w:val="none"/>
        </w:rPr>
      </w:pPr>
      <w:r>
        <w:rPr>
          <w:rFonts w:hint="eastAsia" w:cs="宋体"/>
          <w:b w:val="0"/>
          <w:bCs w:val="0"/>
          <w:caps w:val="0"/>
          <w:color w:val="auto"/>
          <w:highlight w:val="none"/>
        </w:rPr>
        <w:fldChar w:fldCharType="begin"/>
      </w:r>
      <w:r>
        <w:rPr>
          <w:rFonts w:hint="eastAsia" w:cs="宋体"/>
          <w:b w:val="0"/>
          <w:bCs w:val="0"/>
          <w:caps w:val="0"/>
          <w:color w:val="auto"/>
          <w:highlight w:val="none"/>
        </w:rPr>
        <w:instrText xml:space="preserve">TOC \o "1-1" \h \z \u</w:instrText>
      </w:r>
      <w:r>
        <w:rPr>
          <w:rFonts w:hint="eastAsia" w:cs="宋体"/>
          <w:b w:val="0"/>
          <w:bCs w:val="0"/>
          <w:caps w:val="0"/>
          <w:color w:val="auto"/>
          <w:highlight w:val="none"/>
        </w:rPr>
        <w:fldChar w:fldCharType="separate"/>
      </w:r>
      <w:r>
        <w:rPr>
          <w:color w:val="auto"/>
          <w:highlight w:val="none"/>
        </w:rPr>
        <w:fldChar w:fldCharType="begin"/>
      </w:r>
      <w:r>
        <w:rPr>
          <w:color w:val="auto"/>
          <w:highlight w:val="none"/>
        </w:rPr>
        <w:instrText xml:space="preserve"> HYPERLINK \l "_Toc143259161" </w:instrText>
      </w:r>
      <w:r>
        <w:rPr>
          <w:color w:val="auto"/>
          <w:highlight w:val="none"/>
        </w:rPr>
        <w:fldChar w:fldCharType="separate"/>
      </w:r>
      <w:r>
        <w:rPr>
          <w:rStyle w:val="54"/>
          <w:rFonts w:hint="eastAsia" w:cs="宋体"/>
          <w:color w:val="auto"/>
          <w:highlight w:val="none"/>
        </w:rPr>
        <w:t>第一章 招标公告</w:t>
      </w:r>
      <w:r>
        <w:rPr>
          <w:rFonts w:hint="eastAsia" w:cs="宋体"/>
          <w:color w:val="auto"/>
          <w:highlight w:val="none"/>
        </w:rPr>
        <w:tab/>
      </w:r>
      <w:r>
        <w:rPr>
          <w:rFonts w:hint="eastAsia" w:cs="宋体"/>
          <w:color w:val="auto"/>
          <w:highlight w:val="none"/>
        </w:rPr>
        <w:t>2</w:t>
      </w:r>
      <w:r>
        <w:rPr>
          <w:rFonts w:hint="eastAsia" w:cs="宋体"/>
          <w:color w:val="auto"/>
          <w:highlight w:val="none"/>
        </w:rPr>
        <w:fldChar w:fldCharType="end"/>
      </w:r>
    </w:p>
    <w:p w14:paraId="7FF7F11A">
      <w:pPr>
        <w:pStyle w:val="34"/>
        <w:ind w:firstLine="241"/>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"_Toc143259162" </w:instrText>
      </w:r>
      <w:r>
        <w:rPr>
          <w:color w:val="auto"/>
          <w:highlight w:val="none"/>
        </w:rPr>
        <w:fldChar w:fldCharType="separate"/>
      </w:r>
      <w:r>
        <w:rPr>
          <w:rStyle w:val="54"/>
          <w:rFonts w:hint="eastAsia" w:cs="宋体"/>
          <w:color w:val="auto"/>
          <w:highlight w:val="none"/>
        </w:rPr>
        <w:t>第二章 采购需求</w:t>
      </w:r>
      <w:r>
        <w:rPr>
          <w:rFonts w:hint="eastAsia" w:cs="宋体"/>
          <w:color w:val="auto"/>
          <w:highlight w:val="none"/>
        </w:rPr>
        <w:tab/>
      </w:r>
      <w:r>
        <w:rPr>
          <w:rFonts w:hint="eastAsia" w:cs="宋体"/>
          <w:color w:val="auto"/>
          <w:highlight w:val="none"/>
        </w:rPr>
        <w:t>5</w:t>
      </w:r>
      <w:r>
        <w:rPr>
          <w:rFonts w:hint="eastAsia" w:cs="宋体"/>
          <w:color w:val="auto"/>
          <w:highlight w:val="none"/>
        </w:rPr>
        <w:fldChar w:fldCharType="end"/>
      </w:r>
    </w:p>
    <w:p w14:paraId="6E098CD7">
      <w:pPr>
        <w:pStyle w:val="34"/>
        <w:ind w:firstLine="241"/>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"_Toc143259163" </w:instrText>
      </w:r>
      <w:r>
        <w:rPr>
          <w:color w:val="auto"/>
          <w:highlight w:val="none"/>
        </w:rPr>
        <w:fldChar w:fldCharType="separate"/>
      </w:r>
      <w:r>
        <w:rPr>
          <w:rStyle w:val="54"/>
          <w:rFonts w:hint="eastAsia" w:cs="宋体"/>
          <w:color w:val="auto"/>
          <w:highlight w:val="none"/>
        </w:rPr>
        <w:t>第三章 投标人须知</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rPr>
        <w:t>19</w:t>
      </w:r>
    </w:p>
    <w:p w14:paraId="116AC96C">
      <w:pPr>
        <w:pStyle w:val="34"/>
        <w:ind w:firstLine="241"/>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"_Toc143259164" </w:instrText>
      </w:r>
      <w:r>
        <w:rPr>
          <w:color w:val="auto"/>
          <w:highlight w:val="none"/>
        </w:rPr>
        <w:fldChar w:fldCharType="separate"/>
      </w:r>
      <w:r>
        <w:rPr>
          <w:rStyle w:val="54"/>
          <w:rFonts w:hint="eastAsia" w:cs="宋体"/>
          <w:color w:val="auto"/>
          <w:highlight w:val="none"/>
        </w:rPr>
        <w:t>第四章 评标方法及评标标准</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rPr>
        <w:t>44</w:t>
      </w:r>
    </w:p>
    <w:p w14:paraId="359DF8A5">
      <w:pPr>
        <w:pStyle w:val="34"/>
        <w:ind w:firstLine="241"/>
        <w:rPr>
          <w:rFonts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"_Toc143259165" </w:instrText>
      </w:r>
      <w:r>
        <w:rPr>
          <w:color w:val="auto"/>
          <w:highlight w:val="none"/>
        </w:rPr>
        <w:fldChar w:fldCharType="separate"/>
      </w:r>
      <w:r>
        <w:rPr>
          <w:rStyle w:val="54"/>
          <w:rFonts w:hint="eastAsia" w:cs="宋体"/>
          <w:color w:val="auto"/>
          <w:highlight w:val="none"/>
        </w:rPr>
        <w:t>第五章 拟签订的合同文本</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rPr>
        <w:t>51</w:t>
      </w:r>
    </w:p>
    <w:p w14:paraId="32A4854A">
      <w:pPr>
        <w:pStyle w:val="34"/>
        <w:ind w:firstLine="241"/>
        <w:rPr>
          <w:rFonts w:hint="eastAsia" w:eastAsia="宋体" w:cs="宋体"/>
          <w:b w:val="0"/>
          <w:bCs w:val="0"/>
          <w:caps w:val="0"/>
          <w:color w:val="auto"/>
          <w:sz w:val="21"/>
          <w:szCs w:val="22"/>
          <w:highlight w:val="none"/>
          <w:lang w:eastAsia="zh-CN"/>
        </w:rPr>
      </w:pPr>
      <w:r>
        <w:rPr>
          <w:color w:val="auto"/>
          <w:highlight w:val="none"/>
        </w:rPr>
        <w:fldChar w:fldCharType="begin"/>
      </w:r>
      <w:r>
        <w:rPr>
          <w:color w:val="auto"/>
          <w:highlight w:val="none"/>
        </w:rPr>
        <w:instrText xml:space="preserve"> HYPERLINK \l "_Toc143259166" </w:instrText>
      </w:r>
      <w:r>
        <w:rPr>
          <w:color w:val="auto"/>
          <w:highlight w:val="none"/>
        </w:rPr>
        <w:fldChar w:fldCharType="separate"/>
      </w:r>
      <w:r>
        <w:rPr>
          <w:rStyle w:val="54"/>
          <w:rFonts w:hint="eastAsia" w:cs="宋体"/>
          <w:color w:val="auto"/>
          <w:highlight w:val="none"/>
        </w:rPr>
        <w:t>第六章 投标文件格式</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rPr>
        <w:t>5</w:t>
      </w:r>
      <w:r>
        <w:rPr>
          <w:rFonts w:hint="eastAsia" w:cs="宋体"/>
          <w:color w:val="auto"/>
          <w:highlight w:val="none"/>
          <w:lang w:val="en-US" w:eastAsia="zh-CN"/>
        </w:rPr>
        <w:t>9</w:t>
      </w:r>
    </w:p>
    <w:p w14:paraId="60C87DBA">
      <w:pPr>
        <w:spacing w:beforeLines="50" w:line="480" w:lineRule="exact"/>
        <w:rPr>
          <w:rFonts w:ascii="宋体" w:hAnsi="宋体" w:cs="宋体"/>
          <w:color w:val="auto"/>
          <w:sz w:val="24"/>
          <w:highlight w:val="none"/>
        </w:rPr>
      </w:pPr>
      <w:r>
        <w:rPr>
          <w:rFonts w:hint="eastAsia" w:ascii="宋体" w:hAnsi="宋体" w:cs="宋体"/>
          <w:b/>
          <w:bCs/>
          <w:caps/>
          <w:color w:val="auto"/>
          <w:sz w:val="24"/>
          <w:highlight w:val="none"/>
        </w:rPr>
        <w:fldChar w:fldCharType="end"/>
      </w:r>
    </w:p>
    <w:p w14:paraId="4FC2226D">
      <w:pPr>
        <w:spacing w:beforeLines="50" w:line="480" w:lineRule="exact"/>
        <w:rPr>
          <w:rFonts w:ascii="宋体" w:hAnsi="宋体" w:cs="宋体"/>
          <w:color w:val="auto"/>
          <w:sz w:val="30"/>
          <w:highlight w:val="none"/>
        </w:rPr>
      </w:pPr>
    </w:p>
    <w:p w14:paraId="40B4D61A">
      <w:pPr>
        <w:rPr>
          <w:rFonts w:ascii="宋体" w:hAnsi="宋体" w:cs="宋体"/>
          <w:color w:val="auto"/>
          <w:highlight w:val="none"/>
        </w:rPr>
      </w:pPr>
    </w:p>
    <w:p w14:paraId="7F7B2D13">
      <w:pPr>
        <w:spacing w:beforeLines="50" w:line="480" w:lineRule="exact"/>
        <w:rPr>
          <w:rFonts w:ascii="宋体" w:hAnsi="宋体" w:cs="宋体"/>
          <w:color w:val="auto"/>
          <w:sz w:val="30"/>
          <w:highlight w:val="none"/>
        </w:rPr>
      </w:pPr>
    </w:p>
    <w:p w14:paraId="23BCD4D4">
      <w:pPr>
        <w:spacing w:beforeLines="50" w:line="480" w:lineRule="exact"/>
        <w:rPr>
          <w:rFonts w:ascii="宋体" w:hAnsi="宋体" w:cs="宋体"/>
          <w:color w:val="auto"/>
          <w:sz w:val="30"/>
          <w:highlight w:val="none"/>
        </w:rPr>
      </w:pPr>
    </w:p>
    <w:p w14:paraId="53081D22">
      <w:pPr>
        <w:pStyle w:val="18"/>
        <w:rPr>
          <w:rFonts w:ascii="宋体" w:hAnsi="宋体" w:cs="宋体"/>
          <w:b/>
          <w:bCs/>
          <w:color w:val="auto"/>
          <w:highlight w:val="none"/>
        </w:rPr>
      </w:pPr>
      <w:bookmarkStart w:id="0" w:name="_Toc254970630"/>
      <w:bookmarkStart w:id="1" w:name="_Toc254970489"/>
    </w:p>
    <w:p w14:paraId="02FB00C7">
      <w:pPr>
        <w:pStyle w:val="4"/>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b w:val="0"/>
          <w:bCs w:val="0"/>
          <w:color w:val="auto"/>
          <w:highlight w:val="none"/>
        </w:rPr>
        <w:br w:type="page"/>
      </w:r>
      <w:bookmarkStart w:id="2" w:name="_Toc143259161"/>
      <w:bookmarkStart w:id="3" w:name="_Toc74320800"/>
      <w:r>
        <w:rPr>
          <w:rFonts w:hint="eastAsia" w:ascii="宋体" w:hAnsi="宋体" w:cs="宋体"/>
          <w:color w:val="auto"/>
          <w:highlight w:val="none"/>
        </w:rPr>
        <w:t>第一章</w:t>
      </w:r>
      <w:bookmarkEnd w:id="0"/>
      <w:bookmarkEnd w:id="1"/>
      <w:bookmarkStart w:id="4" w:name="_Toc28359001"/>
      <w:bookmarkStart w:id="5" w:name="_Toc35393789"/>
      <w:r>
        <w:rPr>
          <w:rFonts w:hint="eastAsia" w:ascii="宋体" w:hAnsi="宋体" w:cs="宋体"/>
          <w:color w:val="auto"/>
          <w:highlight w:val="none"/>
        </w:rPr>
        <w:t>招标公告</w:t>
      </w:r>
      <w:bookmarkEnd w:id="2"/>
      <w:bookmarkEnd w:id="3"/>
      <w:bookmarkEnd w:id="4"/>
      <w:bookmarkEnd w:id="5"/>
    </w:p>
    <w:p w14:paraId="4E6AC291">
      <w:pPr>
        <w:spacing w:line="360" w:lineRule="auto"/>
        <w:rPr>
          <w:rFonts w:ascii="宋体" w:hAnsi="宋体" w:cs="宋体"/>
          <w:color w:val="auto"/>
          <w:szCs w:val="21"/>
          <w:highlight w:val="none"/>
        </w:rPr>
      </w:pPr>
    </w:p>
    <w:p w14:paraId="306E3B1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17F1F0C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医疗设备采购项目（复合式冷热消融系统1套）项目的潜在投标人应在“广西政府采购云平台”（</w:t>
      </w:r>
      <w:r>
        <w:rPr>
          <w:color w:val="auto"/>
          <w:highlight w:val="none"/>
        </w:rPr>
        <w:fldChar w:fldCharType="begin"/>
      </w:r>
      <w:r>
        <w:rPr>
          <w:color w:val="auto"/>
          <w:highlight w:val="none"/>
        </w:rPr>
        <w:instrText xml:space="preserve"> HYPERLINK "https://www.gcy.zfcg.gxzf.gov.cn/）获取（下载）招标文件，并于2024年" </w:instrText>
      </w:r>
      <w:r>
        <w:rPr>
          <w:color w:val="auto"/>
          <w:highlight w:val="none"/>
        </w:rPr>
        <w:fldChar w:fldCharType="separate"/>
      </w:r>
      <w:r>
        <w:rPr>
          <w:rFonts w:hint="eastAsia" w:ascii="宋体" w:hAnsi="宋体" w:cs="宋体"/>
          <w:color w:val="auto"/>
          <w:highlight w:val="none"/>
        </w:rPr>
        <w:t>https://www.gcy.zfcg.gxzf.gov.cn/）获取（下载）招标文件，并于2025年</w:t>
      </w:r>
      <w:r>
        <w:rPr>
          <w:rFonts w:hint="eastAsia" w:ascii="宋体" w:hAnsi="宋体" w:cs="宋体"/>
          <w:color w:val="auto"/>
          <w:highlight w:val="none"/>
        </w:rPr>
        <w:fldChar w:fldCharType="end"/>
      </w:r>
      <w:r>
        <w:rPr>
          <w:rFonts w:hint="eastAsia" w:ascii="宋体" w:hAnsi="宋体" w:cs="宋体"/>
          <w:color w:val="auto"/>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日9时30分（北京时间）前按要求递交（上传）投标文件。</w:t>
      </w:r>
    </w:p>
    <w:p w14:paraId="0875C81F">
      <w:pPr>
        <w:spacing w:line="380" w:lineRule="exact"/>
        <w:rPr>
          <w:rFonts w:ascii="宋体" w:hAnsi="宋体" w:cs="宋体"/>
          <w:b/>
          <w:bCs/>
          <w:color w:val="auto"/>
          <w:sz w:val="24"/>
          <w:highlight w:val="none"/>
        </w:rPr>
      </w:pPr>
      <w:bookmarkStart w:id="6" w:name="_Toc28359002"/>
      <w:bookmarkStart w:id="7" w:name="_Toc28359079"/>
      <w:bookmarkStart w:id="8" w:name="_Toc35393621"/>
      <w:bookmarkStart w:id="9" w:name="_Toc35393790"/>
      <w:bookmarkStart w:id="10" w:name="_Hlk24379207"/>
      <w:r>
        <w:rPr>
          <w:rFonts w:hint="eastAsia" w:ascii="宋体" w:hAnsi="宋体" w:cs="宋体"/>
          <w:b/>
          <w:bCs/>
          <w:color w:val="auto"/>
          <w:sz w:val="24"/>
          <w:highlight w:val="none"/>
        </w:rPr>
        <w:t>一、项目基本情况</w:t>
      </w:r>
      <w:bookmarkEnd w:id="6"/>
      <w:bookmarkEnd w:id="7"/>
      <w:bookmarkEnd w:id="8"/>
      <w:bookmarkEnd w:id="9"/>
    </w:p>
    <w:p w14:paraId="105C2B11">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项目编号：GXZC2024-G1-006273-YZLZ（代理编号：YZLGL2024-G1-094-GXZC）</w:t>
      </w:r>
    </w:p>
    <w:p w14:paraId="0BDB0ADA">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项目名称：医疗设备采购项目（复合式冷热消融系统1套）</w:t>
      </w:r>
    </w:p>
    <w:bookmarkEnd w:id="10"/>
    <w:p w14:paraId="36D68D3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预算金额：3420000.00元</w:t>
      </w:r>
    </w:p>
    <w:p w14:paraId="526AEF43">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最高限价：2760000.00元</w:t>
      </w:r>
    </w:p>
    <w:p w14:paraId="02E393AE">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14:paraId="2DEC48FA">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标的的名称、数量及单位：复合式冷热消融系统1套；（2）简要技术需求或者服务要求：按国家有关产品“三包”规定执行“三包”；保修期不得少于5年（保修期从设备验收合格之日起计算），保修期内上门维修不收取任何费用。具体详见采购需求。</w:t>
      </w:r>
    </w:p>
    <w:p w14:paraId="78527A94">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合同履行期限：自合同签订之后，接采购人通知之日起30个日历日内完成供货、安装、调试，验收合格并投入使用。</w:t>
      </w:r>
    </w:p>
    <w:p w14:paraId="73239ED1">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本项目不接受联合体投标。</w:t>
      </w:r>
    </w:p>
    <w:p w14:paraId="241E3E04">
      <w:pPr>
        <w:spacing w:line="380" w:lineRule="exact"/>
        <w:rPr>
          <w:rFonts w:ascii="宋体" w:hAnsi="宋体" w:cs="宋体"/>
          <w:b/>
          <w:bCs/>
          <w:color w:val="auto"/>
          <w:sz w:val="24"/>
          <w:highlight w:val="none"/>
        </w:rPr>
      </w:pPr>
      <w:bookmarkStart w:id="11" w:name="_Toc28359080"/>
      <w:bookmarkStart w:id="12" w:name="_Toc28359003"/>
      <w:bookmarkStart w:id="13" w:name="_Toc35393622"/>
      <w:bookmarkStart w:id="14" w:name="_Toc35393791"/>
      <w:r>
        <w:rPr>
          <w:rFonts w:hint="eastAsia" w:ascii="宋体" w:hAnsi="宋体" w:cs="宋体"/>
          <w:b/>
          <w:bCs/>
          <w:color w:val="auto"/>
          <w:sz w:val="24"/>
          <w:highlight w:val="none"/>
        </w:rPr>
        <w:t>二、申请人的资格要求：</w:t>
      </w:r>
      <w:bookmarkEnd w:id="11"/>
      <w:bookmarkEnd w:id="12"/>
      <w:bookmarkEnd w:id="13"/>
      <w:bookmarkEnd w:id="14"/>
    </w:p>
    <w:p w14:paraId="60CB6460">
      <w:pPr>
        <w:spacing w:line="380" w:lineRule="exact"/>
        <w:ind w:firstLine="420" w:firstLineChars="200"/>
        <w:rPr>
          <w:rFonts w:ascii="宋体" w:hAnsi="宋体" w:cs="宋体"/>
          <w:color w:val="auto"/>
          <w:szCs w:val="21"/>
          <w:highlight w:val="none"/>
        </w:rPr>
      </w:pPr>
      <w:bookmarkStart w:id="15" w:name="_Hlk51746371"/>
      <w:r>
        <w:rPr>
          <w:rFonts w:hint="eastAsia" w:ascii="宋体" w:hAnsi="宋体" w:cs="宋体"/>
          <w:color w:val="auto"/>
          <w:szCs w:val="21"/>
          <w:highlight w:val="none"/>
        </w:rPr>
        <w:t>1.满足《中华人民共和国政府采购法》第二十二条规定；</w:t>
      </w:r>
    </w:p>
    <w:p w14:paraId="502F6305">
      <w:pPr>
        <w:spacing w:line="380" w:lineRule="exact"/>
        <w:ind w:firstLine="420" w:firstLineChars="200"/>
        <w:rPr>
          <w:rFonts w:ascii="宋体" w:hAnsi="宋体" w:cs="宋体"/>
          <w:color w:val="auto"/>
          <w:szCs w:val="21"/>
          <w:highlight w:val="none"/>
        </w:rPr>
      </w:pPr>
      <w:bookmarkStart w:id="16" w:name="_Toc28359004"/>
      <w:bookmarkStart w:id="17" w:name="_Toc28359081"/>
      <w:r>
        <w:rPr>
          <w:rFonts w:hint="eastAsia" w:ascii="宋体" w:hAnsi="宋体" w:cs="宋体"/>
          <w:color w:val="auto"/>
          <w:szCs w:val="21"/>
          <w:highlight w:val="none"/>
        </w:rPr>
        <w:t>2.落实政府采购政策需满足的资格要求：无；</w:t>
      </w:r>
    </w:p>
    <w:p w14:paraId="1AECFABD">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bookmarkEnd w:id="15"/>
      <w:bookmarkStart w:id="18" w:name="_Toc35393623"/>
      <w:bookmarkStart w:id="19" w:name="_Toc35393792"/>
      <w:r>
        <w:rPr>
          <w:rFonts w:hint="eastAsia" w:ascii="宋体" w:hAnsi="宋体" w:cs="宋体"/>
          <w:color w:val="auto"/>
          <w:szCs w:val="21"/>
          <w:highlight w:val="none"/>
        </w:rPr>
        <w:t>投标人</w:t>
      </w:r>
      <w:r>
        <w:rPr>
          <w:rFonts w:hint="eastAsia" w:ascii="宋体" w:hAnsi="宋体" w:cs="宋体"/>
          <w:color w:val="auto"/>
          <w:highlight w:val="none"/>
        </w:rPr>
        <w:t>按《医疗器械监督管理条例》（国务院令第739号）医疗器械分类管理要求具备有效的医疗器械经营备案凭证或者经营许可证，且经营范围必须包含采购标的[符合《医疗器械监督管理条例》第四十一条第二款规定的除外]；或者投标人具有《医疗器械监督管理条例》第四十三条规定的注册人凭证。</w:t>
      </w:r>
    </w:p>
    <w:p w14:paraId="06AD8ACC">
      <w:pPr>
        <w:spacing w:line="380" w:lineRule="exact"/>
        <w:rPr>
          <w:rFonts w:ascii="宋体" w:hAnsi="宋体" w:cs="宋体"/>
          <w:b/>
          <w:bCs/>
          <w:color w:val="auto"/>
          <w:sz w:val="24"/>
          <w:highlight w:val="none"/>
        </w:rPr>
      </w:pPr>
      <w:r>
        <w:rPr>
          <w:rFonts w:hint="eastAsia" w:ascii="宋体" w:hAnsi="宋体" w:cs="宋体"/>
          <w:b/>
          <w:bCs/>
          <w:color w:val="auto"/>
          <w:sz w:val="24"/>
          <w:highlight w:val="none"/>
        </w:rPr>
        <w:t>三、获取招标文件</w:t>
      </w:r>
      <w:bookmarkEnd w:id="16"/>
      <w:bookmarkEnd w:id="17"/>
      <w:bookmarkEnd w:id="18"/>
      <w:bookmarkEnd w:id="19"/>
    </w:p>
    <w:p w14:paraId="1FBEC7B0">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时间：202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日至202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17</w:t>
      </w:r>
      <w:r>
        <w:rPr>
          <w:rFonts w:hint="eastAsia" w:ascii="宋体" w:hAnsi="宋体" w:cs="宋体"/>
          <w:bCs/>
          <w:color w:val="auto"/>
          <w:kern w:val="0"/>
          <w:szCs w:val="21"/>
          <w:highlight w:val="none"/>
        </w:rPr>
        <w:t>日，每天上午00:00至11:59，下午12:00至23:59（北京时间，法定节假日除外）</w:t>
      </w:r>
    </w:p>
    <w:p w14:paraId="707E4D05">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color w:val="auto"/>
          <w:highlight w:val="none"/>
        </w:rPr>
        <w:t>“广西政府采购云平台”（https://www.gcy.zfcg.gxzf.gov.cn/）</w:t>
      </w:r>
    </w:p>
    <w:p w14:paraId="48FEFEA5">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w:t>
      </w:r>
      <w:r>
        <w:rPr>
          <w:rFonts w:hint="eastAsia" w:ascii="宋体" w:hAnsi="宋体" w:cs="宋体"/>
          <w:color w:val="auto"/>
          <w:highlight w:val="none"/>
        </w:rPr>
        <w:t>“广西政府采购云平台”（https://www.gcy.zfcg.gxzf.gov.cn/）</w:t>
      </w:r>
      <w:r>
        <w:rPr>
          <w:rFonts w:hint="eastAsia" w:ascii="宋体" w:hAnsi="宋体" w:cs="宋体"/>
          <w:bCs/>
          <w:color w:val="auto"/>
          <w:kern w:val="0"/>
          <w:szCs w:val="21"/>
          <w:highlight w:val="none"/>
        </w:rPr>
        <w:t>-进入“项目采购”应用，在获取采购文件菜单中选择项目，获取招标文件（或在“政府采购云平台电子投标客户端-获取采购文件”跳转到政府采购云平台系统获取）。电子投标文件制作需要基于“政府采购云平台”获取的招标文件编制，通过其他方式获取招标文件的，将有可能导致供应商无法在政府采购云平台编制及上传投标文件。</w:t>
      </w:r>
    </w:p>
    <w:p w14:paraId="664AD3D5">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售价：0元</w:t>
      </w:r>
    </w:p>
    <w:p w14:paraId="7714CEE2">
      <w:pPr>
        <w:spacing w:line="380" w:lineRule="exact"/>
        <w:rPr>
          <w:rFonts w:ascii="宋体" w:hAnsi="宋体" w:cs="宋体"/>
          <w:b/>
          <w:bCs/>
          <w:color w:val="auto"/>
          <w:sz w:val="24"/>
          <w:highlight w:val="none"/>
        </w:rPr>
      </w:pPr>
      <w:bookmarkStart w:id="20" w:name="_Toc28359005"/>
      <w:bookmarkStart w:id="21" w:name="_Toc28359082"/>
      <w:bookmarkStart w:id="22" w:name="_Toc35393624"/>
      <w:bookmarkStart w:id="23" w:name="_Toc35393793"/>
      <w:r>
        <w:rPr>
          <w:rFonts w:hint="eastAsia" w:ascii="宋体" w:hAnsi="宋体" w:cs="宋体"/>
          <w:b/>
          <w:bCs/>
          <w:color w:val="auto"/>
          <w:sz w:val="24"/>
          <w:highlight w:val="none"/>
        </w:rPr>
        <w:t>四、提交投标文件</w:t>
      </w:r>
      <w:bookmarkEnd w:id="20"/>
      <w:bookmarkEnd w:id="21"/>
      <w:r>
        <w:rPr>
          <w:rFonts w:hint="eastAsia" w:ascii="宋体" w:hAnsi="宋体" w:cs="宋体"/>
          <w:b/>
          <w:bCs/>
          <w:color w:val="auto"/>
          <w:sz w:val="24"/>
          <w:highlight w:val="none"/>
        </w:rPr>
        <w:t>截止时间、开标时间和地点</w:t>
      </w:r>
      <w:bookmarkEnd w:id="22"/>
      <w:bookmarkEnd w:id="23"/>
    </w:p>
    <w:p w14:paraId="6BFAF6E0">
      <w:pPr>
        <w:spacing w:line="380" w:lineRule="exact"/>
        <w:ind w:firstLine="420" w:firstLineChars="200"/>
        <w:rPr>
          <w:rFonts w:ascii="宋体" w:hAnsi="宋体" w:cs="宋体"/>
          <w:color w:val="auto"/>
          <w:szCs w:val="21"/>
          <w:highlight w:val="none"/>
          <w:u w:val="single"/>
        </w:rPr>
      </w:pPr>
      <w:bookmarkStart w:id="24" w:name="_Toc28359007"/>
      <w:bookmarkStart w:id="25" w:name="_Toc35393625"/>
      <w:bookmarkStart w:id="26" w:name="_Toc35393794"/>
      <w:bookmarkStart w:id="27" w:name="_Toc28359084"/>
      <w:r>
        <w:rPr>
          <w:rFonts w:hint="eastAsia" w:ascii="宋体" w:hAnsi="宋体" w:cs="宋体"/>
          <w:bCs/>
          <w:color w:val="auto"/>
          <w:szCs w:val="21"/>
          <w:highlight w:val="none"/>
        </w:rPr>
        <w:t>提交投标文件截止时间：</w:t>
      </w:r>
      <w:r>
        <w:rPr>
          <w:rFonts w:hint="eastAsia" w:ascii="宋体" w:hAnsi="宋体" w:cs="宋体"/>
          <w:bCs/>
          <w:color w:val="auto"/>
          <w:kern w:val="0"/>
          <w:szCs w:val="21"/>
          <w:highlight w:val="none"/>
        </w:rPr>
        <w:t>2025年</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日</w:t>
      </w:r>
      <w:r>
        <w:rPr>
          <w:rFonts w:hint="eastAsia" w:ascii="宋体" w:hAnsi="宋体" w:cs="宋体"/>
          <w:color w:val="auto"/>
          <w:szCs w:val="21"/>
          <w:highlight w:val="none"/>
        </w:rPr>
        <w:t>9时30分</w:t>
      </w:r>
      <w:r>
        <w:rPr>
          <w:rFonts w:hint="eastAsia" w:ascii="宋体" w:hAnsi="宋体" w:cs="宋体"/>
          <w:bCs/>
          <w:color w:val="auto"/>
          <w:szCs w:val="21"/>
          <w:highlight w:val="none"/>
        </w:rPr>
        <w:t>（北京时间）</w:t>
      </w:r>
    </w:p>
    <w:p w14:paraId="77E6567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投标地点（网址）：</w:t>
      </w:r>
      <w:r>
        <w:rPr>
          <w:rFonts w:hint="eastAsia" w:ascii="宋体" w:hAnsi="宋体" w:cs="宋体"/>
          <w:color w:val="auto"/>
          <w:highlight w:val="none"/>
        </w:rPr>
        <w:t>“广西政府采购云平台”（https://www.gcy.zfcg.gxzf.gov.cn/）</w:t>
      </w:r>
    </w:p>
    <w:p w14:paraId="0D2D3D02">
      <w:pPr>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开标时间：</w:t>
      </w:r>
      <w:r>
        <w:rPr>
          <w:rFonts w:hint="eastAsia" w:ascii="宋体" w:hAnsi="宋体" w:cs="宋体"/>
          <w:bCs/>
          <w:color w:val="auto"/>
          <w:kern w:val="0"/>
          <w:szCs w:val="21"/>
          <w:highlight w:val="none"/>
        </w:rPr>
        <w:t>2025年</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日</w:t>
      </w:r>
      <w:r>
        <w:rPr>
          <w:rFonts w:hint="eastAsia" w:ascii="宋体" w:hAnsi="宋体" w:cs="宋体"/>
          <w:color w:val="auto"/>
          <w:szCs w:val="21"/>
          <w:highlight w:val="none"/>
        </w:rPr>
        <w:t>9时30分</w:t>
      </w:r>
      <w:r>
        <w:rPr>
          <w:rFonts w:hint="eastAsia" w:ascii="宋体" w:hAnsi="宋体" w:cs="宋体"/>
          <w:bCs/>
          <w:color w:val="auto"/>
          <w:szCs w:val="21"/>
          <w:highlight w:val="none"/>
        </w:rPr>
        <w:t>（北京时间）</w:t>
      </w:r>
    </w:p>
    <w:p w14:paraId="5EA3022A">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开标地点：广西政府采购云平台电子开标大厅</w:t>
      </w:r>
    </w:p>
    <w:p w14:paraId="53666EAB">
      <w:pPr>
        <w:spacing w:line="380" w:lineRule="exact"/>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4"/>
      <w:bookmarkEnd w:id="25"/>
      <w:bookmarkEnd w:id="26"/>
      <w:bookmarkEnd w:id="27"/>
    </w:p>
    <w:p w14:paraId="301E879E">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D431B6A">
      <w:pPr>
        <w:spacing w:line="380" w:lineRule="exact"/>
        <w:rPr>
          <w:rFonts w:ascii="宋体" w:hAnsi="宋体" w:cs="宋体"/>
          <w:b/>
          <w:bCs/>
          <w:color w:val="auto"/>
          <w:sz w:val="24"/>
          <w:highlight w:val="none"/>
        </w:rPr>
      </w:pPr>
      <w:bookmarkStart w:id="28" w:name="_Toc35393795"/>
      <w:bookmarkStart w:id="29" w:name="_Toc35393626"/>
      <w:r>
        <w:rPr>
          <w:rFonts w:hint="eastAsia" w:ascii="宋体" w:hAnsi="宋体" w:cs="宋体"/>
          <w:b/>
          <w:bCs/>
          <w:color w:val="auto"/>
          <w:sz w:val="24"/>
          <w:highlight w:val="none"/>
        </w:rPr>
        <w:t>六、其他补充事宜</w:t>
      </w:r>
      <w:bookmarkEnd w:id="28"/>
      <w:bookmarkEnd w:id="29"/>
    </w:p>
    <w:p w14:paraId="47E3BB8D">
      <w:pPr>
        <w:spacing w:line="380" w:lineRule="exact"/>
        <w:ind w:firstLine="420" w:firstLineChars="200"/>
        <w:rPr>
          <w:rFonts w:ascii="宋体" w:hAnsi="宋体" w:cs="宋体"/>
          <w:color w:val="auto"/>
          <w:kern w:val="0"/>
          <w:szCs w:val="21"/>
          <w:highlight w:val="none"/>
        </w:rPr>
      </w:pPr>
      <w:bookmarkStart w:id="30" w:name="_Hlk37429585"/>
      <w:bookmarkStart w:id="31" w:name="_Hlk37429595"/>
      <w:r>
        <w:rPr>
          <w:rFonts w:hint="eastAsia" w:ascii="宋体" w:hAnsi="宋体" w:cs="宋体"/>
          <w:color w:val="auto"/>
          <w:kern w:val="0"/>
          <w:szCs w:val="21"/>
          <w:highlight w:val="none"/>
        </w:rPr>
        <w:t>1.网上查询地址</w:t>
      </w:r>
    </w:p>
    <w:p w14:paraId="16D82ABD">
      <w:pPr>
        <w:spacing w:line="380" w:lineRule="exact"/>
        <w:ind w:left="210" w:leftChars="100"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http://www.ccgp.gov.cn（中国政府采购网）、http://zfcg.gxzf.gov.cn（广西壮族自治区政府采购网）</w:t>
      </w:r>
      <w:bookmarkEnd w:id="30"/>
      <w:r>
        <w:rPr>
          <w:rFonts w:hint="eastAsia" w:ascii="宋体" w:hAnsi="宋体" w:cs="宋体"/>
          <w:color w:val="auto"/>
          <w:kern w:val="0"/>
          <w:szCs w:val="21"/>
          <w:highlight w:val="none"/>
        </w:rPr>
        <w:t>。</w:t>
      </w:r>
    </w:p>
    <w:bookmarkEnd w:id="31"/>
    <w:p w14:paraId="0F2F1F37">
      <w:pPr>
        <w:spacing w:line="380" w:lineRule="exact"/>
        <w:ind w:firstLine="424" w:firstLineChars="202"/>
        <w:rPr>
          <w:rFonts w:ascii="宋体" w:hAnsi="宋体" w:cs="宋体"/>
          <w:color w:val="auto"/>
          <w:kern w:val="0"/>
          <w:szCs w:val="21"/>
          <w:highlight w:val="none"/>
        </w:rPr>
      </w:pPr>
      <w:bookmarkStart w:id="32" w:name="_Hlk37429674"/>
      <w:r>
        <w:rPr>
          <w:rFonts w:hint="eastAsia" w:ascii="宋体" w:hAnsi="宋体" w:cs="宋体"/>
          <w:color w:val="auto"/>
          <w:szCs w:val="21"/>
          <w:highlight w:val="none"/>
        </w:rPr>
        <w:t>2.</w:t>
      </w:r>
      <w:r>
        <w:rPr>
          <w:rFonts w:hint="eastAsia" w:ascii="宋体" w:hAnsi="宋体" w:cs="宋体"/>
          <w:color w:val="auto"/>
          <w:kern w:val="0"/>
          <w:szCs w:val="21"/>
          <w:highlight w:val="none"/>
        </w:rPr>
        <w:t>本项目需要落实的政府采购政策</w:t>
      </w:r>
    </w:p>
    <w:p w14:paraId="11AE9C81">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（1）政府采购促进中小企业发展；本项目非专门面向中小企业采购。</w:t>
      </w:r>
    </w:p>
    <w:p w14:paraId="418AE4CB">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14873E94">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（3）本项目强制采购节能产品；优先采购节能产品、环境标志产品。</w:t>
      </w:r>
    </w:p>
    <w:p w14:paraId="064E2868">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60860E96">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14:paraId="79FE4C52">
      <w:pPr>
        <w:widowControl/>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w:t>
      </w:r>
      <w:bookmarkEnd w:id="32"/>
      <w:bookmarkStart w:id="33" w:name="_Toc35393627"/>
      <w:bookmarkStart w:id="34" w:name="_Toc28359008"/>
      <w:bookmarkStart w:id="35" w:name="_Toc28359085"/>
      <w:bookmarkStart w:id="36" w:name="_Toc35393796"/>
      <w:r>
        <w:rPr>
          <w:rFonts w:hint="eastAsia" w:ascii="宋体" w:hAnsi="宋体" w:cs="宋体"/>
          <w:color w:val="auto"/>
          <w:kern w:val="0"/>
          <w:szCs w:val="21"/>
          <w:highlight w:val="none"/>
        </w:rPr>
        <w:t>投标人</w:t>
      </w:r>
      <w:r>
        <w:rPr>
          <w:rFonts w:hint="eastAsia" w:ascii="宋体" w:hAnsi="宋体" w:cs="宋体"/>
          <w:color w:val="auto"/>
          <w:szCs w:val="21"/>
          <w:highlight w:val="none"/>
        </w:rPr>
        <w:t>投标注意事项</w:t>
      </w:r>
    </w:p>
    <w:p w14:paraId="57260504">
      <w:pPr>
        <w:widowControl/>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（1）本项目为全流程电子化采购项目，通过</w:t>
      </w:r>
      <w:r>
        <w:rPr>
          <w:rFonts w:hint="eastAsia" w:ascii="宋体" w:hAnsi="宋体" w:cs="宋体"/>
          <w:color w:val="auto"/>
          <w:highlight w:val="none"/>
        </w:rPr>
        <w:t>“广西政府采购云平台”（https://www.gcy.zfcg.gxzf.gov.cn/）</w:t>
      </w:r>
      <w:r>
        <w:rPr>
          <w:rFonts w:hint="eastAsia" w:ascii="宋体" w:hAnsi="宋体" w:cs="宋体"/>
          <w:color w:val="auto"/>
          <w:szCs w:val="21"/>
          <w:highlight w:val="none"/>
        </w:rPr>
        <w:t>实行在线电子投标，投标人应先安装“</w:t>
      </w:r>
      <w:r>
        <w:rPr>
          <w:rFonts w:hint="eastAsia" w:ascii="宋体" w:hAnsi="宋体" w:cs="宋体"/>
          <w:color w:val="auto"/>
          <w:highlight w:val="none"/>
        </w:rPr>
        <w:t>广西政府采购云平台</w:t>
      </w:r>
      <w:r>
        <w:rPr>
          <w:rFonts w:hint="eastAsia" w:ascii="宋体" w:hAnsi="宋体" w:cs="宋体"/>
          <w:color w:val="auto"/>
          <w:szCs w:val="21"/>
          <w:highlight w:val="none"/>
        </w:rPr>
        <w:t>电子投标客户端”（请自行前往“</w:t>
      </w:r>
      <w:r>
        <w:rPr>
          <w:rFonts w:hint="eastAsia" w:ascii="宋体" w:hAnsi="宋体" w:cs="宋体"/>
          <w:color w:val="auto"/>
          <w:highlight w:val="none"/>
        </w:rPr>
        <w:t>广西政府采购云平台</w:t>
      </w:r>
      <w:r>
        <w:rPr>
          <w:rFonts w:hint="eastAsia" w:ascii="宋体" w:hAnsi="宋体" w:cs="宋体"/>
          <w:color w:val="auto"/>
          <w:szCs w:val="21"/>
          <w:highlight w:val="none"/>
        </w:rPr>
        <w:t>”进行下载），并按照本项目招标文件和“</w:t>
      </w:r>
      <w:r>
        <w:rPr>
          <w:rFonts w:hint="eastAsia" w:ascii="宋体" w:hAnsi="宋体" w:cs="宋体"/>
          <w:color w:val="auto"/>
          <w:highlight w:val="none"/>
        </w:rPr>
        <w:t>广西政府采购云平台</w:t>
      </w:r>
      <w:r>
        <w:rPr>
          <w:rFonts w:hint="eastAsia" w:ascii="宋体" w:hAnsi="宋体" w:cs="宋体"/>
          <w:color w:val="auto"/>
          <w:szCs w:val="21"/>
          <w:highlight w:val="none"/>
        </w:rPr>
        <w:t>”的要求编制、加密后在投标截止时间前通过网络上传至 “</w:t>
      </w:r>
      <w:r>
        <w:rPr>
          <w:rFonts w:hint="eastAsia" w:ascii="宋体" w:hAnsi="宋体" w:cs="宋体"/>
          <w:color w:val="auto"/>
          <w:highlight w:val="none"/>
        </w:rPr>
        <w:t>广西政府采购云平台</w:t>
      </w:r>
      <w:r>
        <w:rPr>
          <w:rFonts w:hint="eastAsia" w:ascii="宋体" w:hAnsi="宋体" w:cs="宋体"/>
          <w:color w:val="auto"/>
          <w:szCs w:val="21"/>
          <w:highlight w:val="none"/>
        </w:rPr>
        <w:t>”（加密的电子投标文件是指</w:t>
      </w:r>
      <w:r>
        <w:rPr>
          <w:rFonts w:hint="eastAsia" w:ascii="宋体" w:hAnsi="宋体" w:cs="宋体"/>
          <w:color w:val="auto"/>
          <w:highlight w:val="none"/>
        </w:rPr>
        <w:t>后缀名为“jmbs”的文件</w:t>
      </w:r>
      <w:r>
        <w:rPr>
          <w:rFonts w:hint="eastAsia" w:ascii="宋体" w:hAnsi="宋体" w:cs="宋体"/>
          <w:color w:val="auto"/>
          <w:szCs w:val="21"/>
          <w:highlight w:val="none"/>
        </w:rPr>
        <w:t>），</w:t>
      </w:r>
      <w:r>
        <w:rPr>
          <w:rFonts w:hint="eastAsia" w:ascii="宋体" w:hAnsi="宋体" w:cs="宋体"/>
          <w:b/>
          <w:color w:val="auto"/>
          <w:szCs w:val="21"/>
          <w:highlight w:val="none"/>
        </w:rPr>
        <w:t>投标人在</w:t>
      </w:r>
      <w:r>
        <w:rPr>
          <w:rFonts w:hint="eastAsia" w:ascii="宋体" w:hAnsi="宋体" w:cs="宋体"/>
          <w:color w:val="auto"/>
          <w:szCs w:val="21"/>
          <w:highlight w:val="none"/>
        </w:rPr>
        <w:t>“</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b/>
          <w:color w:val="auto"/>
          <w:szCs w:val="21"/>
          <w:highlight w:val="none"/>
        </w:rPr>
        <w:t>提交电子投标文件时，请填写参加远程开标活动经办人联系方式。</w:t>
      </w:r>
      <w:r>
        <w:rPr>
          <w:rFonts w:hint="eastAsia" w:ascii="宋体" w:hAnsi="宋体" w:cs="宋体"/>
          <w:color w:val="auto"/>
          <w:szCs w:val="21"/>
          <w:highlight w:val="none"/>
        </w:rPr>
        <w:t>投标人登录“</w:t>
      </w:r>
      <w:r>
        <w:rPr>
          <w:rFonts w:hint="eastAsia" w:ascii="宋体" w:hAnsi="宋体" w:cs="宋体"/>
          <w:color w:val="auto"/>
          <w:highlight w:val="none"/>
        </w:rPr>
        <w:t>广西政府采购云平台</w:t>
      </w:r>
      <w:r>
        <w:rPr>
          <w:rFonts w:hint="eastAsia" w:ascii="宋体" w:hAnsi="宋体" w:cs="宋体"/>
          <w:color w:val="auto"/>
          <w:szCs w:val="21"/>
          <w:highlight w:val="none"/>
        </w:rPr>
        <w:t>”，依次进入“服务中心-项目采购-操作流程-电子招投标-</w:t>
      </w:r>
      <w:r>
        <w:rPr>
          <w:rFonts w:hint="eastAsia" w:ascii="宋体" w:hAnsi="宋体" w:cs="宋体"/>
          <w:color w:val="auto"/>
          <w:highlight w:val="none"/>
        </w:rPr>
        <w:t>政府采购项目电子交易管理操作指南-供应商</w:t>
      </w:r>
      <w:r>
        <w:rPr>
          <w:rFonts w:hint="eastAsia" w:ascii="宋体" w:hAnsi="宋体" w:cs="宋体"/>
          <w:color w:val="auto"/>
          <w:szCs w:val="21"/>
          <w:highlight w:val="none"/>
        </w:rPr>
        <w:t>”查看电子投标具体操作流程。</w:t>
      </w:r>
    </w:p>
    <w:p w14:paraId="18404003">
      <w:pPr>
        <w:widowControl/>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color w:val="auto"/>
          <w:kern w:val="0"/>
          <w:szCs w:val="21"/>
          <w:highlight w:val="none"/>
        </w:rPr>
        <w:t>，</w:t>
      </w:r>
      <w:r>
        <w:rPr>
          <w:rFonts w:hint="eastAsia" w:ascii="宋体" w:hAnsi="宋体" w:cs="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w:t>
      </w:r>
      <w:r>
        <w:rPr>
          <w:rFonts w:hint="eastAsia" w:ascii="宋体" w:hAnsi="宋体" w:cs="宋体"/>
          <w:color w:val="auto"/>
          <w:szCs w:val="21"/>
          <w:highlight w:val="none"/>
        </w:rPr>
        <w:t>“</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bCs/>
          <w:color w:val="auto"/>
          <w:kern w:val="0"/>
          <w:szCs w:val="21"/>
          <w:highlight w:val="none"/>
        </w:rPr>
        <w:t>客服热线：95763</w:t>
      </w:r>
      <w:r>
        <w:rPr>
          <w:rFonts w:hint="eastAsia" w:ascii="宋体" w:hAnsi="宋体"/>
          <w:bCs/>
          <w:color w:val="auto"/>
          <w:highlight w:val="none"/>
        </w:rPr>
        <w:t>或者0771-3381253</w:t>
      </w:r>
      <w:r>
        <w:rPr>
          <w:rFonts w:hint="eastAsia" w:ascii="宋体" w:hAnsi="宋体" w:cs="宋体"/>
          <w:color w:val="auto"/>
          <w:szCs w:val="21"/>
          <w:highlight w:val="none"/>
        </w:rPr>
        <w:t>）。</w:t>
      </w:r>
    </w:p>
    <w:p w14:paraId="6D118836">
      <w:pPr>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s="宋体"/>
          <w:color w:val="auto"/>
          <w:szCs w:val="21"/>
          <w:highlight w:val="none"/>
        </w:rPr>
        <w:t>“</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color w:val="auto"/>
          <w:kern w:val="0"/>
          <w:szCs w:val="21"/>
          <w:highlight w:val="none"/>
        </w:rPr>
        <w:t>电子开标大厅现场按规定时间对加密的投标文件进行解密，否则后果自负。</w:t>
      </w:r>
    </w:p>
    <w:p w14:paraId="4CA8FAF1">
      <w:pPr>
        <w:widowControl/>
        <w:spacing w:line="38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止未完成上传、提交的，视为撤回投标文件。投标截止时间以后上传递交的投标文件，</w:t>
      </w:r>
      <w:r>
        <w:rPr>
          <w:rFonts w:hint="eastAsia" w:ascii="宋体" w:hAnsi="宋体" w:cs="宋体"/>
          <w:color w:val="auto"/>
          <w:szCs w:val="21"/>
          <w:highlight w:val="none"/>
        </w:rPr>
        <w:t>“</w:t>
      </w:r>
      <w:r>
        <w:rPr>
          <w:rFonts w:hint="eastAsia" w:ascii="宋体" w:hAnsi="宋体" w:cs="宋体"/>
          <w:bCs/>
          <w:color w:val="auto"/>
          <w:kern w:val="0"/>
          <w:szCs w:val="21"/>
          <w:highlight w:val="none"/>
        </w:rPr>
        <w:t>政府采购云平台</w:t>
      </w:r>
      <w:r>
        <w:rPr>
          <w:rFonts w:hint="eastAsia" w:ascii="宋体" w:hAnsi="宋体" w:cs="宋体"/>
          <w:color w:val="auto"/>
          <w:szCs w:val="21"/>
          <w:highlight w:val="none"/>
        </w:rPr>
        <w:t>”</w:t>
      </w:r>
      <w:r>
        <w:rPr>
          <w:rFonts w:hint="eastAsia" w:ascii="宋体" w:hAnsi="宋体" w:cs="宋体"/>
          <w:bCs/>
          <w:color w:val="auto"/>
          <w:szCs w:val="21"/>
          <w:highlight w:val="none"/>
        </w:rPr>
        <w:t>将予以拒收。</w:t>
      </w:r>
    </w:p>
    <w:p w14:paraId="25EC1DBD">
      <w:pPr>
        <w:widowControl/>
        <w:spacing w:line="38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14:paraId="3050159B">
      <w:pPr>
        <w:widowControl/>
        <w:spacing w:line="38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bCs/>
          <w:color w:val="auto"/>
          <w:highlight w:val="none"/>
        </w:rPr>
        <w:t>本项目采购代理服务费按招标文件“投标人须知”第39条规定收取，</w:t>
      </w:r>
      <w:r>
        <w:rPr>
          <w:rFonts w:hint="eastAsia" w:ascii="宋体" w:hAnsi="宋体"/>
          <w:color w:val="auto"/>
          <w:highlight w:val="none"/>
        </w:rPr>
        <w:t>中标通知书发出之日起5个工作日内，中标人向采购代理机构一次性付清采购代理服务费</w:t>
      </w:r>
      <w:r>
        <w:rPr>
          <w:rFonts w:hint="eastAsia" w:ascii="宋体" w:hAnsi="宋体"/>
          <w:bCs/>
          <w:color w:val="auto"/>
          <w:highlight w:val="none"/>
        </w:rPr>
        <w:t>。</w:t>
      </w:r>
    </w:p>
    <w:p w14:paraId="0A63E891">
      <w:pPr>
        <w:spacing w:line="38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33"/>
      <w:bookmarkEnd w:id="34"/>
      <w:bookmarkEnd w:id="35"/>
      <w:bookmarkEnd w:id="36"/>
    </w:p>
    <w:p w14:paraId="098EFF6F">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16CB2090">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名称：桂林医学院附属医院</w:t>
      </w:r>
    </w:p>
    <w:p w14:paraId="354D1FB8">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地址：广西桂林市秀峰区乐群路15号　</w:t>
      </w:r>
    </w:p>
    <w:p w14:paraId="3815A1E8">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联系方式：唐主任0773-2802050</w:t>
      </w:r>
    </w:p>
    <w:p w14:paraId="53B8C890">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6525AF8D">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名称：云之龙咨询集团有限公司</w:t>
      </w:r>
    </w:p>
    <w:p w14:paraId="5484A050">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地址：广西桂林市临桂区西城北路2号耀辉•美好家园2幢12层1号房</w:t>
      </w:r>
    </w:p>
    <w:p w14:paraId="6777009F">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联系方式：0773-2887388  2887399  传真：0773-2889218</w:t>
      </w:r>
    </w:p>
    <w:p w14:paraId="7852646A">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3.项目联系方式</w:t>
      </w:r>
    </w:p>
    <w:p w14:paraId="0CF68B27">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项目联系人：吕雯</w:t>
      </w:r>
    </w:p>
    <w:p w14:paraId="7FB2EC63">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电话：0773-2887388  2887399</w:t>
      </w:r>
    </w:p>
    <w:p w14:paraId="53C1D966">
      <w:pPr>
        <w:spacing w:line="380" w:lineRule="exact"/>
        <w:ind w:firstLine="567" w:firstLineChars="270"/>
        <w:jc w:val="left"/>
        <w:rPr>
          <w:rFonts w:ascii="宋体" w:hAnsi="宋体" w:cs="宋体"/>
          <w:color w:val="auto"/>
          <w:szCs w:val="21"/>
          <w:highlight w:val="none"/>
        </w:rPr>
      </w:pPr>
    </w:p>
    <w:p w14:paraId="37700B0C">
      <w:pPr>
        <w:pStyle w:val="20"/>
        <w:rPr>
          <w:rFonts w:ascii="宋体" w:hAnsi="宋体" w:cs="宋体"/>
          <w:color w:val="auto"/>
          <w:szCs w:val="21"/>
          <w:highlight w:val="none"/>
        </w:rPr>
      </w:pPr>
      <w:bookmarkStart w:id="37" w:name="_Toc143259162"/>
      <w:bookmarkStart w:id="38" w:name="_Toc74320801"/>
    </w:p>
    <w:p w14:paraId="2F35E35F">
      <w:pPr>
        <w:pStyle w:val="20"/>
        <w:rPr>
          <w:rFonts w:ascii="宋体" w:hAnsi="宋体" w:cs="宋体"/>
          <w:color w:val="auto"/>
          <w:szCs w:val="21"/>
          <w:highlight w:val="none"/>
        </w:rPr>
      </w:pPr>
    </w:p>
    <w:p w14:paraId="471DBDB9">
      <w:pPr>
        <w:pStyle w:val="20"/>
        <w:rPr>
          <w:rFonts w:ascii="宋体" w:hAnsi="宋体" w:cs="宋体"/>
          <w:color w:val="auto"/>
          <w:szCs w:val="21"/>
          <w:highlight w:val="none"/>
        </w:rPr>
      </w:pPr>
    </w:p>
    <w:p w14:paraId="27453794">
      <w:pPr>
        <w:pStyle w:val="20"/>
        <w:rPr>
          <w:rFonts w:ascii="宋体" w:hAnsi="宋体" w:cs="宋体"/>
          <w:color w:val="auto"/>
          <w:szCs w:val="21"/>
          <w:highlight w:val="none"/>
        </w:rPr>
      </w:pPr>
    </w:p>
    <w:p w14:paraId="622E65E1">
      <w:pPr>
        <w:pStyle w:val="4"/>
        <w:spacing w:after="0"/>
        <w:jc w:val="center"/>
        <w:rPr>
          <w:rFonts w:ascii="宋体" w:hAnsi="宋体" w:cs="宋体"/>
          <w:color w:val="auto"/>
          <w:highlight w:val="none"/>
        </w:rPr>
      </w:pPr>
      <w:r>
        <w:rPr>
          <w:rFonts w:hint="eastAsia" w:ascii="宋体" w:hAnsi="宋体" w:cs="宋体"/>
          <w:color w:val="auto"/>
          <w:highlight w:val="none"/>
        </w:rPr>
        <w:t>第二章 采购需求</w:t>
      </w:r>
      <w:bookmarkEnd w:id="37"/>
      <w:bookmarkEnd w:id="38"/>
    </w:p>
    <w:p w14:paraId="02D4E742">
      <w:pPr>
        <w:spacing w:line="380" w:lineRule="exact"/>
        <w:ind w:firstLine="422" w:firstLineChars="200"/>
        <w:jc w:val="left"/>
        <w:rPr>
          <w:rFonts w:ascii="宋体" w:hAnsi="宋体" w:cs="宋体"/>
          <w:b/>
          <w:color w:val="auto"/>
          <w:highlight w:val="none"/>
        </w:rPr>
      </w:pPr>
      <w:bookmarkStart w:id="39" w:name="_Toc254970631"/>
      <w:bookmarkStart w:id="40" w:name="_Toc254970490"/>
      <w:r>
        <w:rPr>
          <w:rFonts w:hint="eastAsia" w:ascii="宋体" w:hAnsi="宋体" w:cs="宋体"/>
          <w:b/>
          <w:color w:val="auto"/>
          <w:highlight w:val="none"/>
        </w:rPr>
        <w:t>Ⅰ.说明：</w:t>
      </w:r>
    </w:p>
    <w:p w14:paraId="413D51C4">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1.为落实政府采购政策需满足的要求</w:t>
      </w:r>
    </w:p>
    <w:p w14:paraId="514A8C28">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（1）本招标文件所称中小企业必须符合《政府采购促进中小企业发展管理办法》（财库〔2020〕46号）的规定，本章后附的《中小企业划型标准规定》。</w:t>
      </w:r>
    </w:p>
    <w:p w14:paraId="2DF83EF6">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2）根据财政部、司法部关于政府采购支持监狱企业发展有关问题的通知（财库[2014]68号），监狱企业视同小型、微型企业，享受预留份额、评审中价格扣除等政府采购政策。监狱企业属于小型、微型企业的，不重复享受政策。</w:t>
      </w:r>
    </w:p>
    <w:p w14:paraId="03D3048C">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0F626B99">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（4）根据《财政部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否则按无效投标处理。如本项目包含的货物属于品目清单内非标注“★”的产品时，应优先采购，具体详见“第四章 评标方法及评标标准”。</w:t>
      </w:r>
    </w:p>
    <w:p w14:paraId="4281976A">
      <w:pPr>
        <w:spacing w:line="370" w:lineRule="exact"/>
        <w:ind w:firstLine="422" w:firstLineChars="200"/>
        <w:jc w:val="left"/>
        <w:rPr>
          <w:rFonts w:ascii="宋体" w:hAnsi="宋体" w:cs="宋体"/>
          <w:b/>
          <w:color w:val="auto"/>
          <w:highlight w:val="none"/>
        </w:rPr>
      </w:pPr>
      <w:bookmarkStart w:id="41" w:name="_Hlk65055179"/>
      <w:r>
        <w:rPr>
          <w:rFonts w:hint="eastAsia" w:ascii="宋体" w:hAnsi="宋体" w:cs="宋体"/>
          <w:b/>
          <w:color w:val="auto"/>
          <w:highlight w:val="none"/>
        </w:rPr>
        <w:t>2.“实质性要求”是指招标文件中已经指明不满足则投标无效的条款，或者不能负偏离的条款，或者采购需求中带“▲”的条款。投标人不满足实质性要求的，按投标无效处理。“采购需求”的“技术要求”中未标注“▲”号项的技术参数负偏离≥3项时，按投标无效处理。</w:t>
      </w:r>
    </w:p>
    <w:p w14:paraId="5CCA5FB4">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bookmarkEnd w:id="41"/>
    </w:p>
    <w:p w14:paraId="2101E61C">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4.投标人应根据自身实际情况如实响应招标文件，对招标文件提出的要求和条件作出明确响应。对于招标文件中要求技术参数应当在投标文件中提供技术支持资料的，技术支持资料以招标文件中规定的形式为准，否则将视为无效技术支持资料。</w:t>
      </w:r>
    </w:p>
    <w:p w14:paraId="33F070D3">
      <w:pPr>
        <w:spacing w:line="370" w:lineRule="exact"/>
        <w:ind w:firstLine="420" w:firstLineChars="200"/>
        <w:jc w:val="left"/>
        <w:rPr>
          <w:rFonts w:ascii="宋体" w:hAnsi="宋体" w:cs="宋体"/>
          <w:b/>
          <w:color w:val="auto"/>
          <w:highlight w:val="none"/>
        </w:rPr>
      </w:pPr>
      <w:r>
        <w:rPr>
          <w:rFonts w:hint="eastAsia" w:ascii="宋体" w:hAnsi="宋体" w:cs="宋体"/>
          <w:color w:val="auto"/>
          <w:highlight w:val="none"/>
        </w:rPr>
        <w:t>5.投标人必须自行为其投标产品侵犯他人的知识产权或者专利成果的行为承担相应法律责任。</w:t>
      </w:r>
    </w:p>
    <w:p w14:paraId="42B78E80">
      <w:pPr>
        <w:spacing w:line="380" w:lineRule="exact"/>
        <w:ind w:firstLine="310" w:firstLineChars="147"/>
        <w:jc w:val="left"/>
        <w:rPr>
          <w:rFonts w:ascii="宋体" w:hAnsi="宋体" w:cs="宋体"/>
          <w:b/>
          <w:color w:val="auto"/>
          <w:highlight w:val="none"/>
        </w:rPr>
      </w:pPr>
      <w:r>
        <w:rPr>
          <w:rFonts w:hint="eastAsia" w:ascii="宋体" w:hAnsi="宋体" w:cs="宋体"/>
          <w:b/>
          <w:color w:val="auto"/>
          <w:highlight w:val="none"/>
        </w:rPr>
        <w:t>Ⅱ.采购需求一览表</w:t>
      </w:r>
    </w:p>
    <w:p w14:paraId="6EFD60DF">
      <w:pPr>
        <w:spacing w:line="380" w:lineRule="exact"/>
        <w:ind w:firstLine="310" w:firstLineChars="147"/>
        <w:jc w:val="left"/>
        <w:rPr>
          <w:rFonts w:ascii="宋体" w:hAnsi="宋体" w:cs="宋体"/>
          <w:b/>
          <w:color w:val="auto"/>
          <w:highlight w:val="none"/>
        </w:rPr>
      </w:pPr>
    </w:p>
    <w:bookmarkEnd w:id="39"/>
    <w:bookmarkEnd w:id="40"/>
    <w:tbl>
      <w:tblPr>
        <w:tblStyle w:val="47"/>
        <w:tblW w:w="52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4"/>
        <w:gridCol w:w="849"/>
        <w:gridCol w:w="712"/>
        <w:gridCol w:w="801"/>
        <w:gridCol w:w="4799"/>
      </w:tblGrid>
      <w:tr w14:paraId="5FD18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5000" w:type="pct"/>
            <w:gridSpan w:val="5"/>
            <w:vAlign w:val="center"/>
          </w:tcPr>
          <w:p w14:paraId="40989851">
            <w:pPr>
              <w:tabs>
                <w:tab w:val="left" w:pos="180"/>
                <w:tab w:val="left" w:pos="1620"/>
              </w:tabs>
              <w:adjustRightInd w:val="0"/>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一、采购标的及技术需求</w:t>
            </w:r>
          </w:p>
        </w:tc>
      </w:tr>
      <w:tr w14:paraId="30D95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110" w:type="pct"/>
            <w:tcBorders>
              <w:right w:val="single" w:color="auto" w:sz="4" w:space="0"/>
            </w:tcBorders>
            <w:vAlign w:val="center"/>
          </w:tcPr>
          <w:p w14:paraId="58BEE61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461" w:type="pct"/>
            <w:tcBorders>
              <w:left w:val="single" w:color="auto" w:sz="4" w:space="0"/>
            </w:tcBorders>
            <w:vAlign w:val="center"/>
          </w:tcPr>
          <w:p w14:paraId="31D61F13">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386" w:type="pct"/>
            <w:vAlign w:val="center"/>
          </w:tcPr>
          <w:p w14:paraId="6D6CA864">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435" w:type="pct"/>
            <w:vAlign w:val="center"/>
          </w:tcPr>
          <w:p w14:paraId="7D28400F">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2606" w:type="pct"/>
            <w:vAlign w:val="center"/>
          </w:tcPr>
          <w:p w14:paraId="6090B682">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54A90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110" w:type="pct"/>
            <w:tcBorders>
              <w:bottom w:val="single" w:color="auto" w:sz="4" w:space="0"/>
              <w:right w:val="single" w:color="auto" w:sz="4" w:space="0"/>
            </w:tcBorders>
            <w:vAlign w:val="center"/>
          </w:tcPr>
          <w:p w14:paraId="7384967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color w:val="auto"/>
                <w:sz w:val="24"/>
                <w:highlight w:val="none"/>
              </w:rPr>
              <w:t>复合式冷热消融系统</w:t>
            </w:r>
          </w:p>
        </w:tc>
        <w:tc>
          <w:tcPr>
            <w:tcW w:w="461" w:type="pct"/>
            <w:tcBorders>
              <w:left w:val="single" w:color="auto" w:sz="4" w:space="0"/>
            </w:tcBorders>
            <w:vAlign w:val="center"/>
          </w:tcPr>
          <w:p w14:paraId="25F945A5">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86" w:type="pct"/>
            <w:vAlign w:val="center"/>
          </w:tcPr>
          <w:p w14:paraId="5772C1E2">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435" w:type="pct"/>
            <w:tcBorders>
              <w:bottom w:val="single" w:color="auto" w:sz="4" w:space="0"/>
            </w:tcBorders>
            <w:vAlign w:val="center"/>
          </w:tcPr>
          <w:p w14:paraId="70EA189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2606" w:type="pct"/>
            <w:vAlign w:val="center"/>
          </w:tcPr>
          <w:p w14:paraId="5E04FD16">
            <w:pPr>
              <w:spacing w:line="360" w:lineRule="exact"/>
              <w:jc w:val="left"/>
              <w:rPr>
                <w:rFonts w:ascii="宋体" w:hAnsi="宋体" w:cs="宋体"/>
                <w:bCs/>
                <w:color w:val="auto"/>
                <w:highlight w:val="none"/>
              </w:rPr>
            </w:pPr>
            <w:r>
              <w:rPr>
                <w:rFonts w:hint="eastAsia" w:ascii="宋体" w:hAnsi="宋体" w:cs="宋体"/>
                <w:bCs/>
                <w:color w:val="auto"/>
                <w:highlight w:val="none"/>
              </w:rPr>
              <w:t>1.计算机测量、控制、显示系统</w:t>
            </w:r>
          </w:p>
          <w:p w14:paraId="5B07A54C">
            <w:pPr>
              <w:spacing w:line="360" w:lineRule="exact"/>
              <w:jc w:val="left"/>
              <w:rPr>
                <w:rFonts w:ascii="宋体" w:hAnsi="宋体" w:cs="宋体"/>
                <w:bCs/>
                <w:color w:val="auto"/>
                <w:highlight w:val="none"/>
              </w:rPr>
            </w:pPr>
            <w:r>
              <w:rPr>
                <w:rFonts w:hint="eastAsia" w:ascii="宋体" w:hAnsi="宋体" w:cs="宋体"/>
                <w:bCs/>
                <w:color w:val="auto"/>
                <w:highlight w:val="none"/>
              </w:rPr>
              <w:t>1.1产品具有内置计算机系统, 其软件界面用于控制消融针和监控系统的性能。</w:t>
            </w:r>
          </w:p>
          <w:p w14:paraId="4CE7F84F">
            <w:pPr>
              <w:spacing w:line="360" w:lineRule="exact"/>
              <w:jc w:val="left"/>
              <w:rPr>
                <w:rFonts w:ascii="宋体" w:hAnsi="宋体" w:cs="宋体"/>
                <w:bCs/>
                <w:color w:val="auto"/>
                <w:highlight w:val="none"/>
              </w:rPr>
            </w:pPr>
            <w:r>
              <w:rPr>
                <w:rFonts w:hint="eastAsia" w:ascii="宋体" w:hAnsi="宋体" w:cs="宋体"/>
                <w:bCs/>
                <w:color w:val="auto"/>
                <w:highlight w:val="none"/>
              </w:rPr>
              <w:t>1.2产品内置的控制系统可以独立控制每个消融针，可以单冷、单热或冷热交替进行，能达到冷冻消融或复温的目的。</w:t>
            </w:r>
          </w:p>
          <w:p w14:paraId="2DAA6DF2">
            <w:pPr>
              <w:spacing w:line="360" w:lineRule="exact"/>
              <w:jc w:val="left"/>
              <w:rPr>
                <w:rFonts w:ascii="宋体" w:hAnsi="宋体" w:cs="宋体"/>
                <w:bCs/>
                <w:color w:val="auto"/>
                <w:highlight w:val="none"/>
              </w:rPr>
            </w:pPr>
            <w:r>
              <w:rPr>
                <w:rFonts w:hint="eastAsia" w:ascii="宋体" w:hAnsi="宋体" w:cs="宋体"/>
                <w:bCs/>
                <w:color w:val="auto"/>
                <w:highlight w:val="none"/>
              </w:rPr>
              <w:t>1.3产品软件控制工作介质从冷、热罐通过管路到消融针。</w:t>
            </w:r>
          </w:p>
          <w:p w14:paraId="1901AC2C">
            <w:pPr>
              <w:spacing w:line="360" w:lineRule="exact"/>
              <w:jc w:val="left"/>
              <w:rPr>
                <w:rFonts w:ascii="宋体" w:hAnsi="宋体" w:cs="宋体"/>
                <w:bCs/>
                <w:color w:val="auto"/>
                <w:highlight w:val="none"/>
              </w:rPr>
            </w:pPr>
            <w:r>
              <w:rPr>
                <w:rFonts w:hint="eastAsia" w:ascii="宋体" w:hAnsi="宋体" w:cs="宋体"/>
                <w:bCs/>
                <w:color w:val="auto"/>
                <w:highlight w:val="none"/>
              </w:rPr>
              <w:t>1.4操控系统：有物理按键或者触摸显示器。</w:t>
            </w:r>
          </w:p>
          <w:p w14:paraId="2544BF25">
            <w:pPr>
              <w:spacing w:line="360" w:lineRule="exact"/>
              <w:jc w:val="left"/>
              <w:rPr>
                <w:rFonts w:ascii="宋体" w:hAnsi="宋体" w:cs="宋体"/>
                <w:bCs/>
                <w:color w:val="auto"/>
                <w:highlight w:val="none"/>
              </w:rPr>
            </w:pPr>
            <w:r>
              <w:rPr>
                <w:rFonts w:hint="eastAsia" w:ascii="宋体" w:hAnsi="宋体" w:cs="宋体"/>
                <w:bCs/>
                <w:color w:val="auto"/>
                <w:highlight w:val="none"/>
              </w:rPr>
              <w:t>1.5具有≤2个输出通道。</w:t>
            </w:r>
          </w:p>
          <w:p w14:paraId="711811DB">
            <w:pPr>
              <w:spacing w:line="360" w:lineRule="exact"/>
              <w:jc w:val="left"/>
              <w:rPr>
                <w:rFonts w:ascii="宋体" w:hAnsi="宋体" w:cs="宋体"/>
                <w:bCs/>
                <w:color w:val="auto"/>
                <w:highlight w:val="none"/>
              </w:rPr>
            </w:pPr>
            <w:r>
              <w:rPr>
                <w:rFonts w:hint="eastAsia" w:ascii="宋体" w:hAnsi="宋体" w:cs="宋体"/>
                <w:bCs/>
                <w:color w:val="auto"/>
                <w:highlight w:val="none"/>
              </w:rPr>
              <w:t>1.6具备多种登录方式：具备</w:t>
            </w:r>
            <w:r>
              <w:rPr>
                <w:rFonts w:ascii="宋体" w:hAnsi="宋体" w:cs="宋体"/>
                <w:bCs/>
                <w:color w:val="auto"/>
                <w:highlight w:val="none"/>
              </w:rPr>
              <w:t>密码登录模式</w:t>
            </w:r>
            <w:r>
              <w:rPr>
                <w:rFonts w:hint="eastAsia" w:ascii="宋体" w:hAnsi="宋体" w:cs="宋体"/>
                <w:bCs/>
                <w:color w:val="auto"/>
                <w:highlight w:val="none"/>
              </w:rPr>
              <w:t>或RFI</w:t>
            </w:r>
            <w:r>
              <w:rPr>
                <w:rFonts w:ascii="宋体" w:hAnsi="宋体" w:cs="宋体"/>
                <w:bCs/>
                <w:color w:val="auto"/>
                <w:highlight w:val="none"/>
              </w:rPr>
              <w:t>D登录模式</w:t>
            </w:r>
            <w:r>
              <w:rPr>
                <w:rFonts w:hint="eastAsia" w:ascii="宋体" w:hAnsi="宋体" w:cs="宋体"/>
                <w:bCs/>
                <w:color w:val="auto"/>
                <w:highlight w:val="none"/>
              </w:rPr>
              <w:t>。</w:t>
            </w:r>
          </w:p>
          <w:p w14:paraId="116E4AEA">
            <w:pPr>
              <w:spacing w:line="360" w:lineRule="exact"/>
              <w:jc w:val="left"/>
              <w:rPr>
                <w:rFonts w:ascii="宋体" w:hAnsi="宋体" w:cs="宋体"/>
                <w:bCs/>
                <w:color w:val="auto"/>
                <w:highlight w:val="none"/>
              </w:rPr>
            </w:pPr>
            <w:r>
              <w:rPr>
                <w:rFonts w:hint="eastAsia" w:ascii="宋体" w:hAnsi="宋体" w:cs="宋体"/>
                <w:bCs/>
                <w:color w:val="auto"/>
                <w:highlight w:val="none"/>
              </w:rPr>
              <w:t>1.7输送管一体化设计，输送液冷、热工质的进流与回流管一体化集成设计到探针输送管内部，在超低温和高温输出时，可以减少能量损耗，提高制冷与加热效果。</w:t>
            </w:r>
          </w:p>
          <w:p w14:paraId="5738EE29">
            <w:pPr>
              <w:spacing w:line="360" w:lineRule="exact"/>
              <w:jc w:val="left"/>
              <w:rPr>
                <w:rFonts w:ascii="宋体" w:hAnsi="宋体" w:cs="宋体"/>
                <w:bCs/>
                <w:color w:val="auto"/>
                <w:highlight w:val="none"/>
              </w:rPr>
            </w:pPr>
            <w:r>
              <w:rPr>
                <w:rFonts w:hint="eastAsia" w:ascii="宋体" w:hAnsi="宋体" w:cs="宋体"/>
                <w:bCs/>
                <w:color w:val="auto"/>
                <w:highlight w:val="none"/>
              </w:rPr>
              <w:t>1.8连接方式：拥有常规连接。</w:t>
            </w:r>
          </w:p>
          <w:p w14:paraId="01D6D70C">
            <w:pPr>
              <w:spacing w:line="360" w:lineRule="exact"/>
              <w:jc w:val="left"/>
              <w:rPr>
                <w:rFonts w:ascii="宋体" w:hAnsi="宋体" w:cs="宋体"/>
                <w:bCs/>
                <w:color w:val="auto"/>
                <w:highlight w:val="none"/>
              </w:rPr>
            </w:pPr>
            <w:r>
              <w:rPr>
                <w:rFonts w:hint="eastAsia" w:ascii="宋体" w:hAnsi="宋体" w:cs="宋体"/>
                <w:bCs/>
                <w:color w:val="auto"/>
                <w:highlight w:val="none"/>
              </w:rPr>
              <w:t>1.9具有自动灌注功能。</w:t>
            </w:r>
          </w:p>
          <w:p w14:paraId="29DE5CD4">
            <w:pPr>
              <w:spacing w:line="360" w:lineRule="exact"/>
              <w:jc w:val="left"/>
              <w:rPr>
                <w:rFonts w:ascii="宋体" w:hAnsi="宋体" w:cs="宋体"/>
                <w:bCs/>
                <w:color w:val="auto"/>
                <w:highlight w:val="none"/>
              </w:rPr>
            </w:pPr>
            <w:r>
              <w:rPr>
                <w:rFonts w:hint="eastAsia" w:ascii="宋体" w:hAnsi="宋体" w:cs="宋体"/>
                <w:bCs/>
                <w:color w:val="auto"/>
                <w:highlight w:val="none"/>
              </w:rPr>
              <w:t>2.安全保护装置要求</w:t>
            </w:r>
          </w:p>
          <w:p w14:paraId="522519AC">
            <w:pPr>
              <w:spacing w:line="360" w:lineRule="exact"/>
              <w:jc w:val="left"/>
              <w:rPr>
                <w:rFonts w:ascii="宋体" w:hAnsi="宋体" w:cs="宋体"/>
                <w:bCs/>
                <w:color w:val="auto"/>
                <w:highlight w:val="none"/>
              </w:rPr>
            </w:pPr>
            <w:r>
              <w:rPr>
                <w:rFonts w:hint="eastAsia" w:ascii="宋体" w:hAnsi="宋体" w:cs="宋体"/>
                <w:bCs/>
                <w:color w:val="auto"/>
                <w:highlight w:val="none"/>
              </w:rPr>
              <w:t>2.1产品具有紧急停止键,用于产品的紧急停止，按下键能立刻关闭阀门停止工作介质输出,以保障安全。</w:t>
            </w:r>
          </w:p>
          <w:p w14:paraId="1D4A8E27">
            <w:pPr>
              <w:spacing w:line="360" w:lineRule="exact"/>
              <w:jc w:val="left"/>
              <w:rPr>
                <w:rFonts w:ascii="宋体" w:hAnsi="宋体" w:cs="宋体"/>
                <w:bCs/>
                <w:color w:val="auto"/>
                <w:highlight w:val="none"/>
              </w:rPr>
            </w:pPr>
            <w:r>
              <w:rPr>
                <w:rFonts w:hint="eastAsia" w:ascii="宋体" w:hAnsi="宋体" w:cs="宋体"/>
                <w:bCs/>
                <w:color w:val="auto"/>
                <w:highlight w:val="none"/>
              </w:rPr>
              <w:t>2.2具备报警系统。</w:t>
            </w:r>
          </w:p>
          <w:p w14:paraId="2F3F3A72">
            <w:pPr>
              <w:spacing w:line="360" w:lineRule="exact"/>
              <w:jc w:val="left"/>
              <w:rPr>
                <w:rFonts w:ascii="宋体" w:hAnsi="宋体" w:cs="宋体"/>
                <w:bCs/>
                <w:color w:val="auto"/>
                <w:highlight w:val="none"/>
              </w:rPr>
            </w:pPr>
            <w:r>
              <w:rPr>
                <w:rFonts w:hint="eastAsia" w:ascii="宋体" w:hAnsi="宋体" w:cs="宋体"/>
                <w:bCs/>
                <w:color w:val="auto"/>
                <w:highlight w:val="none"/>
              </w:rPr>
              <w:t>3.数据要求</w:t>
            </w:r>
          </w:p>
          <w:p w14:paraId="01ACBBFD">
            <w:pPr>
              <w:spacing w:line="360" w:lineRule="exact"/>
              <w:jc w:val="left"/>
              <w:rPr>
                <w:rFonts w:ascii="宋体" w:hAnsi="宋体" w:cs="宋体"/>
                <w:bCs/>
                <w:color w:val="auto"/>
                <w:highlight w:val="none"/>
              </w:rPr>
            </w:pPr>
            <w:r>
              <w:rPr>
                <w:rFonts w:hint="eastAsia" w:ascii="宋体" w:hAnsi="宋体" w:cs="宋体"/>
                <w:bCs/>
                <w:color w:val="auto"/>
                <w:highlight w:val="none"/>
              </w:rPr>
              <w:t>3.1可记录手术过程中的温度、时间。</w:t>
            </w:r>
          </w:p>
          <w:p w14:paraId="778C030A">
            <w:pPr>
              <w:spacing w:line="360" w:lineRule="exact"/>
              <w:jc w:val="left"/>
              <w:rPr>
                <w:rFonts w:ascii="宋体" w:hAnsi="宋体" w:cs="宋体"/>
                <w:bCs/>
                <w:color w:val="auto"/>
                <w:highlight w:val="none"/>
              </w:rPr>
            </w:pPr>
            <w:r>
              <w:rPr>
                <w:rFonts w:hint="eastAsia" w:ascii="宋体" w:hAnsi="宋体" w:cs="宋体"/>
                <w:bCs/>
                <w:color w:val="auto"/>
                <w:highlight w:val="none"/>
              </w:rPr>
              <w:t>3.2记录设备登录数据、操作数据、报警数据。</w:t>
            </w:r>
          </w:p>
          <w:p w14:paraId="3B413086">
            <w:pPr>
              <w:spacing w:line="360" w:lineRule="exact"/>
              <w:jc w:val="left"/>
              <w:rPr>
                <w:rFonts w:ascii="宋体" w:hAnsi="宋体" w:cs="宋体"/>
                <w:bCs/>
                <w:color w:val="auto"/>
                <w:highlight w:val="none"/>
              </w:rPr>
            </w:pPr>
            <w:r>
              <w:rPr>
                <w:rFonts w:hint="eastAsia" w:ascii="宋体" w:hAnsi="宋体" w:cs="宋体"/>
                <w:bCs/>
                <w:color w:val="auto"/>
                <w:highlight w:val="none"/>
              </w:rPr>
              <w:t>4.低温系统</w:t>
            </w:r>
          </w:p>
          <w:p w14:paraId="10D39F31">
            <w:pPr>
              <w:spacing w:line="360" w:lineRule="exact"/>
              <w:jc w:val="left"/>
              <w:rPr>
                <w:rFonts w:ascii="宋体" w:hAnsi="宋体" w:cs="宋体"/>
                <w:b/>
                <w:bCs/>
                <w:color w:val="auto"/>
                <w:highlight w:val="none"/>
              </w:rPr>
            </w:pPr>
            <w:r>
              <w:rPr>
                <w:rFonts w:hint="eastAsia" w:ascii="宋体" w:hAnsi="宋体" w:cs="宋体"/>
                <w:b/>
                <w:color w:val="auto"/>
                <w:highlight w:val="none"/>
              </w:rPr>
              <w:t>▲</w:t>
            </w:r>
            <w:r>
              <w:rPr>
                <w:rFonts w:hint="eastAsia" w:ascii="宋体" w:hAnsi="宋体" w:cs="宋体"/>
                <w:b/>
                <w:bCs/>
                <w:color w:val="auto"/>
                <w:highlight w:val="none"/>
              </w:rPr>
              <w:t>4.1使用液氮或二氧化碳或氧化亚氮等进行降温。</w:t>
            </w:r>
          </w:p>
          <w:p w14:paraId="51134AB5">
            <w:pPr>
              <w:spacing w:line="360" w:lineRule="exact"/>
              <w:jc w:val="left"/>
              <w:rPr>
                <w:rFonts w:ascii="宋体" w:hAnsi="宋体" w:cs="宋体"/>
                <w:bCs/>
                <w:color w:val="auto"/>
                <w:highlight w:val="none"/>
              </w:rPr>
            </w:pPr>
            <w:r>
              <w:rPr>
                <w:rFonts w:hint="eastAsia" w:ascii="宋体" w:hAnsi="宋体" w:cs="宋体"/>
                <w:bCs/>
                <w:color w:val="auto"/>
                <w:highlight w:val="none"/>
              </w:rPr>
              <w:t>4.2具备存储容器，且存贮器的容量至少可满足1台手术顺利完成。</w:t>
            </w:r>
          </w:p>
          <w:p w14:paraId="5465DC39">
            <w:pPr>
              <w:spacing w:line="360" w:lineRule="exact"/>
              <w:jc w:val="left"/>
              <w:rPr>
                <w:rFonts w:ascii="宋体" w:hAnsi="宋体" w:cs="宋体"/>
                <w:b/>
                <w:bCs/>
                <w:color w:val="auto"/>
                <w:highlight w:val="none"/>
              </w:rPr>
            </w:pPr>
            <w:r>
              <w:rPr>
                <w:rFonts w:hint="eastAsia" w:ascii="宋体" w:hAnsi="宋体" w:cs="宋体"/>
                <w:b/>
                <w:color w:val="auto"/>
                <w:highlight w:val="none"/>
              </w:rPr>
              <w:t>▲</w:t>
            </w:r>
            <w:r>
              <w:rPr>
                <w:rFonts w:hint="eastAsia" w:ascii="宋体" w:hAnsi="宋体" w:cs="宋体"/>
                <w:b/>
                <w:bCs/>
                <w:color w:val="auto"/>
                <w:highlight w:val="none"/>
              </w:rPr>
              <w:t>4.3工作压力需低压运行，最高工作压力需满足≤</w:t>
            </w:r>
            <w:r>
              <w:rPr>
                <w:rFonts w:hint="eastAsia" w:ascii="宋体" w:hAnsi="宋体" w:cs="宋体"/>
                <w:b/>
                <w:bCs/>
                <w:color w:val="auto"/>
                <w:highlight w:val="none"/>
                <w:lang w:val="en-US" w:eastAsia="zh-CN"/>
              </w:rPr>
              <w:t>3</w:t>
            </w:r>
            <w:r>
              <w:rPr>
                <w:rFonts w:hint="eastAsia" w:ascii="宋体" w:hAnsi="宋体" w:cs="宋体"/>
                <w:b/>
                <w:bCs/>
                <w:color w:val="auto"/>
                <w:highlight w:val="none"/>
              </w:rPr>
              <w:t>MPa。</w:t>
            </w:r>
          </w:p>
          <w:p w14:paraId="03EC7F74">
            <w:pPr>
              <w:spacing w:line="360" w:lineRule="exact"/>
              <w:jc w:val="left"/>
              <w:rPr>
                <w:rFonts w:ascii="宋体" w:hAnsi="宋体" w:cs="宋体"/>
                <w:bCs/>
                <w:color w:val="auto"/>
                <w:highlight w:val="none"/>
              </w:rPr>
            </w:pPr>
            <w:r>
              <w:rPr>
                <w:rFonts w:hint="eastAsia" w:ascii="宋体" w:hAnsi="宋体" w:cs="宋体"/>
                <w:bCs/>
                <w:color w:val="auto"/>
                <w:highlight w:val="none"/>
              </w:rPr>
              <w:t>4.4具有过压释放装置，当存贮器的压力较高时，可瞬时解除过压。</w:t>
            </w:r>
          </w:p>
          <w:p w14:paraId="487BE67D">
            <w:pPr>
              <w:spacing w:line="360" w:lineRule="exact"/>
              <w:jc w:val="left"/>
              <w:rPr>
                <w:rFonts w:ascii="宋体" w:hAnsi="宋体" w:cs="宋体"/>
                <w:b/>
                <w:bCs/>
                <w:color w:val="auto"/>
                <w:highlight w:val="none"/>
              </w:rPr>
            </w:pPr>
            <w:r>
              <w:rPr>
                <w:rFonts w:hint="eastAsia" w:ascii="宋体" w:hAnsi="宋体" w:cs="宋体"/>
                <w:b/>
                <w:color w:val="auto"/>
                <w:highlight w:val="none"/>
              </w:rPr>
              <w:t>▲</w:t>
            </w:r>
            <w:r>
              <w:rPr>
                <w:rFonts w:hint="eastAsia" w:ascii="宋体" w:hAnsi="宋体" w:cs="宋体"/>
                <w:b/>
                <w:bCs/>
                <w:color w:val="auto"/>
                <w:highlight w:val="none"/>
              </w:rPr>
              <w:t>4.5低温治疗时，最低温度基本要求≤-60℃。</w:t>
            </w:r>
          </w:p>
          <w:p w14:paraId="4ABE2034">
            <w:pPr>
              <w:spacing w:line="360" w:lineRule="exact"/>
              <w:jc w:val="left"/>
              <w:rPr>
                <w:rFonts w:ascii="宋体" w:hAnsi="宋体" w:cs="宋体"/>
                <w:bCs/>
                <w:color w:val="auto"/>
                <w:highlight w:val="none"/>
              </w:rPr>
            </w:pPr>
            <w:r>
              <w:rPr>
                <w:rFonts w:hint="eastAsia" w:ascii="宋体" w:hAnsi="宋体" w:cs="宋体"/>
                <w:bCs/>
                <w:color w:val="auto"/>
                <w:highlight w:val="none"/>
              </w:rPr>
              <w:t>5.复温系统</w:t>
            </w:r>
          </w:p>
          <w:p w14:paraId="2532B7FF">
            <w:pPr>
              <w:spacing w:line="360" w:lineRule="exact"/>
              <w:jc w:val="left"/>
              <w:rPr>
                <w:rFonts w:ascii="宋体" w:hAnsi="宋体" w:cs="宋体"/>
                <w:bCs/>
                <w:color w:val="auto"/>
                <w:highlight w:val="none"/>
              </w:rPr>
            </w:pPr>
            <w:r>
              <w:rPr>
                <w:rFonts w:hint="eastAsia" w:ascii="宋体" w:hAnsi="宋体" w:cs="宋体"/>
                <w:bCs/>
                <w:color w:val="auto"/>
                <w:highlight w:val="none"/>
              </w:rPr>
              <w:t>5.1使用无水乙醇或电加热等简易方式进行复温。</w:t>
            </w:r>
          </w:p>
          <w:p w14:paraId="13AF4AB6">
            <w:pPr>
              <w:spacing w:line="360" w:lineRule="exact"/>
              <w:jc w:val="left"/>
              <w:rPr>
                <w:rFonts w:ascii="宋体" w:hAnsi="宋体" w:cs="宋体"/>
                <w:bCs/>
                <w:color w:val="auto"/>
                <w:highlight w:val="none"/>
              </w:rPr>
            </w:pPr>
            <w:r>
              <w:rPr>
                <w:rFonts w:hint="eastAsia" w:ascii="宋体" w:hAnsi="宋体" w:cs="宋体"/>
                <w:bCs/>
                <w:color w:val="auto"/>
                <w:highlight w:val="none"/>
              </w:rPr>
              <w:t>5.2配有存贮器，则存贮器的容量至少可满足1台手术顺利完成。</w:t>
            </w:r>
          </w:p>
          <w:p w14:paraId="32417506">
            <w:pPr>
              <w:spacing w:line="360" w:lineRule="exact"/>
              <w:jc w:val="left"/>
              <w:rPr>
                <w:rFonts w:ascii="宋体" w:hAnsi="宋体" w:cs="宋体"/>
                <w:bCs/>
                <w:color w:val="auto"/>
                <w:highlight w:val="none"/>
              </w:rPr>
            </w:pPr>
            <w:r>
              <w:rPr>
                <w:rFonts w:hint="eastAsia" w:ascii="宋体" w:hAnsi="宋体" w:cs="宋体"/>
                <w:bCs/>
                <w:color w:val="auto"/>
                <w:highlight w:val="none"/>
              </w:rPr>
              <w:t>5.3工作压力需低压运行，最高工作压力需满足≤0.4MPa。</w:t>
            </w:r>
          </w:p>
          <w:p w14:paraId="6E1736C3">
            <w:pPr>
              <w:spacing w:line="360" w:lineRule="exact"/>
              <w:jc w:val="left"/>
              <w:rPr>
                <w:rFonts w:ascii="宋体" w:hAnsi="宋体" w:cs="宋体"/>
                <w:bCs/>
                <w:color w:val="auto"/>
                <w:highlight w:val="none"/>
              </w:rPr>
            </w:pPr>
            <w:r>
              <w:rPr>
                <w:rFonts w:hint="eastAsia" w:ascii="宋体" w:hAnsi="宋体" w:cs="宋体"/>
                <w:bCs/>
                <w:color w:val="auto"/>
                <w:highlight w:val="none"/>
              </w:rPr>
              <w:t>5.4具有过压释放装置，当热工作介质存贮器的压力较高时，可瞬时解除过压。</w:t>
            </w:r>
          </w:p>
          <w:p w14:paraId="7AE738DB">
            <w:pPr>
              <w:spacing w:line="360" w:lineRule="exact"/>
              <w:jc w:val="left"/>
              <w:rPr>
                <w:rFonts w:ascii="宋体" w:hAnsi="宋体" w:cs="宋体"/>
                <w:color w:val="auto"/>
                <w:highlight w:val="none"/>
              </w:rPr>
            </w:pPr>
            <w:r>
              <w:rPr>
                <w:rFonts w:hint="eastAsia" w:ascii="宋体" w:hAnsi="宋体" w:cs="宋体"/>
                <w:color w:val="auto"/>
                <w:highlight w:val="none"/>
              </w:rPr>
              <w:t>5.5复温治疗时，消融针具备基本复温功能，基本要求≥0℃。</w:t>
            </w:r>
          </w:p>
        </w:tc>
      </w:tr>
      <w:tr w14:paraId="44218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14:paraId="5BF880AC">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▲二、商务要求</w:t>
            </w:r>
          </w:p>
        </w:tc>
      </w:tr>
      <w:tr w14:paraId="6F21E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72860A82">
            <w:pPr>
              <w:spacing w:line="360" w:lineRule="exact"/>
              <w:jc w:val="center"/>
              <w:rPr>
                <w:rFonts w:ascii="宋体" w:hAnsi="宋体" w:cs="宋体"/>
                <w:b/>
                <w:color w:val="auto"/>
                <w:szCs w:val="21"/>
                <w:highlight w:val="none"/>
              </w:rPr>
            </w:pPr>
            <w:r>
              <w:rPr>
                <w:rFonts w:hint="eastAsia" w:ascii="宋体" w:hAnsi="宋体" w:cs="宋体"/>
                <w:b/>
                <w:bCs/>
                <w:color w:val="auto"/>
                <w:szCs w:val="21"/>
                <w:highlight w:val="none"/>
              </w:rPr>
              <w:t>（一）售后服务基本要求</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019B2531">
            <w:pPr>
              <w:spacing w:line="360" w:lineRule="exact"/>
              <w:jc w:val="left"/>
              <w:rPr>
                <w:rFonts w:ascii="宋体" w:hAnsi="宋体" w:cs="宋体"/>
                <w:color w:val="auto"/>
                <w:highlight w:val="none"/>
              </w:rPr>
            </w:pPr>
            <w:r>
              <w:rPr>
                <w:rFonts w:hint="eastAsia" w:ascii="宋体" w:hAnsi="宋体" w:cs="宋体"/>
                <w:color w:val="auto"/>
                <w:highlight w:val="none"/>
              </w:rPr>
              <w:t>投标人提供的以下售后服务产生的费用均应综合包含在投标报价中，采购人不再就此另行支付任何费用：</w:t>
            </w:r>
          </w:p>
          <w:p w14:paraId="579281B0">
            <w:pPr>
              <w:spacing w:line="360" w:lineRule="exact"/>
              <w:jc w:val="left"/>
              <w:rPr>
                <w:rFonts w:ascii="宋体" w:hAnsi="宋体" w:cs="宋体"/>
                <w:color w:val="auto"/>
                <w:highlight w:val="none"/>
              </w:rPr>
            </w:pPr>
            <w:r>
              <w:rPr>
                <w:rFonts w:hint="eastAsia" w:ascii="宋体" w:hAnsi="宋体" w:cs="宋体"/>
                <w:color w:val="auto"/>
                <w:highlight w:val="none"/>
              </w:rPr>
              <w:t>1.保修期：按国家有关产品“三包”规定执行“三包”；保修期不得少于5年（保修期从设备验收合格之日起计算），保修期内上门维修不收取任何费用。</w:t>
            </w:r>
          </w:p>
          <w:p w14:paraId="6E9888B0">
            <w:pPr>
              <w:spacing w:line="360" w:lineRule="exact"/>
              <w:jc w:val="left"/>
              <w:rPr>
                <w:rFonts w:ascii="宋体" w:hAnsi="宋体" w:cs="宋体"/>
                <w:color w:val="auto"/>
                <w:highlight w:val="none"/>
              </w:rPr>
            </w:pPr>
            <w:r>
              <w:rPr>
                <w:rFonts w:hint="eastAsia" w:ascii="宋体" w:hAnsi="宋体" w:cs="宋体"/>
                <w:color w:val="auto"/>
                <w:highlight w:val="none"/>
              </w:rPr>
              <w:t>2.采购范围内的货物送货上门、安装调试合格(仪器到货后1周内到采购人处安装调试)，提供技术及使用培训服务（负责培训 1~2 名操作人员直至能完全独立操作），保证操作人员能正常操作设备的各种功能；若设备自带软件，则在保修期内提供升级服务（采购人不再另行支付费用）。</w:t>
            </w:r>
          </w:p>
          <w:p w14:paraId="452407F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3.保修期内仪器设备出现故障，在接到电话通知后，2小时内做出响应，</w:t>
            </w:r>
            <w:r>
              <w:rPr>
                <w:rFonts w:hint="eastAsia" w:ascii="宋体" w:hAnsi="宋体" w:cs="宋体"/>
                <w:color w:val="auto"/>
                <w:highlight w:val="none"/>
                <w:lang w:val="en-US" w:eastAsia="zh-CN"/>
              </w:rPr>
              <w:t>24</w:t>
            </w:r>
            <w:r>
              <w:rPr>
                <w:rFonts w:hint="eastAsia" w:ascii="宋体" w:hAnsi="宋体" w:eastAsia="宋体" w:cs="宋体"/>
                <w:color w:val="auto"/>
                <w:highlight w:val="none"/>
              </w:rPr>
              <w:t>小时内到达维修现场。一般问题应在</w:t>
            </w:r>
            <w:r>
              <w:rPr>
                <w:rFonts w:hint="eastAsia" w:ascii="宋体" w:hAnsi="宋体" w:cs="宋体"/>
                <w:color w:val="auto"/>
                <w:highlight w:val="none"/>
                <w:lang w:val="en-US" w:eastAsia="zh-CN"/>
              </w:rPr>
              <w:t>48</w:t>
            </w:r>
            <w:r>
              <w:rPr>
                <w:rFonts w:hint="eastAsia" w:ascii="宋体" w:hAnsi="宋体" w:eastAsia="宋体" w:cs="宋体"/>
                <w:color w:val="auto"/>
                <w:highlight w:val="none"/>
              </w:rPr>
              <w:t>小时内解决。重大问题或其它无法迅速解决的问题应在一周内解决</w:t>
            </w:r>
            <w:r>
              <w:rPr>
                <w:rFonts w:hint="eastAsia" w:ascii="宋体" w:hAnsi="宋体" w:cs="宋体"/>
                <w:color w:val="auto"/>
                <w:highlight w:val="none"/>
                <w:lang w:eastAsia="zh-CN"/>
              </w:rPr>
              <w:t>。</w:t>
            </w:r>
          </w:p>
          <w:p w14:paraId="2FDDD515">
            <w:pPr>
              <w:spacing w:line="360" w:lineRule="exact"/>
              <w:jc w:val="left"/>
              <w:rPr>
                <w:rFonts w:ascii="宋体" w:hAnsi="宋体" w:cs="宋体"/>
                <w:color w:val="auto"/>
                <w:highlight w:val="none"/>
              </w:rPr>
            </w:pPr>
            <w:r>
              <w:rPr>
                <w:rFonts w:hint="eastAsia" w:ascii="宋体" w:hAnsi="宋体" w:cs="宋体"/>
                <w:color w:val="auto"/>
                <w:highlight w:val="none"/>
              </w:rPr>
              <w:t>4.提供每半年一次定期回访以及对设备维护服务。</w:t>
            </w:r>
          </w:p>
          <w:p w14:paraId="370A57F6">
            <w:pPr>
              <w:spacing w:line="360" w:lineRule="exact"/>
              <w:rPr>
                <w:rFonts w:ascii="Arial" w:hAnsi="Arial" w:cs="Arial"/>
                <w:color w:val="auto"/>
                <w:kern w:val="0"/>
                <w:szCs w:val="21"/>
                <w:highlight w:val="none"/>
              </w:rPr>
            </w:pPr>
            <w:r>
              <w:rPr>
                <w:rFonts w:hint="eastAsia" w:ascii="宋体" w:hAnsi="宋体" w:cs="宋体"/>
                <w:color w:val="auto"/>
                <w:kern w:val="0"/>
                <w:szCs w:val="21"/>
                <w:highlight w:val="none"/>
              </w:rPr>
              <w:t>5.在保修期内，投标人必须保证采购人能够合法应用该器械，并办理相关证</w:t>
            </w:r>
            <w:r>
              <w:rPr>
                <w:rFonts w:ascii="Arial" w:hAnsi="Arial" w:cs="Arial"/>
                <w:color w:val="auto"/>
                <w:kern w:val="0"/>
                <w:szCs w:val="21"/>
                <w:highlight w:val="none"/>
              </w:rPr>
              <w:t>件、手续，产生的费用包含在合同/协议价格中。在此过程中，</w:t>
            </w:r>
            <w:r>
              <w:rPr>
                <w:rFonts w:hint="eastAsia" w:ascii="Arial" w:hAnsi="Arial" w:cs="Arial"/>
                <w:color w:val="auto"/>
                <w:kern w:val="0"/>
                <w:szCs w:val="21"/>
                <w:highlight w:val="none"/>
              </w:rPr>
              <w:t>采购人</w:t>
            </w:r>
            <w:r>
              <w:rPr>
                <w:rFonts w:ascii="Arial" w:hAnsi="Arial" w:cs="Arial"/>
                <w:color w:val="auto"/>
                <w:kern w:val="0"/>
                <w:szCs w:val="21"/>
                <w:highlight w:val="none"/>
              </w:rPr>
              <w:t>应当提供必要支持。若可能出现的后续证件、手续，</w:t>
            </w:r>
            <w:r>
              <w:rPr>
                <w:rFonts w:hint="eastAsia" w:ascii="Arial" w:hAnsi="Arial" w:cs="Arial"/>
                <w:color w:val="auto"/>
                <w:kern w:val="0"/>
                <w:szCs w:val="21"/>
                <w:highlight w:val="none"/>
              </w:rPr>
              <w:t>投标人</w:t>
            </w:r>
            <w:r>
              <w:rPr>
                <w:rFonts w:ascii="Arial" w:hAnsi="Arial" w:cs="Arial"/>
                <w:color w:val="auto"/>
                <w:kern w:val="0"/>
                <w:szCs w:val="21"/>
                <w:highlight w:val="none"/>
              </w:rPr>
              <w:t>必须提供办理的流程及方法。</w:t>
            </w:r>
          </w:p>
          <w:p w14:paraId="586B448B">
            <w:pPr>
              <w:spacing w:line="360" w:lineRule="exact"/>
              <w:jc w:val="left"/>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.易损零配件和专机专用试剂耗材价格表：本项目签订合同时，应附易损零配件和专机专用试剂耗材价格表。</w:t>
            </w:r>
          </w:p>
          <w:p w14:paraId="11B9C44E">
            <w:pPr>
              <w:spacing w:line="360" w:lineRule="exact"/>
              <w:jc w:val="left"/>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维修技术支持：投标人一次性提供维护手册、维修手册、软件备份、故障代码表、备件清单等维护维修必需的材料和信息，否则不予验收。保修期外，提供维修密码及软件在该项目中的使用权，按合同约定价格提供零部件，以及快速响应的技术支持。保修期外，如在使用过程中发生质量问题，投标人在接到采购人通知后在24小时/天内到达采购人现场处理。以上涉及的费用均包含在投标报价中，采购人不再另行支付。</w:t>
            </w:r>
          </w:p>
          <w:p w14:paraId="6EB8918C">
            <w:pPr>
              <w:spacing w:line="360" w:lineRule="exact"/>
              <w:jc w:val="left"/>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.投标人应保证</w:t>
            </w:r>
            <w:r>
              <w:rPr>
                <w:rFonts w:hint="eastAsia" w:ascii="宋体" w:hAnsi="宋体" w:cs="宋体"/>
                <w:color w:val="auto"/>
                <w:highlight w:val="none"/>
                <w:lang w:eastAsia="zh-CN"/>
              </w:rPr>
              <w:t>采购人</w:t>
            </w:r>
            <w:r>
              <w:rPr>
                <w:rFonts w:hint="eastAsia" w:ascii="宋体" w:hAnsi="宋体" w:cs="宋体"/>
                <w:color w:val="auto"/>
                <w:highlight w:val="none"/>
              </w:rPr>
              <w:t>获得合同约定范围内所有软件功能，终生单机软件使用权。不得限制硬件配件采购，并在采购人自主更换配件后，帮助采购人恢复原有的软件及系统，使采购人能够正常使用该器械/设备、项目。以上涉及的费用均包含在投标报价中，采购人不再另行支付。</w:t>
            </w:r>
          </w:p>
          <w:p w14:paraId="71E756B9">
            <w:pPr>
              <w:spacing w:line="360" w:lineRule="exact"/>
              <w:jc w:val="left"/>
              <w:rPr>
                <w:rFonts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.投标人承诺保修期内，按国家相关规定，执行保养及预防性维护，并提供报告。</w:t>
            </w:r>
          </w:p>
          <w:p w14:paraId="7701D822">
            <w:pPr>
              <w:spacing w:line="360" w:lineRule="exact"/>
              <w:jc w:val="left"/>
              <w:rPr>
                <w:rFonts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.在设备规定的使用期限内，投标人必须保证配件供应。并承诺过保修期后的维修及配件更换不需预付款，按照医院正常付款流程办理。</w:t>
            </w:r>
          </w:p>
          <w:p w14:paraId="3B7E442D">
            <w:pPr>
              <w:spacing w:line="360" w:lineRule="exact"/>
              <w:jc w:val="left"/>
              <w:rPr>
                <w:color w:val="auto"/>
                <w:highlight w:val="none"/>
              </w:rPr>
            </w:pPr>
            <w:r>
              <w:rPr>
                <w:rFonts w:hint="eastAsia" w:ascii="宋体" w:hAnsi="宋体" w:cs="宋体"/>
                <w:color w:val="auto"/>
                <w:highlight w:val="none"/>
                <w:lang w:val="en-US" w:eastAsia="zh-CN"/>
              </w:rPr>
              <w:t>11</w:t>
            </w:r>
            <w:r>
              <w:rPr>
                <w:rFonts w:hint="eastAsia" w:ascii="宋体" w:hAnsi="宋体" w:cs="宋体"/>
                <w:color w:val="auto"/>
                <w:highlight w:val="none"/>
              </w:rPr>
              <w:t>.保修期外维修应同样提供不收取费用的咨询服务，需上门维修的不收取维修费，仅收取材料费。</w:t>
            </w:r>
          </w:p>
        </w:tc>
      </w:tr>
      <w:tr w14:paraId="0D0D7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42B9BDB8">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（二）合同签订时间</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2DB141BC">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自中标通知书发出之日起 25日内签订采购合同。</w:t>
            </w:r>
          </w:p>
        </w:tc>
      </w:tr>
      <w:tr w14:paraId="45E43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2189181F">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（三）交付时间和地点</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6EF882BE">
            <w:pPr>
              <w:spacing w:line="340" w:lineRule="exact"/>
              <w:rPr>
                <w:rFonts w:ascii="宋体" w:hAnsi="宋体" w:cs="宋体"/>
                <w:b/>
                <w:color w:val="auto"/>
                <w:szCs w:val="21"/>
                <w:highlight w:val="none"/>
              </w:rPr>
            </w:pPr>
            <w:r>
              <w:rPr>
                <w:rFonts w:hint="eastAsia" w:ascii="宋体" w:hAnsi="宋体" w:cs="宋体"/>
                <w:b/>
                <w:color w:val="auto"/>
                <w:szCs w:val="21"/>
                <w:highlight w:val="none"/>
              </w:rPr>
              <w:t>1.交付时间：</w:t>
            </w:r>
            <w:r>
              <w:rPr>
                <w:rFonts w:hint="eastAsia" w:hAnsi="宋体"/>
                <w:color w:val="auto"/>
                <w:szCs w:val="21"/>
                <w:highlight w:val="none"/>
              </w:rPr>
              <w:t>自合同签订之后，接采购人通知之日起30个日历日内完成供货、安装、调试，验收合格并投入使用。</w:t>
            </w:r>
          </w:p>
          <w:p w14:paraId="019104DF">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2.交付地点：广西桂林市采购人医院内指定地点。</w:t>
            </w:r>
          </w:p>
        </w:tc>
      </w:tr>
      <w:tr w14:paraId="5DF53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6EAC1CE4">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（四）付款方式</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3D255118">
            <w:pPr>
              <w:spacing w:line="340" w:lineRule="exact"/>
              <w:rPr>
                <w:rFonts w:ascii="宋体" w:hAnsi="宋体" w:cs="宋体"/>
                <w:color w:val="auto"/>
                <w:szCs w:val="21"/>
                <w:highlight w:val="none"/>
              </w:rPr>
            </w:pPr>
            <w:r>
              <w:rPr>
                <w:rFonts w:hint="eastAsia" w:ascii="宋体" w:hAnsi="宋体" w:cs="宋体"/>
                <w:color w:val="auto"/>
                <w:szCs w:val="21"/>
                <w:highlight w:val="none"/>
              </w:rPr>
              <w:t>1.接采购人供货通知后，在交货期限内将货物送到采购人指定地点。</w:t>
            </w:r>
          </w:p>
          <w:p w14:paraId="04584F35">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2.货物安装调试完成，验收合格后，中标供应商开具全额税务发票，采购人在</w:t>
            </w:r>
            <w:r>
              <w:rPr>
                <w:rFonts w:hint="eastAsia" w:ascii="宋体" w:hAnsi="宋体" w:cs="宋体"/>
                <w:color w:val="auto"/>
                <w:szCs w:val="21"/>
                <w:highlight w:val="none"/>
                <w:lang w:eastAsia="zh-CN"/>
              </w:rPr>
              <w:t>设备</w:t>
            </w:r>
            <w:r>
              <w:rPr>
                <w:rFonts w:hint="eastAsia" w:ascii="宋体" w:hAnsi="宋体" w:cs="宋体"/>
                <w:color w:val="auto"/>
                <w:szCs w:val="21"/>
                <w:highlight w:val="none"/>
              </w:rPr>
              <w:t>验收合格并无故障运行后转账支付合同款的95%（无息），可采用汇票、云信、供应链、信用证等付款方式。合同款的5%待履行完合同约定的权利义务事项后【中标供应商承诺质保期（免费保修、维护、升级期）满1年】且不存在争议的，三个月内转账支付（无息）。采购人付款前，中标供应商未按上述要求开具符合采购人要求的正规财务票据的，采购人有权暂缓或拒付款项且不构成违约。</w:t>
            </w:r>
          </w:p>
          <w:p w14:paraId="46A2FE73">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3.票据要求：中标供应商必须按照采购人要求提供真实、有效、合法的正式税务发票。一旦发现中标供应商提供虚假税务发票，除须向采购人补开合法的税务发票外，须赔偿采购人发票票面金额一倍的违约金，且采购人有权终止合同，中标供应商不得提出异议，因终止合同而产生的一切损失均由中标供应商承担。</w:t>
            </w:r>
          </w:p>
        </w:tc>
      </w:tr>
      <w:tr w14:paraId="5DE4D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40AF998E">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（五）包装和运输</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70539AA8">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1.中标供应商应在货物发运前对其进行满足于运输距离、防潮、防震、防锈和防破损装卸要求的包装，以保证货物安全无损的输到达采购人指定地点。</w:t>
            </w:r>
          </w:p>
          <w:p w14:paraId="2E7E4FED">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2.使用说明书、质量检验证明书、随配附件和工具以及配置清单等一并附于货物内交付采购人。</w:t>
            </w:r>
          </w:p>
          <w:p w14:paraId="2DE5F1BA">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3.中标供应商负责将货物安全运送到采购人指定地点，并负责清理回收采购人抛弃的相关大件包装, 不另收任何费用。货到采购人前48小时，由中标供应商通知采购人，但在验收前采购人原则上不负责接收货物。</w:t>
            </w:r>
          </w:p>
        </w:tc>
      </w:tr>
      <w:tr w14:paraId="17802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6C7C230C">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（六）保险</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1B072EE7">
            <w:pPr>
              <w:adjustRightInd w:val="0"/>
              <w:snapToGrid w:val="0"/>
              <w:spacing w:line="340" w:lineRule="exact"/>
              <w:rPr>
                <w:rFonts w:ascii="宋体" w:hAnsi="宋体" w:cs="宋体"/>
                <w:b/>
                <w:color w:val="auto"/>
                <w:szCs w:val="21"/>
                <w:highlight w:val="none"/>
              </w:rPr>
            </w:pPr>
            <w:r>
              <w:rPr>
                <w:rFonts w:hint="eastAsia" w:ascii="宋体" w:hAnsi="宋体" w:cs="宋体"/>
                <w:b/>
                <w:bCs/>
                <w:color w:val="auto"/>
                <w:kern w:val="0"/>
                <w:szCs w:val="21"/>
                <w:highlight w:val="none"/>
              </w:rPr>
              <w:t>若投标人为本项目标的及标的涉及的相关材料、设备、人员、运输等购买保险的，相关费用由投标人自行承担。</w:t>
            </w:r>
          </w:p>
        </w:tc>
      </w:tr>
      <w:tr w14:paraId="0E440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3D5FE170">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（七）验收标准</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267DE33C">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1.中标供应商交货前应对产品作出全面检查和对验收文件进行整理列出配置清单，作为采购人收货验收和使用的技术条件依据，检验的结果应随货物交采购人。</w:t>
            </w:r>
          </w:p>
          <w:p w14:paraId="199A2DED">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2.采购人对中标供应商所交货物依照国家有关标准及配置清单进行现场验收，全部货物及附随配件、软件全部清点无误且能达到技术要求的给予签收，验收不合格不予签收，后果由中标供应商负责。</w:t>
            </w:r>
          </w:p>
          <w:p w14:paraId="5E027607">
            <w:pPr>
              <w:adjustRightInd w:val="0"/>
              <w:snapToGrid w:val="0"/>
              <w:spacing w:line="340" w:lineRule="exact"/>
              <w:rPr>
                <w:rFonts w:ascii="宋体" w:hAnsi="宋体" w:cs="宋体"/>
                <w:color w:val="auto"/>
                <w:szCs w:val="21"/>
                <w:highlight w:val="none"/>
              </w:rPr>
            </w:pPr>
            <w:r>
              <w:rPr>
                <w:rFonts w:hint="eastAsia" w:ascii="宋体" w:hAnsi="宋体" w:cs="宋体"/>
                <w:b/>
                <w:bCs/>
                <w:color w:val="auto"/>
                <w:kern w:val="0"/>
                <w:szCs w:val="21"/>
                <w:highlight w:val="none"/>
              </w:rPr>
              <w:t>3.中标供应商应在货到指定地点安装、调试完毕，确保正常使用，并按采购人通知时间配合验收。</w:t>
            </w:r>
          </w:p>
        </w:tc>
      </w:tr>
      <w:tr w14:paraId="04A55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7BC661CE">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（八）知识产权</w:t>
            </w:r>
          </w:p>
        </w:tc>
        <w:tc>
          <w:tcPr>
            <w:tcW w:w="5600" w:type="dxa"/>
            <w:gridSpan w:val="2"/>
            <w:tcBorders>
              <w:top w:val="single" w:color="auto" w:sz="4" w:space="0"/>
              <w:left w:val="single" w:color="auto" w:sz="4" w:space="0"/>
              <w:bottom w:val="single" w:color="auto" w:sz="4" w:space="0"/>
              <w:right w:val="single" w:color="auto" w:sz="4" w:space="0"/>
            </w:tcBorders>
          </w:tcPr>
          <w:p w14:paraId="65A3AA17">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1.采购人在履行合同过程中提供给中标人的全部文件和其他含有数据和信息的资料，其知识产权属于采购人。</w:t>
            </w:r>
          </w:p>
          <w:p w14:paraId="7B0BB92F">
            <w:pPr>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2.除招标文件采购需求另有约定外，采购人不因签署和履行合同而享有中标人在履行合同过程中提供给采购人的文件、配套软件、电子辅助程序和其他含有数据和信息的资料的知识产权。</w:t>
            </w:r>
          </w:p>
          <w:p w14:paraId="5F6EA09F">
            <w:pPr>
              <w:spacing w:line="340" w:lineRule="exact"/>
              <w:jc w:val="left"/>
              <w:rPr>
                <w:rFonts w:ascii="宋体" w:hAnsi="宋体" w:cs="宋体"/>
                <w:color w:val="auto"/>
                <w:szCs w:val="21"/>
                <w:highlight w:val="none"/>
              </w:rPr>
            </w:pPr>
            <w:r>
              <w:rPr>
                <w:rFonts w:hint="eastAsia" w:ascii="宋体" w:hAnsi="宋体" w:cs="宋体"/>
                <w:b/>
                <w:color w:val="auto"/>
                <w:szCs w:val="21"/>
                <w:highlight w:val="none"/>
              </w:rPr>
              <w:t>3.中标</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应保证所提供货物在使用时不会侵犯任何第三方的知识产权或者其他权利。如合同货物涉及知识产权，则中标人保证采购人在使用合同货物过程中免于受到第三方提出的有关知识产权侵权的主张、索赔或诉讼的伤害。</w:t>
            </w:r>
          </w:p>
        </w:tc>
      </w:tr>
      <w:tr w14:paraId="3F1DC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601B65F6">
            <w:pPr>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（九）违约责任</w:t>
            </w:r>
          </w:p>
        </w:tc>
        <w:tc>
          <w:tcPr>
            <w:tcW w:w="5600" w:type="dxa"/>
            <w:gridSpan w:val="2"/>
            <w:tcBorders>
              <w:top w:val="single" w:color="auto" w:sz="4" w:space="0"/>
              <w:left w:val="single" w:color="auto" w:sz="4" w:space="0"/>
              <w:bottom w:val="single" w:color="auto" w:sz="4" w:space="0"/>
              <w:right w:val="single" w:color="auto" w:sz="4" w:space="0"/>
            </w:tcBorders>
          </w:tcPr>
          <w:p w14:paraId="7CD4B914">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1.中标供应商逾期交货或采购人无正当理由拒收的，违约方每天按合同标的0.3%支付违约金。</w:t>
            </w:r>
          </w:p>
          <w:p w14:paraId="5C8F3AA4">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2.中标供应商逾期超过10天仍不能交货的，采购人可解除双方的供货合同，并有权要求中标供应商承担违约责任，造成采购人损失的，由中标供应商负责赔偿，赔偿范围包括但不限于直接损失、逾期损失，以及维权产生的相关费用（包括但不限于：律师费、案件受理费、保全费、保单保函保险费、交通费、误工费、鉴定评估费等）。</w:t>
            </w:r>
          </w:p>
          <w:p w14:paraId="0BB185F6">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3.中标供应商提供的投标文件如有虚假，视为中标供应商根本性违约，采购人有权单方面解除合同，中标供应商应向采购人支付合同总额30%的违约金，并承担由此造成采购人的全部损失。</w:t>
            </w:r>
          </w:p>
          <w:p w14:paraId="3D21368B">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4.中标供应商提供的货物不符合本合同第四条“质量要求”的，采购人有权要求中标供应商无条件换货或者退货，采购人换货的，相关的运费及损失由中标供应商承担；采购人退货的，中标供应商应在采购人发出退货通知之日起三日内，将所收取的款项全额予以退回，中标供应商向采购人支付合同总额30%的违约金，并承担由此造成采购人的全部损失。</w:t>
            </w:r>
          </w:p>
          <w:p w14:paraId="59CEBEE5">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5.中标供应商不能按本合同第五条“货物的验收”要求交付验收的，采购人有权解除合同，中标供应商应向采购人支付合同总额30%的违约金，并承担由此造成采购人的全部损失。</w:t>
            </w:r>
          </w:p>
          <w:p w14:paraId="12BFA78E">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6.中标供应商未履行约定售后维修维护责任，每发生一次应按合同价款1%支付违约金，该违约金采购人有权直接从未付货款中抵扣；中标供应商累计发生5次，或者造成采购人无法正常使用或声誉受损的严重后果的，采购人有权解除合同，中标供应商应向采购人支付合同总额30%的违约金，并承担由此造成采购人的全部损失，并追究乙方相关法律责任。</w:t>
            </w:r>
          </w:p>
          <w:p w14:paraId="0A102B6A">
            <w:pPr>
              <w:adjustRightInd w:val="0"/>
              <w:snapToGrid w:val="0"/>
              <w:spacing w:line="340" w:lineRule="exact"/>
              <w:rPr>
                <w:rFonts w:ascii="宋体" w:hAnsi="宋体" w:cs="宋体"/>
                <w:b/>
                <w:color w:val="auto"/>
                <w:szCs w:val="21"/>
                <w:highlight w:val="none"/>
              </w:rPr>
            </w:pPr>
            <w:r>
              <w:rPr>
                <w:rFonts w:hint="eastAsia" w:ascii="宋体" w:hAnsi="宋体" w:cs="宋体"/>
                <w:b/>
                <w:color w:val="auto"/>
                <w:szCs w:val="21"/>
                <w:highlight w:val="none"/>
              </w:rPr>
              <w:t>7.其它违约责任按《中华人民共和国民法典》处理。</w:t>
            </w:r>
          </w:p>
        </w:tc>
      </w:tr>
      <w:tr w14:paraId="56EFC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05" w:type="dxa"/>
            <w:gridSpan w:val="3"/>
            <w:tcBorders>
              <w:top w:val="single" w:color="auto" w:sz="4" w:space="0"/>
              <w:left w:val="single" w:color="auto" w:sz="4" w:space="0"/>
              <w:bottom w:val="single" w:color="auto" w:sz="4" w:space="0"/>
              <w:right w:val="single" w:color="auto" w:sz="4" w:space="0"/>
            </w:tcBorders>
            <w:vAlign w:val="center"/>
          </w:tcPr>
          <w:p w14:paraId="49AFDABF">
            <w:pPr>
              <w:adjustRightInd w:val="0"/>
              <w:snapToGrid w:val="0"/>
              <w:spacing w:line="350" w:lineRule="exact"/>
              <w:jc w:val="center"/>
              <w:rPr>
                <w:rFonts w:hint="eastAsia" w:ascii="宋体" w:hAnsi="宋体" w:cs="宋体"/>
                <w:b/>
                <w:color w:val="auto"/>
                <w:szCs w:val="21"/>
                <w:highlight w:val="none"/>
              </w:rPr>
            </w:pP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eastAsia="zh-CN"/>
              </w:rPr>
              <w:t>十</w:t>
            </w:r>
            <w:r>
              <w:rPr>
                <w:rFonts w:hint="eastAsia" w:ascii="宋体" w:hAnsi="宋体" w:cs="宋体"/>
                <w:b/>
                <w:color w:val="auto"/>
                <w:kern w:val="0"/>
                <w:szCs w:val="21"/>
                <w:highlight w:val="none"/>
              </w:rPr>
              <w:t>）医疗器械管理相应有效证明材料</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2234164B">
            <w:pPr>
              <w:adjustRightInd w:val="0"/>
              <w:snapToGrid w:val="0"/>
              <w:spacing w:line="34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投标人所投本</w:t>
            </w:r>
            <w:r>
              <w:rPr>
                <w:rFonts w:hint="eastAsia" w:ascii="宋体" w:hAnsi="宋体" w:cs="宋体"/>
                <w:b/>
                <w:color w:val="auto"/>
                <w:szCs w:val="21"/>
                <w:highlight w:val="none"/>
                <w:lang w:eastAsia="zh-CN"/>
              </w:rPr>
              <w:t>项目</w:t>
            </w:r>
            <w:r>
              <w:rPr>
                <w:rFonts w:hint="eastAsia" w:ascii="宋体" w:hAnsi="宋体" w:cs="宋体"/>
                <w:b/>
                <w:color w:val="auto"/>
                <w:szCs w:val="21"/>
                <w:highlight w:val="none"/>
              </w:rPr>
              <w:t>产品如属第二类或第三类</w:t>
            </w:r>
            <w:r>
              <w:rPr>
                <w:rFonts w:hint="eastAsia" w:ascii="宋体" w:hAnsi="宋体" w:cs="宋体"/>
                <w:b/>
                <w:color w:val="auto"/>
                <w:szCs w:val="21"/>
                <w:highlight w:val="none"/>
                <w:lang w:eastAsia="zh-Hans"/>
              </w:rPr>
              <w:t>医疗器械管理的，必须具有相应有效的“医疗器械注册证”</w:t>
            </w:r>
            <w:r>
              <w:rPr>
                <w:rFonts w:hint="eastAsia" w:ascii="宋体" w:hAnsi="宋体" w:cs="宋体"/>
                <w:b/>
                <w:color w:val="auto"/>
                <w:szCs w:val="21"/>
                <w:highlight w:val="none"/>
              </w:rPr>
              <w:t>（投标人</w:t>
            </w:r>
            <w:r>
              <w:rPr>
                <w:rFonts w:hint="eastAsia" w:ascii="宋体" w:hAnsi="宋体" w:cs="宋体"/>
                <w:b/>
                <w:color w:val="auto"/>
                <w:szCs w:val="21"/>
                <w:highlight w:val="none"/>
                <w:lang w:eastAsia="zh-Hans"/>
              </w:rPr>
              <w:t>于投标文件中必须提供相应有效的医疗器械注册证复印件</w:t>
            </w:r>
            <w:r>
              <w:rPr>
                <w:rFonts w:hint="eastAsia" w:ascii="宋体" w:hAnsi="宋体" w:cs="宋体"/>
                <w:b/>
                <w:color w:val="auto"/>
                <w:szCs w:val="21"/>
                <w:highlight w:val="none"/>
              </w:rPr>
              <w:t>，</w:t>
            </w:r>
            <w:r>
              <w:rPr>
                <w:rFonts w:hint="eastAsia" w:ascii="宋体" w:hAnsi="宋体" w:cs="宋体"/>
                <w:b/>
                <w:color w:val="auto"/>
                <w:szCs w:val="21"/>
                <w:highlight w:val="none"/>
                <w:lang w:eastAsia="zh-Hans"/>
              </w:rPr>
              <w:t>加盖投标人电子签章</w:t>
            </w:r>
            <w:r>
              <w:rPr>
                <w:rFonts w:hint="eastAsia" w:ascii="宋体" w:hAnsi="宋体" w:cs="宋体"/>
                <w:b/>
                <w:color w:val="auto"/>
                <w:szCs w:val="21"/>
                <w:highlight w:val="none"/>
              </w:rPr>
              <w:t>）</w:t>
            </w:r>
            <w:r>
              <w:rPr>
                <w:rFonts w:hint="eastAsia" w:ascii="宋体" w:hAnsi="宋体" w:cs="宋体"/>
                <w:b/>
                <w:color w:val="auto"/>
                <w:szCs w:val="21"/>
                <w:highlight w:val="none"/>
                <w:lang w:eastAsia="zh-Hans"/>
              </w:rPr>
              <w:t>。</w:t>
            </w:r>
          </w:p>
        </w:tc>
      </w:tr>
      <w:tr w14:paraId="38624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79C27385">
            <w:pPr>
              <w:pStyle w:val="20"/>
              <w:spacing w:line="360" w:lineRule="exact"/>
              <w:jc w:val="center"/>
              <w:rPr>
                <w:rFonts w:ascii="宋体" w:hAnsi="宋体" w:cs="宋体"/>
                <w:b/>
                <w:color w:val="auto"/>
                <w:kern w:val="2"/>
                <w:sz w:val="21"/>
                <w:szCs w:val="21"/>
                <w:highlight w:val="none"/>
              </w:rPr>
            </w:pPr>
            <w:r>
              <w:rPr>
                <w:rFonts w:hint="eastAsia" w:ascii="宋体" w:hAnsi="宋体" w:cs="宋体"/>
                <w:b/>
                <w:color w:val="auto"/>
                <w:sz w:val="21"/>
                <w:szCs w:val="21"/>
                <w:highlight w:val="none"/>
              </w:rPr>
              <w:t>（十</w:t>
            </w:r>
            <w:r>
              <w:rPr>
                <w:rFonts w:hint="eastAsia" w:ascii="宋体" w:hAnsi="宋体" w:cs="宋体"/>
                <w:b/>
                <w:color w:val="auto"/>
                <w:sz w:val="21"/>
                <w:szCs w:val="21"/>
                <w:highlight w:val="none"/>
                <w:lang w:eastAsia="zh-CN"/>
              </w:rPr>
              <w:t>一</w:t>
            </w:r>
            <w:r>
              <w:rPr>
                <w:rFonts w:hint="eastAsia" w:ascii="宋体" w:hAnsi="宋体" w:cs="宋体"/>
                <w:b/>
                <w:color w:val="auto"/>
                <w:sz w:val="21"/>
                <w:szCs w:val="21"/>
                <w:highlight w:val="none"/>
              </w:rPr>
              <w:t>）进口产品说明</w:t>
            </w:r>
          </w:p>
        </w:tc>
        <w:tc>
          <w:tcPr>
            <w:tcW w:w="5600" w:type="dxa"/>
            <w:gridSpan w:val="2"/>
            <w:tcBorders>
              <w:top w:val="single" w:color="auto" w:sz="4" w:space="0"/>
              <w:left w:val="single" w:color="auto" w:sz="4" w:space="0"/>
              <w:bottom w:val="single" w:color="auto" w:sz="4" w:space="0"/>
              <w:right w:val="single" w:color="auto" w:sz="4" w:space="0"/>
            </w:tcBorders>
          </w:tcPr>
          <w:p w14:paraId="0B84E6DC">
            <w:pPr>
              <w:spacing w:line="340" w:lineRule="exact"/>
              <w:rPr>
                <w:rFonts w:ascii="宋体" w:hAnsi="宋体" w:cs="宋体"/>
                <w:b/>
                <w:color w:val="auto"/>
                <w:szCs w:val="21"/>
                <w:highlight w:val="none"/>
              </w:rPr>
            </w:pPr>
            <w:r>
              <w:rPr>
                <w:rFonts w:hint="eastAsia" w:ascii="宋体" w:hAnsi="宋体" w:cs="宋体"/>
                <w:b/>
                <w:color w:val="auto"/>
                <w:szCs w:val="21"/>
                <w:highlight w:val="none"/>
              </w:rPr>
              <w:t>本项目货物不接受进口产品（即通过中国海关报关验放进入中国境内且产自关境外的产品）参与投标，如有进口产品参与投标的作无效标处理。</w:t>
            </w:r>
          </w:p>
        </w:tc>
      </w:tr>
      <w:tr w14:paraId="65AF6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720F3605">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eastAsia="zh-CN"/>
              </w:rPr>
              <w:t>二</w:t>
            </w:r>
            <w:r>
              <w:rPr>
                <w:rFonts w:hint="eastAsia" w:ascii="宋体" w:hAnsi="宋体" w:cs="宋体"/>
                <w:b/>
                <w:color w:val="auto"/>
                <w:szCs w:val="21"/>
                <w:highlight w:val="none"/>
              </w:rPr>
              <w:t>）采购预算及最高限价</w:t>
            </w:r>
          </w:p>
        </w:tc>
        <w:tc>
          <w:tcPr>
            <w:tcW w:w="3041" w:type="pct"/>
            <w:gridSpan w:val="2"/>
            <w:tcBorders>
              <w:top w:val="single" w:color="auto" w:sz="4" w:space="0"/>
              <w:left w:val="single" w:color="auto" w:sz="4" w:space="0"/>
              <w:bottom w:val="single" w:color="auto" w:sz="4" w:space="0"/>
              <w:right w:val="single" w:color="auto" w:sz="4" w:space="0"/>
            </w:tcBorders>
          </w:tcPr>
          <w:p w14:paraId="5290077B">
            <w:pPr>
              <w:spacing w:line="340" w:lineRule="exact"/>
              <w:rPr>
                <w:rFonts w:ascii="宋体" w:hAnsi="宋体" w:cs="宋体"/>
                <w:b/>
                <w:color w:val="auto"/>
                <w:szCs w:val="21"/>
                <w:highlight w:val="none"/>
              </w:rPr>
            </w:pPr>
            <w:r>
              <w:rPr>
                <w:rFonts w:hint="eastAsia" w:ascii="宋体" w:hAnsi="宋体" w:cs="宋体"/>
                <w:b/>
                <w:bCs/>
                <w:color w:val="auto"/>
                <w:highlight w:val="none"/>
              </w:rPr>
              <w:t>本项目采购预算为叁佰肆拾贰万元整（¥</w:t>
            </w:r>
            <w:r>
              <w:rPr>
                <w:rFonts w:hint="eastAsia" w:ascii="宋体" w:hAnsi="宋体" w:cs="宋体"/>
                <w:b/>
                <w:bCs/>
                <w:color w:val="auto"/>
                <w:szCs w:val="21"/>
                <w:highlight w:val="none"/>
              </w:rPr>
              <w:t>3420000</w:t>
            </w:r>
            <w:r>
              <w:rPr>
                <w:rFonts w:hint="eastAsia" w:ascii="宋体" w:hAnsi="宋体" w:cs="宋体"/>
                <w:b/>
                <w:bCs/>
                <w:color w:val="auto"/>
                <w:highlight w:val="none"/>
              </w:rPr>
              <w:t>.00），最高限价为贰佰柒拾陆万元整（¥2760000.00），</w:t>
            </w:r>
            <w:r>
              <w:rPr>
                <w:rFonts w:hint="eastAsia" w:ascii="宋体" w:hAnsi="宋体" w:cs="宋体"/>
                <w:b/>
                <w:bCs/>
                <w:color w:val="auto"/>
                <w:szCs w:val="21"/>
                <w:highlight w:val="none"/>
              </w:rPr>
              <w:t>投标人投标报价超最高限价的，投标文件按无效处理。</w:t>
            </w:r>
          </w:p>
        </w:tc>
      </w:tr>
      <w:tr w14:paraId="5B83F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14:paraId="236ACC45">
            <w:pPr>
              <w:adjustRightInd w:val="0"/>
              <w:snapToGrid w:val="0"/>
              <w:spacing w:line="340" w:lineRule="exact"/>
              <w:rPr>
                <w:rFonts w:ascii="宋体" w:hAnsi="宋体" w:cs="宋体"/>
                <w:b/>
                <w:color w:val="auto"/>
                <w:szCs w:val="21"/>
                <w:highlight w:val="none"/>
              </w:rPr>
            </w:pPr>
            <w:r>
              <w:rPr>
                <w:rFonts w:hint="eastAsia" w:ascii="宋体" w:hAnsi="宋体" w:cs="宋体"/>
                <w:b/>
                <w:bCs/>
                <w:color w:val="auto"/>
                <w:szCs w:val="21"/>
                <w:highlight w:val="none"/>
              </w:rPr>
              <w:t>五、与实现项目目标相关的其他要求</w:t>
            </w:r>
          </w:p>
        </w:tc>
      </w:tr>
      <w:tr w14:paraId="3F757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3CB31E68">
            <w:pPr>
              <w:adjustRightInd w:val="0"/>
              <w:snapToGrid w:val="0"/>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（一）安装实施方案</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5DBCD4F9">
            <w:pPr>
              <w:adjustRightInd w:val="0"/>
              <w:snapToGrid w:val="0"/>
              <w:spacing w:line="340" w:lineRule="exact"/>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安装实施方案</w:t>
            </w:r>
            <w:r>
              <w:rPr>
                <w:rFonts w:hint="eastAsia" w:ascii="宋体" w:hAnsi="宋体" w:cs="宋体"/>
                <w:color w:val="auto"/>
                <w:szCs w:val="21"/>
                <w:highlight w:val="none"/>
              </w:rPr>
              <w:t>，包含但不限于：①安装方案；②设备调试方案；③设备试运行方案等</w:t>
            </w:r>
            <w:r>
              <w:rPr>
                <w:rFonts w:hint="eastAsia" w:ascii="宋体" w:hAnsi="宋体" w:cs="宋体"/>
                <w:bCs/>
                <w:color w:val="auto"/>
                <w:szCs w:val="21"/>
                <w:highlight w:val="none"/>
              </w:rPr>
              <w:t>。</w:t>
            </w:r>
          </w:p>
          <w:p w14:paraId="03EAA70A">
            <w:pPr>
              <w:adjustRightInd w:val="0"/>
              <w:snapToGrid w:val="0"/>
              <w:spacing w:line="340" w:lineRule="exact"/>
              <w:rPr>
                <w:rFonts w:ascii="宋体" w:hAnsi="宋体" w:cs="宋体"/>
                <w:b/>
                <w:i/>
                <w:color w:val="auto"/>
                <w:szCs w:val="21"/>
                <w:highlight w:val="none"/>
              </w:rPr>
            </w:pPr>
            <w:r>
              <w:rPr>
                <w:rFonts w:hint="eastAsia" w:ascii="宋体" w:hAnsi="宋体" w:cs="宋体"/>
                <w:b/>
                <w:bCs/>
                <w:color w:val="auto"/>
                <w:highlight w:val="none"/>
              </w:rPr>
              <w:t>注：</w:t>
            </w:r>
            <w:r>
              <w:rPr>
                <w:rFonts w:hint="eastAsia" w:ascii="宋体" w:hAnsi="宋体" w:cs="宋体"/>
                <w:b/>
                <w:color w:val="auto"/>
                <w:spacing w:val="-4"/>
                <w:szCs w:val="21"/>
                <w:highlight w:val="none"/>
              </w:rPr>
              <w:t>具体详见“第四章  评标方法及评标标准”。</w:t>
            </w:r>
          </w:p>
        </w:tc>
      </w:tr>
      <w:tr w14:paraId="398AE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48A167">
            <w:pPr>
              <w:adjustRightInd w:val="0"/>
              <w:snapToGrid w:val="0"/>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（二）增值售后服务方案</w:t>
            </w:r>
          </w:p>
        </w:tc>
        <w:tc>
          <w:tcPr>
            <w:tcW w:w="304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211A27">
            <w:pPr>
              <w:adjustRightInd w:val="0"/>
              <w:snapToGrid w:val="0"/>
              <w:spacing w:line="340" w:lineRule="exact"/>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增值售后服务方案</w:t>
            </w:r>
            <w:r>
              <w:rPr>
                <w:rFonts w:hint="eastAsia" w:ascii="宋体" w:hAnsi="宋体" w:cs="宋体"/>
                <w:color w:val="auto"/>
                <w:szCs w:val="21"/>
                <w:highlight w:val="none"/>
              </w:rPr>
              <w:t>，包含但不限于：①</w:t>
            </w:r>
            <w:r>
              <w:rPr>
                <w:rFonts w:hint="eastAsia" w:ascii="宋体" w:hAnsi="宋体" w:cs="宋体"/>
                <w:color w:val="auto"/>
                <w:highlight w:val="none"/>
              </w:rPr>
              <w:t>服务人员的配备</w:t>
            </w:r>
            <w:r>
              <w:rPr>
                <w:rFonts w:hint="eastAsia" w:ascii="宋体" w:hAnsi="宋体" w:cs="宋体"/>
                <w:color w:val="auto"/>
                <w:szCs w:val="21"/>
                <w:highlight w:val="none"/>
              </w:rPr>
              <w:t>、故障出现解决方案，②定期维护 (注明时间)，③技术培训方案，④保修期外维修方案，⑤售后服务措施及其他优惠措施等</w:t>
            </w:r>
            <w:r>
              <w:rPr>
                <w:rFonts w:hint="eastAsia" w:ascii="宋体" w:hAnsi="宋体" w:cs="宋体"/>
                <w:bCs/>
                <w:color w:val="auto"/>
                <w:szCs w:val="21"/>
                <w:highlight w:val="none"/>
              </w:rPr>
              <w:t>。</w:t>
            </w:r>
          </w:p>
          <w:p w14:paraId="49CF1CD8">
            <w:pPr>
              <w:adjustRightInd w:val="0"/>
              <w:snapToGrid w:val="0"/>
              <w:spacing w:line="340" w:lineRule="exact"/>
              <w:rPr>
                <w:rFonts w:ascii="宋体" w:hAnsi="宋体" w:cs="宋体"/>
                <w:b/>
                <w:i/>
                <w:color w:val="auto"/>
                <w:szCs w:val="21"/>
                <w:highlight w:val="none"/>
              </w:rPr>
            </w:pPr>
            <w:r>
              <w:rPr>
                <w:rFonts w:hint="eastAsia" w:ascii="宋体" w:hAnsi="宋体" w:cs="宋体"/>
                <w:b/>
                <w:bCs/>
                <w:color w:val="auto"/>
                <w:highlight w:val="none"/>
              </w:rPr>
              <w:t>注：</w:t>
            </w:r>
            <w:r>
              <w:rPr>
                <w:rFonts w:hint="eastAsia" w:ascii="宋体" w:hAnsi="宋体" w:cs="宋体"/>
                <w:b/>
                <w:color w:val="auto"/>
                <w:spacing w:val="-4"/>
                <w:szCs w:val="21"/>
                <w:highlight w:val="none"/>
              </w:rPr>
              <w:t>具体详见“第四章  评标方法及评标标准”。</w:t>
            </w:r>
          </w:p>
        </w:tc>
      </w:tr>
      <w:tr w14:paraId="56A9D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3EAEBA89">
            <w:pPr>
              <w:adjustRightInd w:val="0"/>
              <w:snapToGrid w:val="0"/>
              <w:spacing w:line="360" w:lineRule="exact"/>
              <w:jc w:val="center"/>
              <w:rPr>
                <w:rFonts w:ascii="宋体" w:hAnsi="宋体" w:cs="宋体"/>
                <w:i/>
                <w:color w:val="auto"/>
                <w:szCs w:val="21"/>
                <w:highlight w:val="none"/>
              </w:rPr>
            </w:pPr>
            <w:r>
              <w:rPr>
                <w:rFonts w:hint="eastAsia" w:ascii="宋体" w:hAnsi="宋体" w:cs="宋体"/>
                <w:color w:val="auto"/>
                <w:szCs w:val="21"/>
                <w:highlight w:val="none"/>
              </w:rPr>
              <w:t>（三）履约能力要求</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0945A5CC">
            <w:pPr>
              <w:spacing w:line="340" w:lineRule="exac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投标人或所投产品生产厂家通过ISO13485</w:t>
            </w:r>
            <w:r>
              <w:rPr>
                <w:rFonts w:hint="eastAsia" w:ascii="宋体" w:hAnsi="宋体" w:cs="宋体"/>
                <w:color w:val="auto"/>
                <w:highlight w:val="none"/>
              </w:rPr>
              <w:t>医疗器械质量管理体系认证</w:t>
            </w:r>
            <w:r>
              <w:rPr>
                <w:rFonts w:hint="eastAsia" w:ascii="宋体" w:hAnsi="宋体" w:cs="宋体"/>
                <w:color w:val="auto"/>
                <w:szCs w:val="21"/>
                <w:highlight w:val="none"/>
              </w:rPr>
              <w:t>、ISO9001质量管理体系认证且有效的。</w:t>
            </w:r>
          </w:p>
          <w:p w14:paraId="045C8E5E">
            <w:pPr>
              <w:spacing w:line="340" w:lineRule="exact"/>
              <w:rPr>
                <w:rFonts w:ascii="宋体" w:hAnsi="宋体" w:cs="宋体"/>
                <w:color w:val="auto"/>
                <w:highlight w:val="none"/>
              </w:rPr>
            </w:pPr>
            <w:r>
              <w:rPr>
                <w:rFonts w:hint="eastAsia" w:ascii="宋体" w:hAnsi="宋体" w:cs="宋体"/>
                <w:bCs/>
                <w:color w:val="auto"/>
                <w:highlight w:val="none"/>
              </w:rPr>
              <w:t>2.</w:t>
            </w:r>
            <w:r>
              <w:rPr>
                <w:rFonts w:hint="eastAsia" w:ascii="宋体" w:hAnsi="宋体" w:cs="宋体"/>
                <w:color w:val="auto"/>
                <w:highlight w:val="none"/>
              </w:rPr>
              <w:t>投标人或所投产品生产厂家2021年以来具有同类产品的销售业绩的。</w:t>
            </w:r>
          </w:p>
          <w:p w14:paraId="22E45798">
            <w:pPr>
              <w:adjustRightInd w:val="0"/>
              <w:snapToGrid w:val="0"/>
              <w:spacing w:line="340" w:lineRule="exact"/>
              <w:rPr>
                <w:rFonts w:ascii="宋体" w:hAnsi="宋体" w:cs="宋体"/>
                <w:b/>
                <w:i/>
                <w:color w:val="auto"/>
                <w:szCs w:val="21"/>
                <w:highlight w:val="none"/>
              </w:rPr>
            </w:pPr>
            <w:r>
              <w:rPr>
                <w:rFonts w:hint="eastAsia" w:ascii="宋体" w:hAnsi="宋体" w:cs="宋体"/>
                <w:b/>
                <w:bCs/>
                <w:color w:val="auto"/>
                <w:highlight w:val="none"/>
              </w:rPr>
              <w:t>注：上述履约能力加分详见“第四章</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评标办法及评标标准”。</w:t>
            </w:r>
          </w:p>
        </w:tc>
      </w:tr>
      <w:tr w14:paraId="64250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0DACAEA0">
            <w:pPr>
              <w:adjustRightInd w:val="0"/>
              <w:snapToGrid w:val="0"/>
              <w:spacing w:line="360" w:lineRule="exact"/>
              <w:jc w:val="center"/>
              <w:rPr>
                <w:rFonts w:ascii="宋体" w:hAnsi="宋体" w:cs="宋体"/>
                <w:i/>
                <w:color w:val="auto"/>
                <w:szCs w:val="21"/>
                <w:highlight w:val="none"/>
              </w:rPr>
            </w:pPr>
            <w:r>
              <w:rPr>
                <w:rFonts w:hint="eastAsia" w:ascii="宋体" w:hAnsi="宋体" w:cs="宋体"/>
                <w:color w:val="auto"/>
                <w:szCs w:val="21"/>
                <w:highlight w:val="none"/>
              </w:rPr>
              <w:t>（四）政策性加分条件</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267B74F3">
            <w:pPr>
              <w:spacing w:line="340" w:lineRule="exact"/>
              <w:rPr>
                <w:rFonts w:ascii="宋体" w:hAnsi="宋体" w:cs="宋体"/>
                <w:color w:val="auto"/>
                <w:highlight w:val="none"/>
              </w:rPr>
            </w:pPr>
            <w:r>
              <w:rPr>
                <w:rFonts w:hint="eastAsia" w:ascii="宋体" w:hAnsi="宋体" w:cs="宋体"/>
                <w:color w:val="auto"/>
                <w:highlight w:val="none"/>
              </w:rPr>
              <w:t>1.节能产品：属于财政部《节能产品政府采购品目清单》内优先采购（清单内未标注“★”的品目）的产品[投标文件中提供有效的认证证书复印件及品目清单（标注投标产品在品目清单中所属的品目），并加盖投标人电子签章]。</w:t>
            </w:r>
          </w:p>
          <w:p w14:paraId="49B17E86">
            <w:pPr>
              <w:spacing w:line="340" w:lineRule="exact"/>
              <w:rPr>
                <w:rFonts w:ascii="宋体" w:hAnsi="宋体" w:cs="宋体"/>
                <w:color w:val="auto"/>
                <w:highlight w:val="none"/>
              </w:rPr>
            </w:pPr>
            <w:r>
              <w:rPr>
                <w:rFonts w:hint="eastAsia" w:ascii="宋体" w:hAnsi="宋体" w:cs="宋体"/>
                <w:color w:val="auto"/>
                <w:highlight w:val="none"/>
              </w:rPr>
              <w:t>2.环境标志产品：属于财政部《环境标志产品政府采购品目清单》内的产品[投标文件中提供有效的认证证书复印件及品目清单（标注投标产品在品目清单中所属的品目），并加盖投标人电子签章]。</w:t>
            </w:r>
          </w:p>
          <w:p w14:paraId="7F7E8387">
            <w:pPr>
              <w:adjustRightInd w:val="0"/>
              <w:snapToGrid w:val="0"/>
              <w:spacing w:line="340" w:lineRule="exact"/>
              <w:rPr>
                <w:rFonts w:ascii="宋体" w:hAnsi="宋体" w:cs="宋体"/>
                <w:b/>
                <w:color w:val="auto"/>
                <w:szCs w:val="21"/>
                <w:highlight w:val="none"/>
              </w:rPr>
            </w:pPr>
            <w:r>
              <w:rPr>
                <w:rFonts w:hint="eastAsia" w:ascii="宋体" w:hAnsi="宋体" w:cs="宋体"/>
                <w:b/>
                <w:color w:val="auto"/>
                <w:highlight w:val="none"/>
              </w:rPr>
              <w:t>注：上述政策性加分详见“第四章</w:t>
            </w:r>
            <w:r>
              <w:rPr>
                <w:rFonts w:hint="eastAsia" w:ascii="宋体" w:hAnsi="宋体" w:cs="宋体"/>
                <w:b/>
                <w:color w:val="auto"/>
                <w:highlight w:val="none"/>
                <w:lang w:val="en-US" w:eastAsia="zh-CN"/>
              </w:rPr>
              <w:t xml:space="preserve"> </w:t>
            </w:r>
            <w:r>
              <w:rPr>
                <w:rFonts w:hint="eastAsia" w:ascii="宋体" w:hAnsi="宋体" w:cs="宋体"/>
                <w:b/>
                <w:color w:val="auto"/>
                <w:highlight w:val="none"/>
              </w:rPr>
              <w:t>评标办法及评标标准”。</w:t>
            </w:r>
          </w:p>
        </w:tc>
      </w:tr>
    </w:tbl>
    <w:p w14:paraId="6F6165DC">
      <w:pPr>
        <w:pStyle w:val="20"/>
        <w:rPr>
          <w:rFonts w:ascii="宋体" w:hAnsi="宋体" w:cs="宋体"/>
          <w:color w:val="auto"/>
          <w:highlight w:val="none"/>
        </w:rPr>
      </w:pPr>
    </w:p>
    <w:p w14:paraId="073EA4E1">
      <w:pPr>
        <w:rPr>
          <w:rFonts w:ascii="宋体" w:hAnsi="宋体" w:cs="宋体"/>
          <w:color w:val="auto"/>
          <w:highlight w:val="none"/>
        </w:rPr>
      </w:pPr>
    </w:p>
    <w:p w14:paraId="391B7BD4">
      <w:pPr>
        <w:pStyle w:val="2"/>
        <w:ind w:firstLine="640"/>
        <w:rPr>
          <w:rFonts w:ascii="宋体" w:hAnsi="宋体" w:cs="宋体"/>
          <w:color w:val="auto"/>
          <w:highlight w:val="none"/>
        </w:rPr>
      </w:pPr>
    </w:p>
    <w:p w14:paraId="6ADAE454">
      <w:pPr>
        <w:pStyle w:val="2"/>
        <w:ind w:firstLine="640"/>
        <w:rPr>
          <w:rFonts w:ascii="宋体" w:hAnsi="宋体" w:cs="宋体"/>
          <w:color w:val="auto"/>
          <w:highlight w:val="none"/>
        </w:rPr>
      </w:pPr>
    </w:p>
    <w:p w14:paraId="5D7D9C60">
      <w:pPr>
        <w:pStyle w:val="2"/>
        <w:ind w:firstLine="640"/>
        <w:rPr>
          <w:rFonts w:ascii="宋体" w:hAnsi="宋体" w:cs="宋体"/>
          <w:color w:val="auto"/>
          <w:highlight w:val="none"/>
        </w:rPr>
      </w:pPr>
    </w:p>
    <w:p w14:paraId="1128E6BA">
      <w:pPr>
        <w:pStyle w:val="20"/>
        <w:rPr>
          <w:rFonts w:ascii="宋体" w:hAnsi="宋体" w:cs="宋体"/>
          <w:color w:val="auto"/>
          <w:highlight w:val="none"/>
        </w:rPr>
      </w:pPr>
    </w:p>
    <w:p w14:paraId="5E1D8E6C">
      <w:pPr>
        <w:rPr>
          <w:rFonts w:ascii="宋体" w:hAnsi="宋体" w:cs="宋体"/>
          <w:color w:val="auto"/>
          <w:highlight w:val="none"/>
        </w:rPr>
      </w:pPr>
    </w:p>
    <w:p w14:paraId="5CB852A7">
      <w:pPr>
        <w:pStyle w:val="2"/>
        <w:ind w:firstLine="640"/>
        <w:rPr>
          <w:rFonts w:ascii="宋体" w:hAnsi="宋体" w:cs="宋体"/>
          <w:color w:val="auto"/>
          <w:highlight w:val="none"/>
        </w:rPr>
      </w:pPr>
    </w:p>
    <w:p w14:paraId="5B259D07">
      <w:pPr>
        <w:pStyle w:val="2"/>
        <w:ind w:firstLine="640"/>
        <w:rPr>
          <w:rFonts w:ascii="宋体" w:hAnsi="宋体" w:cs="宋体"/>
          <w:color w:val="auto"/>
          <w:highlight w:val="none"/>
        </w:rPr>
      </w:pPr>
    </w:p>
    <w:p w14:paraId="3707E57C">
      <w:pPr>
        <w:pStyle w:val="2"/>
        <w:ind w:firstLine="640"/>
        <w:rPr>
          <w:rFonts w:ascii="宋体" w:hAnsi="宋体" w:cs="宋体"/>
          <w:color w:val="auto"/>
          <w:highlight w:val="none"/>
        </w:rPr>
      </w:pPr>
    </w:p>
    <w:p w14:paraId="45EF9F6A">
      <w:pPr>
        <w:pStyle w:val="2"/>
        <w:ind w:firstLine="640"/>
        <w:rPr>
          <w:rFonts w:ascii="宋体" w:hAnsi="宋体" w:cs="宋体"/>
          <w:color w:val="auto"/>
          <w:highlight w:val="none"/>
        </w:rPr>
      </w:pPr>
    </w:p>
    <w:p w14:paraId="44E28654">
      <w:pPr>
        <w:pStyle w:val="2"/>
        <w:ind w:firstLine="640"/>
        <w:rPr>
          <w:rFonts w:ascii="宋体" w:hAnsi="宋体" w:cs="宋体"/>
          <w:color w:val="auto"/>
          <w:highlight w:val="none"/>
        </w:rPr>
      </w:pPr>
    </w:p>
    <w:p w14:paraId="1476E7B1">
      <w:pPr>
        <w:pStyle w:val="2"/>
        <w:ind w:firstLine="640"/>
        <w:rPr>
          <w:rFonts w:ascii="宋体" w:hAnsi="宋体" w:cs="宋体"/>
          <w:color w:val="auto"/>
          <w:highlight w:val="none"/>
        </w:rPr>
      </w:pPr>
    </w:p>
    <w:p w14:paraId="1BD5823A">
      <w:pPr>
        <w:pStyle w:val="2"/>
        <w:ind w:firstLine="640"/>
        <w:rPr>
          <w:rFonts w:ascii="宋体" w:hAnsi="宋体" w:cs="宋体"/>
          <w:color w:val="auto"/>
          <w:highlight w:val="none"/>
        </w:rPr>
      </w:pPr>
    </w:p>
    <w:p w14:paraId="0D9652BA">
      <w:pPr>
        <w:pStyle w:val="2"/>
        <w:ind w:firstLine="640"/>
        <w:rPr>
          <w:rFonts w:ascii="宋体" w:hAnsi="宋体" w:cs="宋体"/>
          <w:color w:val="auto"/>
          <w:highlight w:val="none"/>
        </w:rPr>
      </w:pPr>
    </w:p>
    <w:p w14:paraId="1200D0FB">
      <w:pPr>
        <w:pStyle w:val="2"/>
        <w:ind w:firstLine="640"/>
        <w:rPr>
          <w:rFonts w:ascii="宋体" w:hAnsi="宋体" w:cs="宋体"/>
          <w:color w:val="auto"/>
          <w:highlight w:val="none"/>
        </w:rPr>
      </w:pPr>
    </w:p>
    <w:p w14:paraId="1CB75FE4">
      <w:pPr>
        <w:pStyle w:val="2"/>
        <w:ind w:firstLine="640"/>
        <w:rPr>
          <w:rFonts w:ascii="宋体" w:hAnsi="宋体" w:cs="宋体"/>
          <w:color w:val="auto"/>
          <w:highlight w:val="none"/>
        </w:rPr>
      </w:pPr>
    </w:p>
    <w:p w14:paraId="46527AAA">
      <w:pPr>
        <w:pStyle w:val="57"/>
        <w:ind w:firstLine="420"/>
        <w:rPr>
          <w:rFonts w:ascii="宋体" w:hAnsi="宋体" w:cs="宋体"/>
          <w:color w:val="auto"/>
          <w:highlight w:val="none"/>
        </w:rPr>
      </w:pPr>
    </w:p>
    <w:p w14:paraId="3DF8BCE7">
      <w:pPr>
        <w:spacing w:line="428" w:lineRule="exact"/>
        <w:ind w:left="119"/>
        <w:rPr>
          <w:rFonts w:ascii="宋体" w:hAnsi="宋体" w:cs="宋体"/>
          <w:color w:val="auto"/>
          <w:sz w:val="32"/>
          <w:szCs w:val="32"/>
          <w:highlight w:val="none"/>
        </w:rPr>
      </w:pPr>
      <w:bookmarkStart w:id="42" w:name="_Toc74320802"/>
      <w:r>
        <w:rPr>
          <w:rFonts w:hint="eastAsia" w:ascii="宋体" w:hAnsi="宋体" w:cs="宋体"/>
          <w:color w:val="auto"/>
          <w:sz w:val="32"/>
          <w:szCs w:val="32"/>
          <w:highlight w:val="none"/>
        </w:rPr>
        <w:t>附件1：</w:t>
      </w:r>
    </w:p>
    <w:p w14:paraId="45E30194">
      <w:pPr>
        <w:spacing w:before="7"/>
        <w:rPr>
          <w:rFonts w:ascii="宋体" w:hAnsi="宋体" w:cs="宋体"/>
          <w:color w:val="auto"/>
          <w:sz w:val="17"/>
          <w:szCs w:val="17"/>
          <w:highlight w:val="none"/>
        </w:rPr>
      </w:pPr>
    </w:p>
    <w:p w14:paraId="6C41AE31">
      <w:pPr>
        <w:spacing w:line="528" w:lineRule="exact"/>
        <w:ind w:left="1871"/>
        <w:rPr>
          <w:rFonts w:ascii="宋体" w:hAnsi="宋体" w:cs="宋体"/>
          <w:color w:val="auto"/>
          <w:sz w:val="40"/>
          <w:szCs w:val="40"/>
          <w:highlight w:val="none"/>
        </w:rPr>
      </w:pPr>
      <w:r>
        <w:rPr>
          <w:rFonts w:hint="eastAsia" w:ascii="宋体" w:hAnsi="宋体" w:cs="宋体"/>
          <w:color w:val="auto"/>
          <w:sz w:val="44"/>
          <w:szCs w:val="44"/>
          <w:highlight w:val="none"/>
        </w:rPr>
        <w:t>节能产品政府采购品目清单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373"/>
        <w:gridCol w:w="3566"/>
      </w:tblGrid>
      <w:tr w14:paraId="4B7B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6C75CCC0">
            <w:pPr>
              <w:jc w:val="center"/>
              <w:rPr>
                <w:rFonts w:ascii="宋体" w:hAnsi="宋体" w:cs="宋体"/>
                <w:color w:val="auto"/>
                <w:szCs w:val="22"/>
                <w:highlight w:val="none"/>
              </w:rPr>
            </w:pPr>
            <w:r>
              <w:rPr>
                <w:rFonts w:hint="eastAsia" w:ascii="宋体" w:hAnsi="宋体" w:cs="宋体"/>
                <w:b/>
                <w:bCs/>
                <w:color w:val="auto"/>
                <w:w w:val="99"/>
                <w:highlight w:val="none"/>
              </w:rPr>
              <w:t>品目序号</w:t>
            </w:r>
          </w:p>
        </w:tc>
        <w:tc>
          <w:tcPr>
            <w:tcW w:w="4285" w:type="dxa"/>
            <w:gridSpan w:val="3"/>
            <w:tcBorders>
              <w:top w:val="single" w:color="000000" w:sz="4" w:space="0"/>
              <w:left w:val="single" w:color="000000" w:sz="4" w:space="0"/>
              <w:bottom w:val="single" w:color="000000" w:sz="4" w:space="0"/>
              <w:right w:val="single" w:color="000000" w:sz="4" w:space="0"/>
            </w:tcBorders>
            <w:noWrap/>
            <w:vAlign w:val="center"/>
          </w:tcPr>
          <w:p w14:paraId="4C08D4BA">
            <w:pPr>
              <w:jc w:val="center"/>
              <w:rPr>
                <w:rFonts w:ascii="宋体" w:hAnsi="宋体" w:cs="宋体"/>
                <w:color w:val="auto"/>
                <w:szCs w:val="22"/>
                <w:highlight w:val="none"/>
              </w:rPr>
            </w:pPr>
            <w:r>
              <w:rPr>
                <w:rFonts w:hint="eastAsia" w:ascii="宋体" w:hAnsi="宋体" w:cs="宋体"/>
                <w:b/>
                <w:bCs/>
                <w:color w:val="auto"/>
                <w:w w:val="99"/>
                <w:highlight w:val="none"/>
              </w:rPr>
              <w:t>名称</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F794EA8">
            <w:pPr>
              <w:jc w:val="center"/>
              <w:rPr>
                <w:rFonts w:ascii="宋体" w:hAnsi="宋体" w:cs="宋体"/>
                <w:color w:val="auto"/>
                <w:szCs w:val="22"/>
                <w:highlight w:val="none"/>
              </w:rPr>
            </w:pPr>
            <w:r>
              <w:rPr>
                <w:rFonts w:hint="eastAsia" w:ascii="宋体" w:hAnsi="宋体" w:cs="宋体"/>
                <w:b/>
                <w:bCs/>
                <w:color w:val="auto"/>
                <w:w w:val="99"/>
                <w:highlight w:val="none"/>
              </w:rPr>
              <w:t>依据的标准</w:t>
            </w:r>
          </w:p>
        </w:tc>
      </w:tr>
      <w:tr w14:paraId="7BCF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5FFF77AD">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2CF80B97">
            <w:pPr>
              <w:jc w:val="center"/>
              <w:rPr>
                <w:rFonts w:ascii="宋体" w:hAnsi="宋体" w:cs="宋体"/>
                <w:color w:val="auto"/>
                <w:szCs w:val="21"/>
                <w:highlight w:val="none"/>
              </w:rPr>
            </w:pPr>
            <w:r>
              <w:rPr>
                <w:rFonts w:hint="eastAsia" w:ascii="宋体" w:hAnsi="宋体" w:cs="宋体"/>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E0F2443">
            <w:pPr>
              <w:pStyle w:val="135"/>
              <w:spacing w:before="93"/>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A06E168">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A6A1AD5">
            <w:pPr>
              <w:pStyle w:val="135"/>
              <w:spacing w:before="93"/>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706C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D107F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A84C6AE">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73115748">
            <w:pPr>
              <w:pStyle w:val="135"/>
              <w:spacing w:before="44"/>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F043451">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95D6505">
            <w:pPr>
              <w:pStyle w:val="135"/>
              <w:spacing w:before="44"/>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1366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E5E25E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42393F">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0FA324FB">
            <w:pPr>
              <w:pStyle w:val="135"/>
              <w:spacing w:before="64"/>
              <w:ind w:left="7" w:right="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宋体"/>
                <w:color w:val="auto"/>
                <w:kern w:val="2"/>
                <w:sz w:val="21"/>
                <w:szCs w:val="21"/>
                <w:highlight w:val="none"/>
                <w:lang w:eastAsia="zh-CN"/>
              </w:rPr>
              <w:t>A02010109平板式计算机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BF583E5">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180A921">
            <w:pPr>
              <w:pStyle w:val="135"/>
              <w:spacing w:before="64"/>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6387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6C3031F2">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6D78B1A1">
            <w:pPr>
              <w:pStyle w:val="135"/>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6AD5E4AD">
            <w:pPr>
              <w:jc w:val="center"/>
              <w:rPr>
                <w:rFonts w:ascii="宋体" w:hAnsi="宋体" w:cs="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宋体"/>
                <w:color w:val="auto"/>
                <w:szCs w:val="21"/>
                <w:highlight w:val="none"/>
                <w:shd w:val="clear" w:color="auto" w:fill="FFFFFF"/>
              </w:rPr>
              <w:t>打印机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89AF806">
            <w:pPr>
              <w:jc w:val="center"/>
              <w:rPr>
                <w:rFonts w:ascii="宋体" w:hAnsi="宋体" w:cs="宋体"/>
                <w:color w:val="auto"/>
                <w:szCs w:val="21"/>
                <w:highlight w:val="none"/>
              </w:rPr>
            </w:pPr>
            <w:r>
              <w:rPr>
                <w:rFonts w:hint="eastAsia" w:ascii="宋体" w:hAnsi="宋体" w:cs="宋体"/>
                <w:color w:val="auto"/>
                <w:szCs w:val="21"/>
                <w:highlight w:val="none"/>
              </w:rPr>
              <w:t>A02021001 A3黑白打印机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D857D79">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6036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E37D13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276911">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C279F3">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72E85F9">
            <w:pPr>
              <w:jc w:val="center"/>
              <w:rPr>
                <w:rFonts w:ascii="宋体" w:hAnsi="宋体" w:cs="宋体"/>
                <w:color w:val="auto"/>
                <w:szCs w:val="21"/>
                <w:highlight w:val="none"/>
              </w:rPr>
            </w:pPr>
            <w:r>
              <w:rPr>
                <w:rFonts w:hint="eastAsia" w:ascii="宋体" w:hAnsi="宋体" w:cs="宋体"/>
                <w:color w:val="auto"/>
                <w:szCs w:val="21"/>
                <w:highlight w:val="none"/>
              </w:rPr>
              <w:t>A02021002 A3彩色打印机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53F7196">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4EBE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E4797B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CDED3B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B7C714">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C029AFD">
            <w:pPr>
              <w:jc w:val="center"/>
              <w:rPr>
                <w:rFonts w:ascii="宋体" w:hAnsi="宋体" w:cs="宋体"/>
                <w:color w:val="auto"/>
                <w:szCs w:val="21"/>
                <w:highlight w:val="none"/>
              </w:rPr>
            </w:pPr>
            <w:r>
              <w:rPr>
                <w:rFonts w:hint="eastAsia" w:ascii="宋体" w:hAnsi="宋体" w:cs="宋体"/>
                <w:color w:val="auto"/>
                <w:szCs w:val="21"/>
                <w:highlight w:val="none"/>
              </w:rPr>
              <w:t>A02021003 A4黑白打印机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D9F5A6A">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7B84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1E09F2">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5DE818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38F971">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7FC8403">
            <w:pPr>
              <w:jc w:val="center"/>
              <w:rPr>
                <w:rFonts w:ascii="宋体" w:hAnsi="宋体" w:cs="宋体"/>
                <w:color w:val="auto"/>
                <w:szCs w:val="21"/>
                <w:highlight w:val="none"/>
              </w:rPr>
            </w:pPr>
            <w:r>
              <w:rPr>
                <w:rFonts w:hint="eastAsia" w:ascii="宋体" w:hAnsi="宋体" w:cs="宋体"/>
                <w:color w:val="auto"/>
                <w:szCs w:val="21"/>
                <w:highlight w:val="none"/>
              </w:rPr>
              <w:t>A02021004 A4彩色打印机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2C99BC0">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2EA8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F03731">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51FF9A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3900A24">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0484AA6">
            <w:pPr>
              <w:jc w:val="center"/>
              <w:rPr>
                <w:rFonts w:ascii="宋体" w:hAnsi="宋体" w:cs="宋体"/>
                <w:color w:val="auto"/>
                <w:szCs w:val="21"/>
                <w:highlight w:val="none"/>
              </w:rPr>
            </w:pPr>
            <w:r>
              <w:rPr>
                <w:rFonts w:hint="eastAsia" w:ascii="宋体" w:hAnsi="宋体" w:cs="宋体"/>
                <w:color w:val="auto"/>
                <w:szCs w:val="21"/>
                <w:highlight w:val="none"/>
              </w:rPr>
              <w:t>A02021005 3D打印机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41C8E20">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0A3D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57C5B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D78C1A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4F90CDF">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6029CAF">
            <w:pPr>
              <w:jc w:val="center"/>
              <w:rPr>
                <w:rFonts w:ascii="宋体" w:hAnsi="宋体" w:cs="宋体"/>
                <w:color w:val="auto"/>
                <w:szCs w:val="21"/>
                <w:highlight w:val="none"/>
              </w:rPr>
            </w:pPr>
            <w:r>
              <w:rPr>
                <w:rFonts w:hint="eastAsia" w:ascii="宋体" w:hAnsi="宋体" w:cs="宋体"/>
                <w:color w:val="auto"/>
                <w:szCs w:val="21"/>
                <w:highlight w:val="none"/>
              </w:rPr>
              <w:t>A02021006票据打印机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E5C37F2">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22EA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2ADCF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401C1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7CA8429">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B8EC4E1">
            <w:pPr>
              <w:jc w:val="center"/>
              <w:rPr>
                <w:rFonts w:ascii="宋体" w:hAnsi="宋体" w:cs="宋体"/>
                <w:color w:val="auto"/>
                <w:szCs w:val="21"/>
                <w:highlight w:val="none"/>
              </w:rPr>
            </w:pPr>
            <w:r>
              <w:rPr>
                <w:rFonts w:hint="eastAsia" w:ascii="宋体" w:hAnsi="宋体" w:cs="宋体"/>
                <w:color w:val="auto"/>
                <w:szCs w:val="21"/>
                <w:highlight w:val="none"/>
              </w:rPr>
              <w:t>A02021007条码打印机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3130406">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7B81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1F5B96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34F31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627844">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CD7DCB1">
            <w:pPr>
              <w:jc w:val="center"/>
              <w:rPr>
                <w:rFonts w:ascii="宋体" w:hAnsi="宋体" w:cs="宋体"/>
                <w:color w:val="auto"/>
                <w:szCs w:val="21"/>
                <w:highlight w:val="none"/>
              </w:rPr>
            </w:pPr>
            <w:r>
              <w:rPr>
                <w:rFonts w:hint="eastAsia" w:ascii="宋体" w:hAnsi="宋体" w:cs="宋体"/>
                <w:color w:val="auto"/>
                <w:szCs w:val="21"/>
                <w:highlight w:val="none"/>
              </w:rPr>
              <w:t>A02021008地址打印机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69C8DA8">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4C38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040FE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FB1E19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8610E7">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2FFA675">
            <w:pPr>
              <w:jc w:val="center"/>
              <w:rPr>
                <w:rFonts w:ascii="宋体" w:hAnsi="宋体" w:cs="宋体"/>
                <w:color w:val="auto"/>
                <w:szCs w:val="21"/>
                <w:highlight w:val="none"/>
              </w:rPr>
            </w:pPr>
            <w:r>
              <w:rPr>
                <w:rFonts w:hint="eastAsia" w:ascii="宋体" w:hAnsi="宋体" w:cs="宋体"/>
                <w:color w:val="auto"/>
                <w:szCs w:val="21"/>
                <w:highlight w:val="none"/>
              </w:rPr>
              <w:t>A02021099其他打印机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AA1C7F6">
            <w:pPr>
              <w:pStyle w:val="135"/>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008E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49A7A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82D6A88">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0EDD2263">
            <w:pPr>
              <w:jc w:val="center"/>
              <w:rPr>
                <w:rFonts w:ascii="宋体" w:hAnsi="宋体" w:cs="宋体"/>
                <w:color w:val="auto"/>
                <w:szCs w:val="21"/>
                <w:highlight w:val="none"/>
              </w:rPr>
            </w:pPr>
            <w:r>
              <w:rPr>
                <w:rFonts w:hint="eastAsia" w:ascii="宋体" w:hAnsi="宋体" w:cs="宋体"/>
                <w:color w:val="auto"/>
                <w:szCs w:val="21"/>
                <w:highlight w:val="none"/>
              </w:rPr>
              <w:t>A02021100输入输出设备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62EA25E">
            <w:pPr>
              <w:jc w:val="center"/>
              <w:rPr>
                <w:rFonts w:ascii="宋体" w:hAnsi="宋体" w:cs="宋体"/>
                <w:color w:val="auto"/>
                <w:szCs w:val="21"/>
                <w:highlight w:val="none"/>
              </w:rPr>
            </w:pPr>
            <w:r>
              <w:rPr>
                <w:rFonts w:hint="eastAsia" w:ascii="宋体" w:hAnsi="宋体" w:cs="宋体"/>
                <w:color w:val="auto"/>
                <w:w w:val="99"/>
                <w:szCs w:val="21"/>
                <w:highlight w:val="none"/>
              </w:rPr>
              <w:t>★</w:t>
            </w:r>
            <w:r>
              <w:rPr>
                <w:rFonts w:hint="eastAsia" w:ascii="宋体" w:hAnsi="宋体" w:cs="宋体"/>
                <w:color w:val="auto"/>
                <w:szCs w:val="21"/>
                <w:highlight w:val="none"/>
              </w:rPr>
              <w:t>A02021104液晶显示器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C13EB2B">
            <w:pPr>
              <w:jc w:val="left"/>
              <w:rPr>
                <w:rFonts w:ascii="宋体" w:hAnsi="宋体" w:cs="宋体"/>
                <w:color w:val="auto"/>
                <w:szCs w:val="21"/>
                <w:highlight w:val="none"/>
              </w:rPr>
            </w:pPr>
            <w:r>
              <w:rPr>
                <w:rFonts w:hint="eastAsia" w:ascii="宋体" w:hAnsi="宋体" w:cs="宋体"/>
                <w:color w:val="auto"/>
                <w:spacing w:val="12"/>
                <w:w w:val="99"/>
                <w:szCs w:val="21"/>
                <w:highlight w:val="none"/>
              </w:rPr>
              <w:t>《计算机显示器能效限</w:t>
            </w:r>
            <w:r>
              <w:rPr>
                <w:rFonts w:hint="eastAsia" w:ascii="宋体" w:hAnsi="宋体" w:cs="宋体"/>
                <w:color w:val="auto"/>
                <w:spacing w:val="9"/>
                <w:w w:val="99"/>
                <w:szCs w:val="21"/>
                <w:highlight w:val="none"/>
              </w:rPr>
              <w:t>定</w:t>
            </w:r>
            <w:r>
              <w:rPr>
                <w:rFonts w:hint="eastAsia" w:ascii="宋体" w:hAnsi="宋体" w:cs="宋体"/>
                <w:color w:val="auto"/>
                <w:spacing w:val="12"/>
                <w:w w:val="99"/>
                <w:szCs w:val="21"/>
                <w:highlight w:val="none"/>
              </w:rPr>
              <w:t>值及</w:t>
            </w:r>
            <w:r>
              <w:rPr>
                <w:rFonts w:hint="eastAsia" w:ascii="宋体" w:hAnsi="宋体" w:cs="宋体"/>
                <w:color w:val="auto"/>
                <w:w w:val="99"/>
                <w:szCs w:val="21"/>
                <w:highlight w:val="none"/>
              </w:rPr>
              <w:t>能效等级</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0</w:t>
            </w:r>
            <w:r>
              <w:rPr>
                <w:rFonts w:hint="eastAsia" w:ascii="宋体" w:hAnsi="宋体" w:cs="宋体"/>
                <w:color w:val="auto"/>
                <w:w w:val="99"/>
                <w:szCs w:val="21"/>
                <w:highlight w:val="none"/>
              </w:rPr>
              <w:t>）</w:t>
            </w:r>
          </w:p>
        </w:tc>
      </w:tr>
      <w:tr w14:paraId="2C19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DA936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FBC21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CD627A">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0001538">
            <w:pPr>
              <w:jc w:val="center"/>
              <w:rPr>
                <w:rFonts w:ascii="宋体" w:hAnsi="宋体" w:cs="宋体"/>
                <w:color w:val="auto"/>
                <w:szCs w:val="21"/>
                <w:highlight w:val="none"/>
              </w:rPr>
            </w:pPr>
            <w:r>
              <w:rPr>
                <w:rFonts w:hint="eastAsia" w:ascii="宋体" w:hAnsi="宋体" w:cs="宋体"/>
                <w:color w:val="auto"/>
                <w:szCs w:val="21"/>
                <w:highlight w:val="none"/>
              </w:rPr>
              <w:t>A02021118扫描仪</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89C12F7">
            <w:pPr>
              <w:jc w:val="left"/>
              <w:rPr>
                <w:rFonts w:ascii="宋体" w:hAnsi="宋体" w:cs="宋体"/>
                <w:color w:val="auto"/>
                <w:szCs w:val="21"/>
                <w:highlight w:val="none"/>
              </w:rPr>
            </w:pPr>
            <w:r>
              <w:rPr>
                <w:rFonts w:hint="eastAsia" w:ascii="宋体" w:hAnsi="宋体" w:cs="宋体"/>
                <w:color w:val="auto"/>
                <w:w w:val="99"/>
                <w:szCs w:val="21"/>
                <w:highlight w:val="none"/>
              </w:rPr>
              <w:t>参</w:t>
            </w:r>
            <w:r>
              <w:rPr>
                <w:rFonts w:hint="eastAsia" w:ascii="宋体" w:hAnsi="宋体" w:cs="宋体"/>
                <w:color w:val="auto"/>
                <w:spacing w:val="-29"/>
                <w:w w:val="99"/>
                <w:szCs w:val="21"/>
                <w:highlight w:val="none"/>
              </w:rPr>
              <w:t>照</w:t>
            </w:r>
            <w:r>
              <w:rPr>
                <w:rFonts w:hint="eastAsia" w:ascii="宋体" w:hAnsi="宋体" w:cs="宋体"/>
                <w:color w:val="auto"/>
                <w:w w:val="99"/>
                <w:szCs w:val="21"/>
                <w:highlight w:val="none"/>
              </w:rPr>
              <w:t>《</w:t>
            </w:r>
            <w:r>
              <w:rPr>
                <w:rFonts w:hint="eastAsia" w:ascii="宋体" w:hAnsi="宋体" w:cs="宋体"/>
                <w:color w:val="auto"/>
                <w:spacing w:val="2"/>
                <w:w w:val="99"/>
                <w:szCs w:val="21"/>
                <w:highlight w:val="none"/>
              </w:rPr>
              <w:t>复</w:t>
            </w:r>
            <w:r>
              <w:rPr>
                <w:rFonts w:hint="eastAsia" w:ascii="宋体" w:hAnsi="宋体" w:cs="宋体"/>
                <w:color w:val="auto"/>
                <w:w w:val="99"/>
                <w:szCs w:val="21"/>
                <w:highlight w:val="none"/>
              </w:rPr>
              <w:t>印</w:t>
            </w:r>
            <w:r>
              <w:rPr>
                <w:rFonts w:hint="eastAsia" w:ascii="宋体" w:hAnsi="宋体" w:cs="宋体"/>
                <w:color w:val="auto"/>
                <w:spacing w:val="2"/>
                <w:w w:val="99"/>
                <w:szCs w:val="21"/>
                <w:highlight w:val="none"/>
              </w:rPr>
              <w:t>机</w:t>
            </w:r>
            <w:r>
              <w:rPr>
                <w:rFonts w:hint="eastAsia" w:ascii="宋体" w:hAnsi="宋体" w:cs="宋体"/>
                <w:color w:val="auto"/>
                <w:spacing w:val="-29"/>
                <w:w w:val="99"/>
                <w:szCs w:val="21"/>
                <w:highlight w:val="none"/>
              </w:rPr>
              <w:t>、</w:t>
            </w:r>
            <w:r>
              <w:rPr>
                <w:rFonts w:hint="eastAsia" w:ascii="宋体" w:hAnsi="宋体" w:cs="宋体"/>
                <w:color w:val="auto"/>
                <w:w w:val="99"/>
                <w:szCs w:val="21"/>
                <w:highlight w:val="none"/>
              </w:rPr>
              <w:t>打</w:t>
            </w:r>
            <w:r>
              <w:rPr>
                <w:rFonts w:hint="eastAsia" w:ascii="宋体" w:hAnsi="宋体" w:cs="宋体"/>
                <w:color w:val="auto"/>
                <w:spacing w:val="2"/>
                <w:w w:val="99"/>
                <w:szCs w:val="21"/>
                <w:highlight w:val="none"/>
              </w:rPr>
              <w:t>印</w:t>
            </w:r>
            <w:r>
              <w:rPr>
                <w:rFonts w:hint="eastAsia" w:ascii="宋体" w:hAnsi="宋体" w:cs="宋体"/>
                <w:color w:val="auto"/>
                <w:w w:val="99"/>
                <w:szCs w:val="21"/>
                <w:highlight w:val="none"/>
              </w:rPr>
              <w:t>机和</w:t>
            </w:r>
            <w:r>
              <w:rPr>
                <w:rFonts w:hint="eastAsia" w:ascii="宋体" w:hAnsi="宋体" w:cs="宋体"/>
                <w:color w:val="auto"/>
                <w:spacing w:val="2"/>
                <w:w w:val="99"/>
                <w:szCs w:val="21"/>
                <w:highlight w:val="none"/>
              </w:rPr>
              <w:t>传</w:t>
            </w:r>
            <w:r>
              <w:rPr>
                <w:rFonts w:hint="eastAsia" w:ascii="宋体" w:hAnsi="宋体" w:cs="宋体"/>
                <w:color w:val="auto"/>
                <w:w w:val="99"/>
                <w:szCs w:val="21"/>
                <w:highlight w:val="none"/>
              </w:rPr>
              <w:t>真机能效限定</w:t>
            </w:r>
            <w:r>
              <w:rPr>
                <w:rFonts w:hint="eastAsia" w:ascii="宋体" w:hAnsi="宋体" w:cs="宋体"/>
                <w:color w:val="auto"/>
                <w:spacing w:val="2"/>
                <w:w w:val="99"/>
                <w:szCs w:val="21"/>
                <w:highlight w:val="none"/>
              </w:rPr>
              <w:t>值</w:t>
            </w:r>
            <w:r>
              <w:rPr>
                <w:rFonts w:hint="eastAsia" w:ascii="宋体" w:hAnsi="宋体" w:cs="宋体"/>
                <w:color w:val="auto"/>
                <w:w w:val="99"/>
                <w:szCs w:val="21"/>
                <w:highlight w:val="none"/>
              </w:rPr>
              <w:t>及能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06"/>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2152</w:t>
            </w:r>
            <w:r>
              <w:rPr>
                <w:rFonts w:hint="eastAsia" w:ascii="宋体" w:hAnsi="宋体" w:cs="宋体"/>
                <w:color w:val="auto"/>
                <w:w w:val="99"/>
                <w:szCs w:val="21"/>
                <w:highlight w:val="none"/>
              </w:rPr>
              <w:t>1）</w:t>
            </w:r>
            <w:r>
              <w:rPr>
                <w:rFonts w:hint="eastAsia" w:ascii="宋体" w:hAnsi="宋体" w:cs="宋体"/>
                <w:color w:val="auto"/>
                <w:spacing w:val="2"/>
                <w:w w:val="99"/>
                <w:szCs w:val="21"/>
                <w:highlight w:val="none"/>
              </w:rPr>
              <w:t>中</w:t>
            </w:r>
            <w:r>
              <w:rPr>
                <w:rFonts w:hint="eastAsia" w:ascii="宋体" w:hAnsi="宋体" w:cs="宋体"/>
                <w:color w:val="auto"/>
                <w:spacing w:val="4"/>
                <w:w w:val="99"/>
                <w:szCs w:val="21"/>
                <w:highlight w:val="none"/>
              </w:rPr>
              <w:t>打印速</w:t>
            </w:r>
            <w:r>
              <w:rPr>
                <w:rFonts w:hint="eastAsia" w:ascii="宋体" w:hAnsi="宋体" w:cs="宋体"/>
                <w:color w:val="auto"/>
                <w:spacing w:val="2"/>
                <w:w w:val="99"/>
                <w:szCs w:val="21"/>
                <w:highlight w:val="none"/>
              </w:rPr>
              <w:t>度</w:t>
            </w:r>
            <w:r>
              <w:rPr>
                <w:rFonts w:hint="eastAsia" w:ascii="宋体" w:hAnsi="宋体" w:cs="宋体"/>
                <w:color w:val="auto"/>
                <w:w w:val="99"/>
                <w:szCs w:val="21"/>
                <w:highlight w:val="none"/>
              </w:rPr>
              <w:t>为</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5</w:t>
            </w:r>
            <w:r>
              <w:rPr>
                <w:rFonts w:hint="eastAsia" w:ascii="宋体" w:hAnsi="宋体" w:cs="宋体"/>
                <w:color w:val="auto"/>
                <w:spacing w:val="2"/>
                <w:w w:val="99"/>
                <w:szCs w:val="21"/>
                <w:highlight w:val="none"/>
              </w:rPr>
              <w:t>页</w:t>
            </w:r>
            <w:r>
              <w:rPr>
                <w:rFonts w:hint="eastAsia" w:ascii="宋体" w:hAnsi="宋体" w:cs="宋体"/>
                <w:color w:val="auto"/>
                <w:spacing w:val="5"/>
                <w:w w:val="99"/>
                <w:szCs w:val="21"/>
                <w:highlight w:val="none"/>
              </w:rPr>
              <w:t>/</w:t>
            </w:r>
            <w:r>
              <w:rPr>
                <w:rFonts w:hint="eastAsia" w:ascii="宋体" w:hAnsi="宋体" w:cs="宋体"/>
                <w:color w:val="auto"/>
                <w:spacing w:val="4"/>
                <w:w w:val="99"/>
                <w:szCs w:val="21"/>
                <w:highlight w:val="none"/>
              </w:rPr>
              <w:t>分的</w:t>
            </w:r>
            <w:r>
              <w:rPr>
                <w:rFonts w:hint="eastAsia" w:ascii="宋体" w:hAnsi="宋体" w:cs="宋体"/>
                <w:color w:val="auto"/>
                <w:spacing w:val="2"/>
                <w:w w:val="99"/>
                <w:szCs w:val="21"/>
                <w:highlight w:val="none"/>
              </w:rPr>
              <w:t>针</w:t>
            </w:r>
            <w:r>
              <w:rPr>
                <w:rFonts w:hint="eastAsia" w:ascii="宋体" w:hAnsi="宋体" w:cs="宋体"/>
                <w:color w:val="auto"/>
                <w:spacing w:val="4"/>
                <w:w w:val="99"/>
                <w:szCs w:val="21"/>
                <w:highlight w:val="none"/>
              </w:rPr>
              <w:t>式</w:t>
            </w:r>
            <w:r>
              <w:rPr>
                <w:rFonts w:hint="eastAsia" w:ascii="宋体" w:hAnsi="宋体" w:cs="宋体"/>
                <w:color w:val="auto"/>
                <w:w w:val="99"/>
                <w:szCs w:val="21"/>
                <w:highlight w:val="none"/>
              </w:rPr>
              <w:t>打印机相</w:t>
            </w:r>
            <w:r>
              <w:rPr>
                <w:rFonts w:hint="eastAsia" w:ascii="宋体" w:hAnsi="宋体" w:cs="宋体"/>
                <w:color w:val="auto"/>
                <w:spacing w:val="2"/>
                <w:w w:val="99"/>
                <w:szCs w:val="21"/>
                <w:highlight w:val="none"/>
              </w:rPr>
              <w:t>关</w:t>
            </w:r>
            <w:r>
              <w:rPr>
                <w:rFonts w:hint="eastAsia" w:ascii="宋体" w:hAnsi="宋体" w:cs="宋体"/>
                <w:color w:val="auto"/>
                <w:w w:val="99"/>
                <w:szCs w:val="21"/>
                <w:highlight w:val="none"/>
              </w:rPr>
              <w:t>要求</w:t>
            </w:r>
          </w:p>
        </w:tc>
      </w:tr>
      <w:tr w14:paraId="659B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24E4CBDC">
            <w:pPr>
              <w:jc w:val="center"/>
              <w:rPr>
                <w:rFonts w:ascii="宋体" w:hAnsi="宋体" w:cs="宋体"/>
                <w:color w:val="auto"/>
                <w:szCs w:val="21"/>
                <w:highlight w:val="none"/>
              </w:rPr>
            </w:pPr>
            <w:r>
              <w:rPr>
                <w:rFonts w:hint="eastAsia" w:ascii="宋体" w:hAnsi="宋体" w:cs="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2E9A301A">
            <w:pPr>
              <w:jc w:val="center"/>
              <w:rPr>
                <w:rFonts w:ascii="宋体" w:hAnsi="宋体" w:cs="宋体"/>
                <w:color w:val="auto"/>
                <w:szCs w:val="21"/>
                <w:highlight w:val="none"/>
              </w:rPr>
            </w:pPr>
            <w:r>
              <w:rPr>
                <w:rFonts w:hint="eastAsia" w:ascii="宋体" w:hAnsi="宋体" w:cs="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DB4B7EB">
            <w:pPr>
              <w:jc w:val="center"/>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2DC2066">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01CB9A9">
            <w:pPr>
              <w:jc w:val="left"/>
              <w:rPr>
                <w:rFonts w:ascii="宋体" w:hAnsi="宋体" w:cs="宋体"/>
                <w:color w:val="auto"/>
                <w:szCs w:val="21"/>
                <w:highlight w:val="none"/>
              </w:rPr>
            </w:pPr>
            <w:r>
              <w:rPr>
                <w:rFonts w:hint="eastAsia" w:ascii="宋体" w:hAnsi="宋体" w:cs="宋体"/>
                <w:color w:val="auto"/>
                <w:w w:val="99"/>
                <w:szCs w:val="21"/>
                <w:highlight w:val="none"/>
              </w:rPr>
              <w:t>《投影</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w:t>
            </w:r>
            <w:r>
              <w:rPr>
                <w:rFonts w:hint="eastAsia" w:ascii="宋体" w:hAnsi="宋体" w:cs="宋体"/>
                <w:color w:val="auto"/>
                <w:spacing w:val="2"/>
                <w:w w:val="99"/>
                <w:szCs w:val="21"/>
                <w:highlight w:val="none"/>
              </w:rPr>
              <w:t>限</w:t>
            </w:r>
            <w:r>
              <w:rPr>
                <w:rFonts w:hint="eastAsia" w:ascii="宋体" w:hAnsi="宋体" w:cs="宋体"/>
                <w:color w:val="auto"/>
                <w:w w:val="99"/>
                <w:szCs w:val="21"/>
                <w:highlight w:val="none"/>
              </w:rPr>
              <w:t>定值</w:t>
            </w:r>
            <w:r>
              <w:rPr>
                <w:rFonts w:hint="eastAsia" w:ascii="宋体" w:hAnsi="宋体" w:cs="宋体"/>
                <w:color w:val="auto"/>
                <w:spacing w:val="2"/>
                <w:w w:val="99"/>
                <w:szCs w:val="21"/>
                <w:highlight w:val="none"/>
              </w:rPr>
              <w:t>及</w:t>
            </w:r>
            <w:r>
              <w:rPr>
                <w:rFonts w:hint="eastAsia" w:ascii="宋体" w:hAnsi="宋体" w:cs="宋体"/>
                <w:color w:val="auto"/>
                <w:w w:val="99"/>
                <w:szCs w:val="21"/>
                <w:highlight w:val="none"/>
              </w:rPr>
              <w:t>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3</w:t>
            </w:r>
            <w:r>
              <w:rPr>
                <w:rFonts w:hint="eastAsia" w:ascii="宋体" w:hAnsi="宋体" w:cs="宋体"/>
                <w:color w:val="auto"/>
                <w:w w:val="99"/>
                <w:szCs w:val="21"/>
                <w:highlight w:val="none"/>
              </w:rPr>
              <w:t>20</w:t>
            </w:r>
            <w:r>
              <w:rPr>
                <w:rFonts w:hint="eastAsia" w:ascii="宋体" w:hAnsi="宋体" w:cs="宋体"/>
                <w:color w:val="auto"/>
                <w:spacing w:val="1"/>
                <w:w w:val="99"/>
                <w:szCs w:val="21"/>
                <w:highlight w:val="none"/>
              </w:rPr>
              <w:t>28</w:t>
            </w:r>
            <w:r>
              <w:rPr>
                <w:rFonts w:hint="eastAsia" w:ascii="宋体" w:hAnsi="宋体" w:cs="宋体"/>
                <w:color w:val="auto"/>
                <w:w w:val="99"/>
                <w:szCs w:val="21"/>
                <w:highlight w:val="none"/>
              </w:rPr>
              <w:t>）</w:t>
            </w:r>
          </w:p>
        </w:tc>
      </w:tr>
      <w:tr w14:paraId="160A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E962BA5">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281D9A73">
            <w:pPr>
              <w:pStyle w:val="135"/>
              <w:spacing w:before="66"/>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23153A9">
            <w:pPr>
              <w:jc w:val="center"/>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1992B18">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59DD1A8">
            <w:pPr>
              <w:jc w:val="left"/>
              <w:rPr>
                <w:rFonts w:ascii="宋体" w:hAnsi="宋体" w:cs="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7AA5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733AB86">
            <w:pPr>
              <w:pStyle w:val="135"/>
              <w:spacing w:before="160"/>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13E83303">
            <w:pPr>
              <w:pStyle w:val="135"/>
              <w:spacing w:before="160"/>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0882DAC">
            <w:pPr>
              <w:pStyle w:val="135"/>
              <w:spacing w:before="160"/>
              <w:ind w:left="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83E3AEB">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F50F891">
            <w:pPr>
              <w:pStyle w:val="135"/>
              <w:spacing w:before="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《清水离心泵能效限定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及节</w:t>
            </w:r>
            <w:r>
              <w:rPr>
                <w:rFonts w:hint="eastAsia" w:ascii="宋体" w:hAnsi="宋体" w:cs="宋体"/>
                <w:color w:val="auto"/>
                <w:w w:val="99"/>
                <w:kern w:val="2"/>
                <w:sz w:val="21"/>
                <w:szCs w:val="21"/>
                <w:highlight w:val="none"/>
                <w:lang w:eastAsia="zh-CN"/>
              </w:rPr>
              <w:t>能评价值</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w:t>
            </w:r>
            <w:r>
              <w:rPr>
                <w:rFonts w:hint="eastAsia" w:ascii="宋体" w:hAnsi="宋体" w:cs="宋体"/>
                <w:color w:val="auto"/>
                <w:w w:val="99"/>
                <w:kern w:val="2"/>
                <w:sz w:val="21"/>
                <w:szCs w:val="21"/>
                <w:highlight w:val="none"/>
                <w:lang w:eastAsia="zh-CN"/>
              </w:rPr>
              <w:t>76</w:t>
            </w:r>
            <w:r>
              <w:rPr>
                <w:rFonts w:hint="eastAsia" w:ascii="宋体" w:hAnsi="宋体" w:cs="宋体"/>
                <w:color w:val="auto"/>
                <w:spacing w:val="1"/>
                <w:w w:val="99"/>
                <w:kern w:val="2"/>
                <w:sz w:val="21"/>
                <w:szCs w:val="21"/>
                <w:highlight w:val="none"/>
                <w:lang w:eastAsia="zh-CN"/>
              </w:rPr>
              <w:t>2</w:t>
            </w:r>
            <w:r>
              <w:rPr>
                <w:rFonts w:hint="eastAsia" w:ascii="宋体" w:hAnsi="宋体" w:cs="宋体"/>
                <w:color w:val="auto"/>
                <w:w w:val="99"/>
                <w:kern w:val="2"/>
                <w:sz w:val="21"/>
                <w:szCs w:val="21"/>
                <w:highlight w:val="none"/>
                <w:lang w:eastAsia="zh-CN"/>
              </w:rPr>
              <w:t>）</w:t>
            </w:r>
          </w:p>
        </w:tc>
      </w:tr>
      <w:tr w14:paraId="3822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4D683AC8">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59040D91">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6900D5BC">
            <w:pPr>
              <w:pStyle w:val="135"/>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5B3CE9D">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EB4563D">
            <w:pPr>
              <w:pStyle w:val="135"/>
              <w:spacing w:before="30"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《冷水机组能效限定值</w:t>
            </w:r>
            <w:r>
              <w:rPr>
                <w:rFonts w:hint="eastAsia" w:ascii="宋体" w:hAnsi="宋体" w:cs="宋体"/>
                <w:color w:val="auto"/>
                <w:spacing w:val="9"/>
                <w:w w:val="99"/>
                <w:kern w:val="2"/>
                <w:sz w:val="21"/>
                <w:szCs w:val="21"/>
                <w:highlight w:val="none"/>
                <w:lang w:eastAsia="zh-CN"/>
              </w:rPr>
              <w:t>及</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195</w:t>
            </w:r>
            <w:r>
              <w:rPr>
                <w:rFonts w:hint="eastAsia" w:ascii="宋体" w:hAnsi="宋体" w:cs="宋体"/>
                <w:color w:val="auto"/>
                <w:w w:val="99"/>
                <w:kern w:val="2"/>
                <w:sz w:val="21"/>
                <w:szCs w:val="21"/>
                <w:highlight w:val="none"/>
                <w:lang w:eastAsia="zh-CN"/>
              </w:rPr>
              <w:t>77</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《低</w:t>
            </w:r>
            <w:r>
              <w:rPr>
                <w:rFonts w:hint="eastAsia" w:ascii="宋体" w:hAnsi="宋体" w:cs="宋体"/>
                <w:color w:val="auto"/>
                <w:spacing w:val="2"/>
                <w:w w:val="99"/>
                <w:kern w:val="2"/>
                <w:sz w:val="21"/>
                <w:szCs w:val="21"/>
                <w:highlight w:val="none"/>
                <w:lang w:eastAsia="zh-CN"/>
              </w:rPr>
              <w:t>环</w:t>
            </w:r>
            <w:r>
              <w:rPr>
                <w:rFonts w:hint="eastAsia" w:ascii="宋体" w:hAnsi="宋体" w:cs="宋体"/>
                <w:color w:val="auto"/>
                <w:w w:val="99"/>
                <w:kern w:val="2"/>
                <w:sz w:val="21"/>
                <w:szCs w:val="21"/>
                <w:highlight w:val="none"/>
                <w:lang w:eastAsia="zh-CN"/>
              </w:rPr>
              <w:t>境温度空气源</w:t>
            </w:r>
            <w:r>
              <w:rPr>
                <w:rFonts w:hint="eastAsia" w:ascii="宋体" w:hAnsi="宋体" w:cs="宋体"/>
                <w:color w:val="auto"/>
                <w:spacing w:val="2"/>
                <w:w w:val="99"/>
                <w:kern w:val="2"/>
                <w:sz w:val="21"/>
                <w:szCs w:val="21"/>
                <w:highlight w:val="none"/>
                <w:lang w:eastAsia="zh-CN"/>
              </w:rPr>
              <w:t>热</w:t>
            </w:r>
            <w:r>
              <w:rPr>
                <w:rFonts w:hint="eastAsia" w:ascii="宋体" w:hAnsi="宋体" w:cs="宋体"/>
                <w:color w:val="auto"/>
                <w:spacing w:val="-29"/>
                <w:w w:val="99"/>
                <w:kern w:val="2"/>
                <w:sz w:val="21"/>
                <w:szCs w:val="21"/>
                <w:highlight w:val="none"/>
                <w:lang w:eastAsia="zh-CN"/>
              </w:rPr>
              <w:t>泵</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冷水</w:t>
            </w:r>
            <w:r>
              <w:rPr>
                <w:rFonts w:hint="eastAsia" w:ascii="宋体" w:hAnsi="宋体" w:cs="宋体"/>
                <w:color w:val="auto"/>
                <w:spacing w:val="-27"/>
                <w:w w:val="99"/>
                <w:kern w:val="2"/>
                <w:sz w:val="21"/>
                <w:szCs w:val="21"/>
                <w:highlight w:val="none"/>
                <w:lang w:eastAsia="zh-CN"/>
              </w:rPr>
              <w:t>）</w:t>
            </w:r>
            <w:r>
              <w:rPr>
                <w:rFonts w:hint="eastAsia" w:ascii="宋体" w:hAnsi="宋体" w:cs="宋体"/>
                <w:color w:val="auto"/>
                <w:w w:val="99"/>
                <w:kern w:val="2"/>
                <w:sz w:val="21"/>
                <w:szCs w:val="21"/>
                <w:highlight w:val="none"/>
                <w:lang w:eastAsia="zh-CN"/>
              </w:rPr>
              <w:t>机组</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效限定值及能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37</w:t>
            </w:r>
            <w:r>
              <w:rPr>
                <w:rFonts w:hint="eastAsia" w:ascii="宋体" w:hAnsi="宋体" w:cs="宋体"/>
                <w:color w:val="auto"/>
                <w:w w:val="99"/>
                <w:kern w:val="2"/>
                <w:sz w:val="21"/>
                <w:szCs w:val="21"/>
                <w:highlight w:val="none"/>
                <w:lang w:eastAsia="zh-CN"/>
              </w:rPr>
              <w:t>48</w:t>
            </w:r>
            <w:r>
              <w:rPr>
                <w:rFonts w:hint="eastAsia" w:ascii="宋体" w:hAnsi="宋体" w:cs="宋体"/>
                <w:color w:val="auto"/>
                <w:spacing w:val="-2"/>
                <w:w w:val="99"/>
                <w:kern w:val="2"/>
                <w:sz w:val="21"/>
                <w:szCs w:val="21"/>
                <w:highlight w:val="none"/>
                <w:lang w:eastAsia="zh-CN"/>
              </w:rPr>
              <w:t>0</w:t>
            </w:r>
            <w:r>
              <w:rPr>
                <w:rFonts w:hint="eastAsia" w:ascii="宋体" w:hAnsi="宋体" w:cs="宋体"/>
                <w:color w:val="auto"/>
                <w:w w:val="99"/>
                <w:kern w:val="2"/>
                <w:sz w:val="21"/>
                <w:szCs w:val="21"/>
                <w:highlight w:val="none"/>
                <w:lang w:eastAsia="zh-CN"/>
              </w:rPr>
              <w:t>）</w:t>
            </w:r>
          </w:p>
        </w:tc>
      </w:tr>
      <w:tr w14:paraId="4A3D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DC1F9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FA52D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4B3B3D7">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EBDF22C">
            <w:pPr>
              <w:jc w:val="center"/>
              <w:rPr>
                <w:rFonts w:ascii="宋体" w:hAnsi="宋体" w:cs="宋体"/>
                <w:color w:val="auto"/>
                <w:szCs w:val="21"/>
                <w:highlight w:val="none"/>
              </w:rPr>
            </w:pPr>
            <w:r>
              <w:rPr>
                <w:rFonts w:hint="eastAsia" w:ascii="宋体" w:hAnsi="宋体" w:cs="宋体"/>
                <w:color w:val="auto"/>
                <w:szCs w:val="21"/>
                <w:highlight w:val="none"/>
              </w:rPr>
              <w:t>溴化锂吸收式冷水机组</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704100A">
            <w:pPr>
              <w:pStyle w:val="135"/>
              <w:spacing w:before="93"/>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《溴化锂吸收式冷水机组能效限</w:t>
            </w:r>
          </w:p>
          <w:p w14:paraId="568F8918">
            <w:pPr>
              <w:jc w:val="left"/>
              <w:rPr>
                <w:rFonts w:ascii="宋体" w:hAnsi="宋体" w:cs="宋体"/>
                <w:color w:val="auto"/>
                <w:szCs w:val="21"/>
                <w:highlight w:val="none"/>
              </w:rPr>
            </w:pPr>
            <w:r>
              <w:rPr>
                <w:rFonts w:hint="eastAsia" w:ascii="宋体" w:hAnsi="宋体" w:cs="宋体"/>
                <w:color w:val="auto"/>
                <w:w w:val="99"/>
                <w:szCs w:val="21"/>
                <w:highlight w:val="none"/>
              </w:rPr>
              <w:t>定值及能效等级》（GB29540）</w:t>
            </w:r>
          </w:p>
        </w:tc>
      </w:tr>
      <w:tr w14:paraId="26BC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1F433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55423B">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0C87C41D">
            <w:pPr>
              <w:pStyle w:val="135"/>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78D66D0">
            <w:pPr>
              <w:pStyle w:val="135"/>
              <w:spacing w:before="4" w:line="276" w:lineRule="auto"/>
              <w:ind w:left="7" w:righ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3BB7EEE">
            <w:pPr>
              <w:pStyle w:val="135"/>
              <w:spacing w:before="160"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《多联式空调（热泵）机组能效限定值及能源效率等级》（GB21454）</w:t>
            </w:r>
          </w:p>
        </w:tc>
      </w:tr>
      <w:tr w14:paraId="2F56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8678AA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1B69F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E06AF2C">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9E13CEE">
            <w:pPr>
              <w:jc w:val="center"/>
              <w:rPr>
                <w:rFonts w:ascii="宋体" w:hAnsi="宋体" w:cs="宋体"/>
                <w:color w:val="auto"/>
                <w:szCs w:val="21"/>
                <w:highlight w:val="none"/>
              </w:rPr>
            </w:pPr>
            <w:r>
              <w:rPr>
                <w:rFonts w:hint="eastAsia" w:ascii="宋体" w:hAnsi="宋体" w:cs="宋体"/>
                <w:color w:val="auto"/>
                <w:w w:val="99"/>
                <w:szCs w:val="21"/>
                <w:highlight w:val="none"/>
              </w:rPr>
              <w:t>单元式空气调节机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FADE3E0">
            <w:pPr>
              <w:jc w:val="left"/>
              <w:rPr>
                <w:rFonts w:ascii="宋体" w:hAnsi="宋体" w:cs="宋体"/>
                <w:color w:val="auto"/>
                <w:szCs w:val="21"/>
                <w:highlight w:val="none"/>
              </w:rPr>
            </w:pPr>
            <w:r>
              <w:rPr>
                <w:rFonts w:hint="eastAsia" w:ascii="宋体" w:hAnsi="宋体" w:cs="宋体"/>
                <w:color w:val="auto"/>
                <w:w w:val="99"/>
                <w:szCs w:val="21"/>
                <w:highlight w:val="none"/>
              </w:rPr>
              <w:t>《单元式空气调节机能效限定值及能效等级》（GB19576）《风管送风式空调机组能效限定值及能效等级》（GB37479）</w:t>
            </w:r>
          </w:p>
        </w:tc>
      </w:tr>
      <w:tr w14:paraId="19FA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C620D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AE135BB">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626CBFA">
            <w:pPr>
              <w:pStyle w:val="135"/>
              <w:spacing w:before="83"/>
              <w:ind w:lef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C9221D8">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61C6A10">
            <w:pPr>
              <w:pStyle w:val="135"/>
              <w:spacing w:before="83"/>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《单元式空气调节机能效限定值</w:t>
            </w:r>
          </w:p>
          <w:p w14:paraId="623AD3AA">
            <w:pPr>
              <w:pStyle w:val="135"/>
              <w:spacing w:before="83"/>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及能效等级》（GB19576）</w:t>
            </w:r>
          </w:p>
        </w:tc>
      </w:tr>
      <w:tr w14:paraId="6405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664A7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C338E6">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B466C8F">
            <w:pPr>
              <w:pStyle w:val="135"/>
              <w:spacing w:line="254" w:lineRule="exact"/>
              <w:ind w:left="7"/>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14:paraId="54DBED46">
            <w:pPr>
              <w:pStyle w:val="135"/>
              <w:spacing w:line="254" w:lineRule="exact"/>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ACF05FD">
            <w:pPr>
              <w:widowControl/>
              <w:jc w:val="center"/>
              <w:rPr>
                <w:rFonts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41B3468">
            <w:pPr>
              <w:pStyle w:val="135"/>
              <w:spacing w:line="254" w:lineRule="exact"/>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《机械通风冷却塔第1部分：中小型开式冷却塔》（GB/T7190.1）</w:t>
            </w:r>
          </w:p>
          <w:p w14:paraId="1852E16E">
            <w:pPr>
              <w:pStyle w:val="135"/>
              <w:spacing w:line="254"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《机械通风冷却塔第2部分：大型开式冷却塔》（GB/T7190.2）</w:t>
            </w:r>
          </w:p>
        </w:tc>
      </w:tr>
      <w:tr w14:paraId="1826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7E5C9149">
            <w:pPr>
              <w:pStyle w:val="135"/>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6BA78349">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DB7294B">
            <w:pPr>
              <w:jc w:val="center"/>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EC5ABE3">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2F9D3C7">
            <w:pPr>
              <w:pStyle w:val="135"/>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《中小型三相异步电动机能效限定值及能效等级》（GB18613）</w:t>
            </w:r>
          </w:p>
        </w:tc>
      </w:tr>
      <w:tr w14:paraId="0140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2A157478">
            <w:pPr>
              <w:pStyle w:val="135"/>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100BC18E">
            <w:pPr>
              <w:pStyle w:val="135"/>
              <w:spacing w:before="30"/>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FF4B771">
            <w:pPr>
              <w:pStyle w:val="135"/>
              <w:jc w:val="center"/>
              <w:rPr>
                <w:rFonts w:ascii="宋体" w:hAnsi="宋体" w:cs="宋体"/>
                <w:color w:val="auto"/>
                <w:kern w:val="2"/>
                <w:sz w:val="21"/>
                <w:szCs w:val="21"/>
                <w:highlight w:val="none"/>
              </w:rPr>
            </w:pPr>
            <w:r>
              <w:rPr>
                <w:rFonts w:hint="eastAsia" w:ascii="宋体" w:hAnsi="宋体" w:cs="宋体"/>
                <w:color w:val="auto"/>
                <w:w w:val="99"/>
                <w:szCs w:val="21"/>
                <w:highlight w:val="none"/>
              </w:rPr>
              <w:t>★</w:t>
            </w:r>
            <w:r>
              <w:rPr>
                <w:rFonts w:hint="eastAsia" w:ascii="宋体" w:hAnsi="宋体" w:cs="宋体"/>
                <w:color w:val="auto"/>
                <w:w w:val="99"/>
                <w:kern w:val="2"/>
                <w:sz w:val="21"/>
                <w:szCs w:val="21"/>
                <w:highlight w:val="none"/>
              </w:rPr>
              <w:t>配电变压器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4C1FC66">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A086A32">
            <w:pPr>
              <w:pStyle w:val="135"/>
              <w:spacing w:before="30"/>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《三相配电变压器能效限定值及</w:t>
            </w:r>
          </w:p>
        </w:tc>
      </w:tr>
      <w:tr w14:paraId="70C0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6752FC44">
            <w:pPr>
              <w:pStyle w:val="135"/>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191241EC">
            <w:pPr>
              <w:pStyle w:val="135"/>
              <w:spacing w:before="126"/>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B62D8B3">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E9B40D4">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9872B15">
            <w:pPr>
              <w:pStyle w:val="135"/>
              <w:spacing w:before="126"/>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《管形荧光灯镇流器能效限定值及能效等级》（GB17896）</w:t>
            </w:r>
          </w:p>
        </w:tc>
      </w:tr>
      <w:tr w14:paraId="38FA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78F8A0ED">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52260002">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96115FA">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35C7C5E">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73800F9">
            <w:pPr>
              <w:pStyle w:val="135"/>
              <w:spacing w:before="126"/>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《家用电冰箱耗电量限定值及能效等级》（GB12021.2）</w:t>
            </w:r>
          </w:p>
        </w:tc>
      </w:tr>
      <w:tr w14:paraId="36E0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8653C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FC1191">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3F4C9B73">
            <w:pPr>
              <w:pStyle w:val="135"/>
              <w:spacing w:before="17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6E07C74">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C6BA2D8">
            <w:pPr>
              <w:pStyle w:val="135"/>
              <w:spacing w:line="256"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《房间空气调节器能效限定值及能效等级》（GB21455-2019）</w:t>
            </w:r>
          </w:p>
        </w:tc>
      </w:tr>
      <w:tr w14:paraId="38CE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9582A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F7643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11FEDF">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AEE1B22">
            <w:pPr>
              <w:pStyle w:val="135"/>
              <w:spacing w:before="4"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7D7846A">
            <w:pPr>
              <w:pStyle w:val="135"/>
              <w:spacing w:before="160"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《多联式空调（热泵）机组能效限定值及能源效率等级》（GB21454）</w:t>
            </w:r>
          </w:p>
        </w:tc>
      </w:tr>
      <w:tr w14:paraId="22F8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C3CA8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9EF48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4AF0682">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D325C12">
            <w:pPr>
              <w:pStyle w:val="13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2F0748A">
            <w:pPr>
              <w:pStyle w:val="135"/>
              <w:spacing w:before="4"/>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《单元式空气调节机能效限定值及能源效率等级》（GB19576）《风管送风式空调机组能效限定值及能效等级》（GB37479）</w:t>
            </w:r>
          </w:p>
        </w:tc>
      </w:tr>
      <w:tr w14:paraId="599E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F011B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2ECDA9">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0B65B3AA">
            <w:pPr>
              <w:pStyle w:val="135"/>
              <w:spacing w:before="162"/>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AA2F8A">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C62C859">
            <w:pPr>
              <w:pStyle w:val="135"/>
              <w:spacing w:before="6" w:line="276" w:lineRule="auto"/>
              <w:ind w:left="7" w:right="4"/>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《电动洗衣机能效水效限定值及等级》（GB12021.4）</w:t>
            </w:r>
          </w:p>
        </w:tc>
      </w:tr>
      <w:tr w14:paraId="7D78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E0269D2">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B3FE2F">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622D4B27">
            <w:pPr>
              <w:pStyle w:val="135"/>
              <w:spacing w:before="161"/>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F6AF702">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0CCFCA7">
            <w:pPr>
              <w:pStyle w:val="135"/>
              <w:tabs>
                <w:tab w:val="left" w:pos="1608"/>
              </w:tabs>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《储水式电热水器能效</w:t>
            </w:r>
            <w:r>
              <w:rPr>
                <w:rFonts w:hint="eastAsia" w:ascii="宋体" w:hAnsi="宋体" w:cs="宋体"/>
                <w:color w:val="auto"/>
                <w:spacing w:val="9"/>
                <w:w w:val="99"/>
                <w:kern w:val="2"/>
                <w:sz w:val="21"/>
                <w:szCs w:val="21"/>
                <w:highlight w:val="none"/>
                <w:lang w:eastAsia="zh-CN"/>
              </w:rPr>
              <w:t>限</w:t>
            </w:r>
            <w:r>
              <w:rPr>
                <w:rFonts w:hint="eastAsia" w:ascii="宋体" w:hAnsi="宋体" w:cs="宋体"/>
                <w:color w:val="auto"/>
                <w:spacing w:val="12"/>
                <w:w w:val="99"/>
                <w:kern w:val="2"/>
                <w:sz w:val="21"/>
                <w:szCs w:val="21"/>
                <w:highlight w:val="none"/>
                <w:lang w:eastAsia="zh-CN"/>
              </w:rPr>
              <w:t>定值</w:t>
            </w:r>
            <w:r>
              <w:rPr>
                <w:rFonts w:hint="eastAsia" w:ascii="宋体" w:hAnsi="宋体" w:cs="宋体"/>
                <w:color w:val="auto"/>
                <w:w w:val="99"/>
                <w:kern w:val="2"/>
                <w:sz w:val="21"/>
                <w:szCs w:val="21"/>
                <w:highlight w:val="none"/>
                <w:lang w:eastAsia="zh-CN"/>
              </w:rPr>
              <w:t>及能效等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51</w:t>
            </w:r>
            <w:r>
              <w:rPr>
                <w:rFonts w:hint="eastAsia" w:ascii="宋体" w:hAnsi="宋体" w:cs="宋体"/>
                <w:color w:val="auto"/>
                <w:spacing w:val="1"/>
                <w:w w:val="99"/>
                <w:kern w:val="2"/>
                <w:sz w:val="21"/>
                <w:szCs w:val="21"/>
                <w:highlight w:val="none"/>
                <w:lang w:eastAsia="zh-CN"/>
              </w:rPr>
              <w:t>9</w:t>
            </w:r>
            <w:r>
              <w:rPr>
                <w:rFonts w:hint="eastAsia" w:ascii="宋体" w:hAnsi="宋体" w:cs="宋体"/>
                <w:color w:val="auto"/>
                <w:w w:val="99"/>
                <w:kern w:val="2"/>
                <w:sz w:val="21"/>
                <w:szCs w:val="21"/>
                <w:highlight w:val="none"/>
                <w:lang w:eastAsia="zh-CN"/>
              </w:rPr>
              <w:t>）</w:t>
            </w:r>
          </w:p>
        </w:tc>
      </w:tr>
      <w:tr w14:paraId="0D35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DAC44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64799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705BBF">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1043D41">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BE344E1">
            <w:pPr>
              <w:pStyle w:val="135"/>
              <w:spacing w:before="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《家用燃气快速热水器</w:t>
            </w:r>
            <w:r>
              <w:rPr>
                <w:rFonts w:hint="eastAsia" w:ascii="宋体" w:hAnsi="宋体" w:cs="宋体"/>
                <w:color w:val="auto"/>
                <w:spacing w:val="9"/>
                <w:w w:val="99"/>
                <w:kern w:val="2"/>
                <w:sz w:val="21"/>
                <w:szCs w:val="21"/>
                <w:highlight w:val="none"/>
                <w:lang w:eastAsia="zh-CN"/>
              </w:rPr>
              <w:t>和</w:t>
            </w:r>
            <w:r>
              <w:rPr>
                <w:rFonts w:hint="eastAsia" w:ascii="宋体" w:hAnsi="宋体" w:cs="宋体"/>
                <w:color w:val="auto"/>
                <w:spacing w:val="12"/>
                <w:w w:val="99"/>
                <w:kern w:val="2"/>
                <w:sz w:val="21"/>
                <w:szCs w:val="21"/>
                <w:highlight w:val="none"/>
                <w:lang w:eastAsia="zh-CN"/>
              </w:rPr>
              <w:t>燃气</w:t>
            </w:r>
            <w:r>
              <w:rPr>
                <w:rFonts w:hint="eastAsia" w:ascii="宋体" w:hAnsi="宋体" w:cs="宋体"/>
                <w:color w:val="auto"/>
                <w:w w:val="99"/>
                <w:kern w:val="2"/>
                <w:sz w:val="21"/>
                <w:szCs w:val="21"/>
                <w:highlight w:val="none"/>
                <w:lang w:eastAsia="zh-CN"/>
              </w:rPr>
              <w:t>采暖热水</w:t>
            </w:r>
            <w:r>
              <w:rPr>
                <w:rFonts w:hint="eastAsia" w:ascii="宋体" w:hAnsi="宋体" w:cs="宋体"/>
                <w:color w:val="auto"/>
                <w:spacing w:val="2"/>
                <w:w w:val="99"/>
                <w:kern w:val="2"/>
                <w:sz w:val="21"/>
                <w:szCs w:val="21"/>
                <w:highlight w:val="none"/>
                <w:lang w:eastAsia="zh-CN"/>
              </w:rPr>
              <w:t>炉</w:t>
            </w:r>
            <w:r>
              <w:rPr>
                <w:rFonts w:hint="eastAsia" w:ascii="宋体" w:hAnsi="宋体" w:cs="宋体"/>
                <w:color w:val="auto"/>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w:t>
            </w:r>
            <w:r>
              <w:rPr>
                <w:rFonts w:hint="eastAsia" w:ascii="宋体" w:hAnsi="宋体" w:cs="宋体"/>
                <w:color w:val="auto"/>
                <w:spacing w:val="2"/>
                <w:w w:val="99"/>
                <w:kern w:val="2"/>
                <w:sz w:val="21"/>
                <w:szCs w:val="21"/>
                <w:highlight w:val="none"/>
                <w:lang w:eastAsia="zh-CN"/>
              </w:rPr>
              <w:t>及</w:t>
            </w:r>
            <w:r>
              <w:rPr>
                <w:rFonts w:hint="eastAsia" w:ascii="宋体" w:hAnsi="宋体" w:cs="宋体"/>
                <w:color w:val="auto"/>
                <w:w w:val="99"/>
                <w:kern w:val="2"/>
                <w:sz w:val="21"/>
                <w:szCs w:val="21"/>
                <w:highlight w:val="none"/>
                <w:lang w:eastAsia="zh-CN"/>
              </w:rPr>
              <w:t>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w:t>
            </w:r>
            <w:r>
              <w:rPr>
                <w:rFonts w:hint="eastAsia" w:ascii="宋体" w:hAnsi="宋体" w:cs="宋体"/>
                <w:color w:val="auto"/>
                <w:w w:val="99"/>
                <w:kern w:val="2"/>
                <w:sz w:val="21"/>
                <w:szCs w:val="21"/>
                <w:highlight w:val="none"/>
                <w:lang w:eastAsia="zh-CN"/>
              </w:rPr>
              <w:t>06</w:t>
            </w:r>
            <w:r>
              <w:rPr>
                <w:rFonts w:hint="eastAsia" w:ascii="宋体" w:hAnsi="宋体" w:cs="宋体"/>
                <w:color w:val="auto"/>
                <w:spacing w:val="1"/>
                <w:w w:val="99"/>
                <w:kern w:val="2"/>
                <w:sz w:val="21"/>
                <w:szCs w:val="21"/>
                <w:highlight w:val="none"/>
                <w:lang w:eastAsia="zh-CN"/>
              </w:rPr>
              <w:t>65</w:t>
            </w:r>
            <w:r>
              <w:rPr>
                <w:rFonts w:hint="eastAsia" w:ascii="宋体" w:hAnsi="宋体" w:cs="宋体"/>
                <w:color w:val="auto"/>
                <w:w w:val="99"/>
                <w:kern w:val="2"/>
                <w:sz w:val="21"/>
                <w:szCs w:val="21"/>
                <w:highlight w:val="none"/>
                <w:lang w:eastAsia="zh-CN"/>
              </w:rPr>
              <w:t>）</w:t>
            </w:r>
          </w:p>
        </w:tc>
      </w:tr>
      <w:tr w14:paraId="7C06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9A9A0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C562D1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595E727">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5EE3F10">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8FA4D32">
            <w:pPr>
              <w:pStyle w:val="135"/>
              <w:spacing w:before="93"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《热泵</w:t>
            </w:r>
            <w:r>
              <w:rPr>
                <w:rFonts w:hint="eastAsia" w:ascii="宋体" w:hAnsi="宋体" w:cs="宋体"/>
                <w:color w:val="auto"/>
                <w:spacing w:val="2"/>
                <w:w w:val="99"/>
                <w:kern w:val="2"/>
                <w:sz w:val="21"/>
                <w:szCs w:val="21"/>
                <w:highlight w:val="none"/>
                <w:lang w:eastAsia="zh-CN"/>
              </w:rPr>
              <w:t>热</w:t>
            </w:r>
            <w:r>
              <w:rPr>
                <w:rFonts w:hint="eastAsia" w:ascii="宋体" w:hAnsi="宋体" w:cs="宋体"/>
                <w:color w:val="auto"/>
                <w:w w:val="99"/>
                <w:kern w:val="2"/>
                <w:sz w:val="21"/>
                <w:szCs w:val="21"/>
                <w:highlight w:val="none"/>
                <w:lang w:eastAsia="zh-CN"/>
              </w:rPr>
              <w:t>水</w:t>
            </w:r>
            <w:r>
              <w:rPr>
                <w:rFonts w:hint="eastAsia" w:ascii="宋体" w:hAnsi="宋体" w:cs="宋体"/>
                <w:color w:val="auto"/>
                <w:spacing w:val="-27"/>
                <w:w w:val="99"/>
                <w:kern w:val="2"/>
                <w:sz w:val="21"/>
                <w:szCs w:val="21"/>
                <w:highlight w:val="none"/>
                <w:lang w:eastAsia="zh-CN"/>
              </w:rPr>
              <w:t>机</w:t>
            </w:r>
            <w:r>
              <w:rPr>
                <w:rFonts w:hint="eastAsia" w:ascii="宋体" w:hAnsi="宋体" w:cs="宋体"/>
                <w:color w:val="auto"/>
                <w:w w:val="99"/>
                <w:kern w:val="2"/>
                <w:sz w:val="21"/>
                <w:szCs w:val="21"/>
                <w:highlight w:val="none"/>
                <w:lang w:eastAsia="zh-CN"/>
              </w:rPr>
              <w:t>（器</w:t>
            </w:r>
            <w:r>
              <w:rPr>
                <w:rFonts w:hint="eastAsia" w:ascii="宋体" w:hAnsi="宋体" w:cs="宋体"/>
                <w:color w:val="auto"/>
                <w:spacing w:val="-27"/>
                <w:w w:val="99"/>
                <w:kern w:val="2"/>
                <w:sz w:val="21"/>
                <w:szCs w:val="21"/>
                <w:highlight w:val="none"/>
                <w:lang w:eastAsia="zh-CN"/>
              </w:rPr>
              <w:t>）</w:t>
            </w:r>
            <w:r>
              <w:rPr>
                <w:rFonts w:hint="eastAsia" w:ascii="宋体" w:hAnsi="宋体" w:cs="宋体"/>
                <w:color w:val="auto"/>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295</w:t>
            </w:r>
            <w:r>
              <w:rPr>
                <w:rFonts w:hint="eastAsia" w:ascii="宋体" w:hAnsi="宋体" w:cs="宋体"/>
                <w:color w:val="auto"/>
                <w:w w:val="99"/>
                <w:kern w:val="2"/>
                <w:sz w:val="21"/>
                <w:szCs w:val="21"/>
                <w:highlight w:val="none"/>
                <w:lang w:eastAsia="zh-CN"/>
              </w:rPr>
              <w:t>4</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2FD3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282EED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42DFCF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5E7433">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68A3A5F">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314F7C5">
            <w:pPr>
              <w:pStyle w:val="135"/>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《家用太阳能热水系统</w:t>
            </w:r>
            <w:r>
              <w:rPr>
                <w:rFonts w:hint="eastAsia" w:ascii="宋体" w:hAnsi="宋体" w:cs="宋体"/>
                <w:color w:val="auto"/>
                <w:spacing w:val="9"/>
                <w:w w:val="99"/>
                <w:kern w:val="2"/>
                <w:sz w:val="21"/>
                <w:szCs w:val="21"/>
                <w:highlight w:val="none"/>
                <w:lang w:eastAsia="zh-CN"/>
              </w:rPr>
              <w:t>能</w:t>
            </w:r>
            <w:r>
              <w:rPr>
                <w:rFonts w:hint="eastAsia" w:ascii="宋体" w:hAnsi="宋体" w:cs="宋体"/>
                <w:color w:val="auto"/>
                <w:spacing w:val="12"/>
                <w:w w:val="99"/>
                <w:kern w:val="2"/>
                <w:sz w:val="21"/>
                <w:szCs w:val="21"/>
                <w:highlight w:val="none"/>
                <w:lang w:eastAsia="zh-CN"/>
              </w:rPr>
              <w:t>效限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26</w:t>
            </w:r>
            <w:r>
              <w:rPr>
                <w:rFonts w:hint="eastAsia" w:ascii="宋体" w:hAnsi="宋体" w:cs="宋体"/>
                <w:color w:val="auto"/>
                <w:w w:val="99"/>
                <w:kern w:val="2"/>
                <w:sz w:val="21"/>
                <w:szCs w:val="21"/>
                <w:highlight w:val="none"/>
                <w:lang w:eastAsia="zh-CN"/>
              </w:rPr>
              <w:t>96</w:t>
            </w:r>
            <w:r>
              <w:rPr>
                <w:rFonts w:hint="eastAsia" w:ascii="宋体" w:hAnsi="宋体" w:cs="宋体"/>
                <w:color w:val="auto"/>
                <w:spacing w:val="-2"/>
                <w:w w:val="99"/>
                <w:kern w:val="2"/>
                <w:sz w:val="21"/>
                <w:szCs w:val="21"/>
                <w:highlight w:val="none"/>
                <w:lang w:eastAsia="zh-CN"/>
              </w:rPr>
              <w:t>9</w:t>
            </w:r>
            <w:r>
              <w:rPr>
                <w:rFonts w:hint="eastAsia" w:ascii="宋体" w:hAnsi="宋体" w:cs="宋体"/>
                <w:color w:val="auto"/>
                <w:w w:val="99"/>
                <w:kern w:val="2"/>
                <w:sz w:val="21"/>
                <w:szCs w:val="21"/>
                <w:highlight w:val="none"/>
                <w:lang w:eastAsia="zh-CN"/>
              </w:rPr>
              <w:t>）</w:t>
            </w:r>
          </w:p>
        </w:tc>
      </w:tr>
      <w:tr w14:paraId="7280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31BC094F">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2F375726">
            <w:pPr>
              <w:pStyle w:val="135"/>
              <w:spacing w:before="15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32FA80B">
            <w:pPr>
              <w:pStyle w:val="135"/>
              <w:spacing w:before="133"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★通照明用端荧光灯</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9199D38">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7ED2680">
            <w:pPr>
              <w:pStyle w:val="135"/>
              <w:spacing w:before="13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《普通照明用双端荧光</w:t>
            </w:r>
            <w:r>
              <w:rPr>
                <w:rFonts w:hint="eastAsia" w:ascii="宋体" w:hAnsi="宋体" w:cs="宋体"/>
                <w:color w:val="auto"/>
                <w:spacing w:val="9"/>
                <w:w w:val="99"/>
                <w:kern w:val="2"/>
                <w:sz w:val="21"/>
                <w:szCs w:val="21"/>
                <w:highlight w:val="none"/>
                <w:lang w:eastAsia="zh-CN"/>
              </w:rPr>
              <w:t>灯</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w:t>
            </w:r>
            <w:r>
              <w:rPr>
                <w:rFonts w:hint="eastAsia" w:ascii="宋体" w:hAnsi="宋体" w:cs="宋体"/>
                <w:color w:val="auto"/>
                <w:w w:val="99"/>
                <w:kern w:val="2"/>
                <w:sz w:val="21"/>
                <w:szCs w:val="21"/>
                <w:highlight w:val="none"/>
                <w:lang w:eastAsia="zh-CN"/>
              </w:rPr>
              <w:t>04</w:t>
            </w:r>
            <w:r>
              <w:rPr>
                <w:rFonts w:hint="eastAsia" w:ascii="宋体" w:hAnsi="宋体" w:cs="宋体"/>
                <w:color w:val="auto"/>
                <w:spacing w:val="1"/>
                <w:w w:val="99"/>
                <w:kern w:val="2"/>
                <w:sz w:val="21"/>
                <w:szCs w:val="21"/>
                <w:highlight w:val="none"/>
                <w:lang w:eastAsia="zh-CN"/>
              </w:rPr>
              <w:t>3</w:t>
            </w:r>
            <w:r>
              <w:rPr>
                <w:rFonts w:hint="eastAsia" w:ascii="宋体" w:hAnsi="宋体" w:cs="宋体"/>
                <w:color w:val="auto"/>
                <w:w w:val="99"/>
                <w:kern w:val="2"/>
                <w:sz w:val="21"/>
                <w:szCs w:val="21"/>
                <w:highlight w:val="none"/>
                <w:lang w:eastAsia="zh-CN"/>
              </w:rPr>
              <w:t>）</w:t>
            </w:r>
          </w:p>
        </w:tc>
      </w:tr>
      <w:tr w14:paraId="33EF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87C84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8D08E02">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0B1F50CC">
            <w:pPr>
              <w:pStyle w:val="135"/>
              <w:spacing w:before="92" w:line="276" w:lineRule="auto"/>
              <w:ind w:left="7" w:right="2"/>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81ACA66">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50C4246">
            <w:pPr>
              <w:pStyle w:val="135"/>
              <w:spacing w:before="92" w:line="276" w:lineRule="auto"/>
              <w:ind w:left="7"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道</w:t>
            </w:r>
            <w:r>
              <w:rPr>
                <w:rFonts w:hint="eastAsia" w:ascii="宋体" w:hAnsi="宋体" w:cs="宋体"/>
                <w:color w:val="auto"/>
                <w:spacing w:val="4"/>
                <w:w w:val="99"/>
                <w:kern w:val="2"/>
                <w:sz w:val="21"/>
                <w:szCs w:val="21"/>
                <w:highlight w:val="none"/>
                <w:lang w:eastAsia="zh-CN"/>
              </w:rPr>
              <w:t>路和隧道照</w:t>
            </w:r>
            <w:r>
              <w:rPr>
                <w:rFonts w:hint="eastAsia" w:ascii="宋体" w:hAnsi="宋体" w:cs="宋体"/>
                <w:color w:val="auto"/>
                <w:spacing w:val="2"/>
                <w:w w:val="99"/>
                <w:kern w:val="2"/>
                <w:sz w:val="21"/>
                <w:szCs w:val="21"/>
                <w:highlight w:val="none"/>
                <w:lang w:eastAsia="zh-CN"/>
              </w:rPr>
              <w:t>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灯</w:t>
            </w:r>
            <w:r>
              <w:rPr>
                <w:rFonts w:hint="eastAsia" w:ascii="宋体" w:hAnsi="宋体" w:cs="宋体"/>
                <w:color w:val="auto"/>
                <w:spacing w:val="2"/>
                <w:w w:val="99"/>
                <w:kern w:val="2"/>
                <w:sz w:val="21"/>
                <w:szCs w:val="21"/>
                <w:highlight w:val="none"/>
                <w:lang w:eastAsia="zh-CN"/>
              </w:rPr>
              <w:t>具</w:t>
            </w:r>
            <w:r>
              <w:rPr>
                <w:rFonts w:hint="eastAsia" w:ascii="宋体" w:hAnsi="宋体" w:cs="宋体"/>
                <w:color w:val="auto"/>
                <w:w w:val="99"/>
                <w:kern w:val="2"/>
                <w:sz w:val="21"/>
                <w:szCs w:val="21"/>
                <w:highlight w:val="none"/>
                <w:lang w:eastAsia="zh-CN"/>
              </w:rPr>
              <w:t>能效限定</w:t>
            </w:r>
            <w:r>
              <w:rPr>
                <w:rFonts w:hint="eastAsia" w:ascii="宋体" w:hAnsi="宋体" w:cs="宋体"/>
                <w:color w:val="auto"/>
                <w:spacing w:val="2"/>
                <w:w w:val="99"/>
                <w:kern w:val="2"/>
                <w:sz w:val="21"/>
                <w:szCs w:val="21"/>
                <w:highlight w:val="none"/>
                <w:lang w:eastAsia="zh-CN"/>
              </w:rPr>
              <w:t>值</w:t>
            </w:r>
            <w:r>
              <w:rPr>
                <w:rFonts w:hint="eastAsia" w:ascii="宋体" w:hAnsi="宋体" w:cs="宋体"/>
                <w:color w:val="auto"/>
                <w:w w:val="99"/>
                <w:kern w:val="2"/>
                <w:sz w:val="21"/>
                <w:szCs w:val="21"/>
                <w:highlight w:val="none"/>
                <w:lang w:eastAsia="zh-CN"/>
              </w:rPr>
              <w:t>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06"/>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3747</w:t>
            </w:r>
            <w:r>
              <w:rPr>
                <w:rFonts w:hint="eastAsia" w:ascii="宋体" w:hAnsi="宋体" w:cs="宋体"/>
                <w:color w:val="auto"/>
                <w:w w:val="99"/>
                <w:kern w:val="2"/>
                <w:sz w:val="21"/>
                <w:szCs w:val="21"/>
                <w:highlight w:val="none"/>
                <w:lang w:eastAsia="zh-CN"/>
              </w:rPr>
              <w:t>8</w:t>
            </w:r>
          </w:p>
        </w:tc>
      </w:tr>
      <w:tr w14:paraId="1169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D3BB5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C1684D1">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A92A1A3">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C693FA6">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0ADA247">
            <w:pPr>
              <w:pStyle w:val="135"/>
              <w:spacing w:before="83" w:line="276" w:lineRule="auto"/>
              <w:ind w:left="7"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室</w:t>
            </w:r>
            <w:r>
              <w:rPr>
                <w:rFonts w:hint="eastAsia" w:ascii="宋体" w:hAnsi="宋体" w:cs="宋体"/>
                <w:color w:val="auto"/>
                <w:spacing w:val="4"/>
                <w:w w:val="99"/>
                <w:kern w:val="2"/>
                <w:sz w:val="21"/>
                <w:szCs w:val="21"/>
                <w:highlight w:val="none"/>
                <w:lang w:eastAsia="zh-CN"/>
              </w:rPr>
              <w:t>内照明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产</w:t>
            </w:r>
            <w:r>
              <w:rPr>
                <w:rFonts w:hint="eastAsia" w:ascii="宋体" w:hAnsi="宋体" w:cs="宋体"/>
                <w:color w:val="auto"/>
                <w:spacing w:val="2"/>
                <w:w w:val="99"/>
                <w:kern w:val="2"/>
                <w:sz w:val="21"/>
                <w:szCs w:val="21"/>
                <w:highlight w:val="none"/>
                <w:lang w:eastAsia="zh-CN"/>
              </w:rPr>
              <w:t>品</w:t>
            </w:r>
            <w:r>
              <w:rPr>
                <w:rFonts w:hint="eastAsia" w:ascii="宋体" w:hAnsi="宋体" w:cs="宋体"/>
                <w:color w:val="auto"/>
                <w:spacing w:val="4"/>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25</w:t>
            </w:r>
            <w:r>
              <w:rPr>
                <w:rFonts w:hint="eastAsia" w:ascii="宋体" w:hAnsi="宋体" w:cs="宋体"/>
                <w:color w:val="auto"/>
                <w:spacing w:val="-2"/>
                <w:w w:val="99"/>
                <w:kern w:val="2"/>
                <w:sz w:val="21"/>
                <w:szCs w:val="21"/>
                <w:highlight w:val="none"/>
                <w:lang w:eastAsia="zh-CN"/>
              </w:rPr>
              <w:t>5</w:t>
            </w:r>
            <w:r>
              <w:rPr>
                <w:rFonts w:hint="eastAsia" w:ascii="宋体" w:hAnsi="宋体" w:cs="宋体"/>
                <w:color w:val="auto"/>
                <w:w w:val="99"/>
                <w:kern w:val="2"/>
                <w:sz w:val="21"/>
                <w:szCs w:val="21"/>
                <w:highlight w:val="none"/>
                <w:lang w:eastAsia="zh-CN"/>
              </w:rPr>
              <w:t>）</w:t>
            </w:r>
          </w:p>
        </w:tc>
      </w:tr>
      <w:tr w14:paraId="3475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D3E2A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5C636FD">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58FBBC6D">
            <w:pPr>
              <w:pStyle w:val="135"/>
              <w:spacing w:line="276" w:lineRule="auto"/>
              <w:ind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A29636E">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7CF31FA">
            <w:pPr>
              <w:pStyle w:val="135"/>
              <w:spacing w:line="276" w:lineRule="auto"/>
              <w:ind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室</w:t>
            </w:r>
            <w:r>
              <w:rPr>
                <w:rFonts w:hint="eastAsia" w:ascii="宋体" w:hAnsi="宋体" w:cs="宋体"/>
                <w:color w:val="auto"/>
                <w:spacing w:val="4"/>
                <w:w w:val="99"/>
                <w:kern w:val="2"/>
                <w:sz w:val="21"/>
                <w:szCs w:val="21"/>
                <w:highlight w:val="none"/>
                <w:lang w:eastAsia="zh-CN"/>
              </w:rPr>
              <w:t>内照明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产</w:t>
            </w:r>
            <w:r>
              <w:rPr>
                <w:rFonts w:hint="eastAsia" w:ascii="宋体" w:hAnsi="宋体" w:cs="宋体"/>
                <w:color w:val="auto"/>
                <w:spacing w:val="2"/>
                <w:w w:val="99"/>
                <w:kern w:val="2"/>
                <w:sz w:val="21"/>
                <w:szCs w:val="21"/>
                <w:highlight w:val="none"/>
                <w:lang w:eastAsia="zh-CN"/>
              </w:rPr>
              <w:t>品</w:t>
            </w:r>
            <w:r>
              <w:rPr>
                <w:rFonts w:hint="eastAsia" w:ascii="宋体" w:hAnsi="宋体" w:cs="宋体"/>
                <w:color w:val="auto"/>
                <w:spacing w:val="4"/>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25</w:t>
            </w:r>
            <w:r>
              <w:rPr>
                <w:rFonts w:hint="eastAsia" w:ascii="宋体" w:hAnsi="宋体" w:cs="宋体"/>
                <w:color w:val="auto"/>
                <w:spacing w:val="-2"/>
                <w:w w:val="99"/>
                <w:kern w:val="2"/>
                <w:sz w:val="21"/>
                <w:szCs w:val="21"/>
                <w:highlight w:val="none"/>
                <w:lang w:eastAsia="zh-CN"/>
              </w:rPr>
              <w:t>5</w:t>
            </w:r>
            <w:r>
              <w:rPr>
                <w:rFonts w:hint="eastAsia" w:ascii="宋体" w:hAnsi="宋体" w:cs="宋体"/>
                <w:color w:val="auto"/>
                <w:w w:val="99"/>
                <w:kern w:val="2"/>
                <w:sz w:val="21"/>
                <w:szCs w:val="21"/>
                <w:highlight w:val="none"/>
                <w:lang w:eastAsia="zh-CN"/>
              </w:rPr>
              <w:t>）</w:t>
            </w:r>
          </w:p>
        </w:tc>
      </w:tr>
      <w:tr w14:paraId="52F2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5034096D">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5AFD6AFB">
            <w:pPr>
              <w:pStyle w:val="135"/>
              <w:spacing w:before="81"/>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A7C9285">
            <w:pPr>
              <w:pStyle w:val="135"/>
              <w:spacing w:before="81" w:line="276" w:lineRule="auto"/>
              <w:ind w:left="7" w:right="5"/>
              <w:jc w:val="center"/>
              <w:rPr>
                <w:rFonts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BD77B7D">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E20BC4C">
            <w:pPr>
              <w:pStyle w:val="135"/>
              <w:spacing w:before="81" w:line="276" w:lineRule="auto"/>
              <w:ind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《平板电视能效限定值</w:t>
            </w:r>
            <w:r>
              <w:rPr>
                <w:rFonts w:hint="eastAsia" w:ascii="宋体" w:hAnsi="宋体" w:cs="宋体"/>
                <w:color w:val="auto"/>
                <w:spacing w:val="9"/>
                <w:w w:val="99"/>
                <w:kern w:val="2"/>
                <w:sz w:val="21"/>
                <w:szCs w:val="21"/>
                <w:highlight w:val="none"/>
                <w:lang w:eastAsia="zh-CN"/>
              </w:rPr>
              <w:t>及</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248</w:t>
            </w:r>
            <w:r>
              <w:rPr>
                <w:rFonts w:hint="eastAsia" w:ascii="宋体" w:hAnsi="宋体" w:cs="宋体"/>
                <w:color w:val="auto"/>
                <w:w w:val="99"/>
                <w:kern w:val="2"/>
                <w:sz w:val="21"/>
                <w:szCs w:val="21"/>
                <w:highlight w:val="none"/>
                <w:lang w:eastAsia="zh-CN"/>
              </w:rPr>
              <w:t>50）</w:t>
            </w:r>
          </w:p>
        </w:tc>
      </w:tr>
      <w:tr w14:paraId="7D71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3DA5F12E">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0DBFC3DD">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2D6EEC6">
            <w:pPr>
              <w:pStyle w:val="135"/>
              <w:spacing w:line="276" w:lineRule="auto"/>
              <w:ind w:right="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4013FB7">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E106EB4">
            <w:pPr>
              <w:pStyle w:val="135"/>
              <w:spacing w:before="28" w:line="276" w:lineRule="auto"/>
              <w:ind w:left="7" w:right="5"/>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以射频信号为主要信号</w:t>
            </w:r>
            <w:r>
              <w:rPr>
                <w:rFonts w:hint="eastAsia" w:ascii="宋体" w:hAnsi="宋体" w:cs="宋体"/>
                <w:color w:val="auto"/>
                <w:spacing w:val="9"/>
                <w:w w:val="99"/>
                <w:kern w:val="2"/>
                <w:sz w:val="21"/>
                <w:szCs w:val="21"/>
                <w:highlight w:val="none"/>
                <w:lang w:eastAsia="zh-CN"/>
              </w:rPr>
              <w:t>输</w:t>
            </w:r>
            <w:r>
              <w:rPr>
                <w:rFonts w:hint="eastAsia" w:ascii="宋体" w:hAnsi="宋体" w:cs="宋体"/>
                <w:color w:val="auto"/>
                <w:spacing w:val="12"/>
                <w:w w:val="99"/>
                <w:kern w:val="2"/>
                <w:sz w:val="21"/>
                <w:szCs w:val="21"/>
                <w:highlight w:val="none"/>
                <w:lang w:eastAsia="zh-CN"/>
              </w:rPr>
              <w:t>入的</w:t>
            </w:r>
            <w:r>
              <w:rPr>
                <w:rFonts w:hint="eastAsia" w:ascii="宋体" w:hAnsi="宋体" w:cs="宋体"/>
                <w:color w:val="auto"/>
                <w:w w:val="99"/>
                <w:kern w:val="2"/>
                <w:sz w:val="21"/>
                <w:szCs w:val="21"/>
                <w:highlight w:val="none"/>
                <w:lang w:eastAsia="zh-CN"/>
              </w:rPr>
              <w:t>监视器应</w:t>
            </w:r>
            <w:r>
              <w:rPr>
                <w:rFonts w:hint="eastAsia" w:ascii="宋体" w:hAnsi="宋体" w:cs="宋体"/>
                <w:color w:val="auto"/>
                <w:spacing w:val="2"/>
                <w:w w:val="99"/>
                <w:kern w:val="2"/>
                <w:sz w:val="21"/>
                <w:szCs w:val="21"/>
                <w:highlight w:val="none"/>
                <w:lang w:eastAsia="zh-CN"/>
              </w:rPr>
              <w:t>符</w:t>
            </w:r>
            <w:r>
              <w:rPr>
                <w:rFonts w:hint="eastAsia" w:ascii="宋体" w:hAnsi="宋体" w:cs="宋体"/>
                <w:color w:val="auto"/>
                <w:spacing w:val="-58"/>
                <w:w w:val="99"/>
                <w:kern w:val="2"/>
                <w:sz w:val="21"/>
                <w:szCs w:val="21"/>
                <w:highlight w:val="none"/>
                <w:lang w:eastAsia="zh-CN"/>
              </w:rPr>
              <w:t>合</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平板</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限定值及能效</w:t>
            </w:r>
            <w:r>
              <w:rPr>
                <w:rFonts w:hint="eastAsia" w:ascii="宋体" w:hAnsi="宋体" w:cs="宋体"/>
                <w:color w:val="auto"/>
                <w:spacing w:val="2"/>
                <w:w w:val="99"/>
                <w:kern w:val="2"/>
                <w:sz w:val="21"/>
                <w:szCs w:val="21"/>
                <w:highlight w:val="none"/>
                <w:lang w:eastAsia="zh-CN"/>
              </w:rPr>
              <w:t>等</w:t>
            </w:r>
            <w:r>
              <w:rPr>
                <w:rFonts w:hint="eastAsia" w:ascii="宋体" w:hAnsi="宋体" w:cs="宋体"/>
                <w:color w:val="auto"/>
                <w:w w:val="99"/>
                <w:kern w:val="2"/>
                <w:sz w:val="21"/>
                <w:szCs w:val="21"/>
                <w:highlight w:val="none"/>
                <w:lang w:eastAsia="zh-CN"/>
              </w:rPr>
              <w:t>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24850</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2"/>
                <w:w w:val="99"/>
                <w:kern w:val="2"/>
                <w:sz w:val="21"/>
                <w:szCs w:val="21"/>
                <w:highlight w:val="none"/>
                <w:lang w:eastAsia="zh-CN"/>
              </w:rPr>
              <w:t>以数字信号为主要信号</w:t>
            </w:r>
            <w:r>
              <w:rPr>
                <w:rFonts w:hint="eastAsia" w:ascii="宋体" w:hAnsi="宋体" w:cs="宋体"/>
                <w:color w:val="auto"/>
                <w:spacing w:val="9"/>
                <w:w w:val="99"/>
                <w:kern w:val="2"/>
                <w:sz w:val="21"/>
                <w:szCs w:val="21"/>
                <w:highlight w:val="none"/>
                <w:lang w:eastAsia="zh-CN"/>
              </w:rPr>
              <w:t>输</w:t>
            </w:r>
            <w:r>
              <w:rPr>
                <w:rFonts w:hint="eastAsia" w:ascii="宋体" w:hAnsi="宋体" w:cs="宋体"/>
                <w:color w:val="auto"/>
                <w:spacing w:val="12"/>
                <w:w w:val="99"/>
                <w:kern w:val="2"/>
                <w:sz w:val="21"/>
                <w:szCs w:val="21"/>
                <w:highlight w:val="none"/>
                <w:lang w:eastAsia="zh-CN"/>
              </w:rPr>
              <w:t>入的</w:t>
            </w:r>
            <w:r>
              <w:rPr>
                <w:rFonts w:hint="eastAsia" w:ascii="宋体" w:hAnsi="宋体" w:cs="宋体"/>
                <w:color w:val="auto"/>
                <w:w w:val="99"/>
                <w:kern w:val="2"/>
                <w:sz w:val="21"/>
                <w:szCs w:val="21"/>
                <w:highlight w:val="none"/>
                <w:lang w:eastAsia="zh-CN"/>
              </w:rPr>
              <w:t>监视器应</w:t>
            </w:r>
            <w:r>
              <w:rPr>
                <w:rFonts w:hint="eastAsia" w:ascii="宋体" w:hAnsi="宋体" w:cs="宋体"/>
                <w:color w:val="auto"/>
                <w:spacing w:val="2"/>
                <w:w w:val="99"/>
                <w:kern w:val="2"/>
                <w:sz w:val="21"/>
                <w:szCs w:val="21"/>
                <w:highlight w:val="none"/>
                <w:lang w:eastAsia="zh-CN"/>
              </w:rPr>
              <w:t>符</w:t>
            </w:r>
            <w:r>
              <w:rPr>
                <w:rFonts w:hint="eastAsia" w:ascii="宋体" w:hAnsi="宋体" w:cs="宋体"/>
                <w:color w:val="auto"/>
                <w:spacing w:val="-58"/>
                <w:w w:val="99"/>
                <w:kern w:val="2"/>
                <w:sz w:val="21"/>
                <w:szCs w:val="21"/>
                <w:highlight w:val="none"/>
                <w:lang w:eastAsia="zh-CN"/>
              </w:rPr>
              <w:t>合</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计算</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显示</w:t>
            </w:r>
            <w:r>
              <w:rPr>
                <w:rFonts w:hint="eastAsia" w:ascii="宋体" w:hAnsi="宋体" w:cs="宋体"/>
                <w:color w:val="auto"/>
                <w:spacing w:val="2"/>
                <w:w w:val="99"/>
                <w:kern w:val="2"/>
                <w:sz w:val="21"/>
                <w:szCs w:val="21"/>
                <w:highlight w:val="none"/>
                <w:lang w:eastAsia="zh-CN"/>
              </w:rPr>
              <w:t>器</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0</w:t>
            </w:r>
            <w:r>
              <w:rPr>
                <w:rFonts w:hint="eastAsia" w:ascii="宋体" w:hAnsi="宋体" w:cs="宋体"/>
                <w:color w:val="auto"/>
                <w:w w:val="99"/>
                <w:kern w:val="2"/>
                <w:sz w:val="21"/>
                <w:szCs w:val="21"/>
                <w:highlight w:val="none"/>
                <w:lang w:eastAsia="zh-CN"/>
              </w:rPr>
              <w:t>）</w:t>
            </w:r>
          </w:p>
        </w:tc>
      </w:tr>
      <w:tr w14:paraId="3324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6D8C50A">
            <w:pPr>
              <w:pStyle w:val="13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4B9FCFF1">
            <w:pPr>
              <w:pStyle w:val="135"/>
              <w:spacing w:before="76"/>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53EC5DEE">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4A3012F">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28D2838">
            <w:pPr>
              <w:pStyle w:val="135"/>
              <w:spacing w:before="76"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《商用燃气灶具能效限</w:t>
            </w:r>
            <w:r>
              <w:rPr>
                <w:rFonts w:hint="eastAsia" w:ascii="宋体" w:hAnsi="宋体" w:cs="宋体"/>
                <w:color w:val="auto"/>
                <w:spacing w:val="9"/>
                <w:w w:val="99"/>
                <w:kern w:val="2"/>
                <w:sz w:val="21"/>
                <w:szCs w:val="21"/>
                <w:highlight w:val="none"/>
                <w:lang w:eastAsia="zh-CN"/>
              </w:rPr>
              <w:t>定</w:t>
            </w:r>
            <w:r>
              <w:rPr>
                <w:rFonts w:hint="eastAsia" w:ascii="宋体" w:hAnsi="宋体" w:cs="宋体"/>
                <w:color w:val="auto"/>
                <w:spacing w:val="12"/>
                <w:w w:val="99"/>
                <w:kern w:val="2"/>
                <w:sz w:val="21"/>
                <w:szCs w:val="21"/>
                <w:highlight w:val="none"/>
                <w:lang w:eastAsia="zh-CN"/>
              </w:rPr>
              <w:t>值及</w:t>
            </w:r>
            <w:r>
              <w:rPr>
                <w:rFonts w:hint="eastAsia" w:ascii="宋体" w:hAnsi="宋体" w:cs="宋体"/>
                <w:color w:val="auto"/>
                <w:w w:val="99"/>
                <w:kern w:val="2"/>
                <w:sz w:val="21"/>
                <w:szCs w:val="21"/>
                <w:highlight w:val="none"/>
                <w:lang w:eastAsia="zh-CN"/>
              </w:rPr>
              <w:t>能效等级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53</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5069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34639363">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1109B14B">
            <w:pPr>
              <w:pStyle w:val="135"/>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38F8381">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0C13A66">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5A7D57C">
            <w:pPr>
              <w:pStyle w:val="135"/>
              <w:spacing w:before="124"/>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《坐便</w:t>
            </w:r>
            <w:r>
              <w:rPr>
                <w:rFonts w:hint="eastAsia" w:ascii="宋体" w:hAnsi="宋体" w:cs="宋体"/>
                <w:color w:val="auto"/>
                <w:spacing w:val="2"/>
                <w:w w:val="99"/>
                <w:kern w:val="2"/>
                <w:sz w:val="21"/>
                <w:szCs w:val="21"/>
                <w:highlight w:val="none"/>
                <w:lang w:eastAsia="zh-CN"/>
              </w:rPr>
              <w:t>器</w:t>
            </w:r>
            <w:r>
              <w:rPr>
                <w:rFonts w:hint="eastAsia" w:ascii="宋体" w:hAnsi="宋体" w:cs="宋体"/>
                <w:color w:val="auto"/>
                <w:w w:val="99"/>
                <w:kern w:val="2"/>
                <w:sz w:val="21"/>
                <w:szCs w:val="21"/>
                <w:highlight w:val="none"/>
                <w:lang w:eastAsia="zh-CN"/>
              </w:rPr>
              <w:t>水效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w:t>
            </w:r>
            <w:r>
              <w:rPr>
                <w:rFonts w:hint="eastAsia" w:ascii="宋体" w:hAnsi="宋体" w:cs="宋体"/>
                <w:color w:val="auto"/>
                <w:spacing w:val="2"/>
                <w:w w:val="99"/>
                <w:kern w:val="2"/>
                <w:sz w:val="21"/>
                <w:szCs w:val="21"/>
                <w:highlight w:val="none"/>
                <w:lang w:eastAsia="zh-CN"/>
              </w:rPr>
              <w:t>及</w:t>
            </w:r>
            <w:r>
              <w:rPr>
                <w:rFonts w:hint="eastAsia" w:ascii="宋体" w:hAnsi="宋体" w:cs="宋体"/>
                <w:color w:val="auto"/>
                <w:w w:val="99"/>
                <w:kern w:val="2"/>
                <w:sz w:val="21"/>
                <w:szCs w:val="21"/>
                <w:highlight w:val="none"/>
                <w:lang w:eastAsia="zh-CN"/>
              </w:rPr>
              <w:t>水</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p>
          <w:p w14:paraId="4AA9FEC4">
            <w:pPr>
              <w:pStyle w:val="135"/>
              <w:spacing w:before="50"/>
              <w:ind w:left="7"/>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G</w:t>
            </w:r>
            <w:r>
              <w:rPr>
                <w:rFonts w:hint="eastAsia" w:ascii="宋体" w:hAnsi="宋体" w:cs="宋体"/>
                <w:color w:val="auto"/>
                <w:w w:val="99"/>
                <w:kern w:val="2"/>
                <w:sz w:val="21"/>
                <w:szCs w:val="21"/>
                <w:highlight w:val="none"/>
              </w:rPr>
              <w:t>B</w:t>
            </w:r>
            <w:r>
              <w:rPr>
                <w:rFonts w:hint="eastAsia" w:ascii="宋体" w:hAnsi="宋体" w:cs="宋体"/>
                <w:color w:val="auto"/>
                <w:spacing w:val="1"/>
                <w:w w:val="99"/>
                <w:kern w:val="2"/>
                <w:sz w:val="21"/>
                <w:szCs w:val="21"/>
                <w:highlight w:val="none"/>
              </w:rPr>
              <w:t>2</w:t>
            </w:r>
            <w:r>
              <w:rPr>
                <w:rFonts w:hint="eastAsia" w:ascii="宋体" w:hAnsi="宋体" w:cs="宋体"/>
                <w:color w:val="auto"/>
                <w:w w:val="99"/>
                <w:kern w:val="2"/>
                <w:sz w:val="21"/>
                <w:szCs w:val="21"/>
                <w:highlight w:val="none"/>
              </w:rPr>
              <w:t>55</w:t>
            </w:r>
            <w:r>
              <w:rPr>
                <w:rFonts w:hint="eastAsia" w:ascii="宋体" w:hAnsi="宋体" w:cs="宋体"/>
                <w:color w:val="auto"/>
                <w:spacing w:val="1"/>
                <w:w w:val="99"/>
                <w:kern w:val="2"/>
                <w:sz w:val="21"/>
                <w:szCs w:val="21"/>
                <w:highlight w:val="none"/>
              </w:rPr>
              <w:t>02</w:t>
            </w:r>
            <w:r>
              <w:rPr>
                <w:rFonts w:hint="eastAsia" w:ascii="宋体" w:hAnsi="宋体" w:cs="宋体"/>
                <w:color w:val="auto"/>
                <w:w w:val="99"/>
                <w:kern w:val="2"/>
                <w:sz w:val="21"/>
                <w:szCs w:val="21"/>
                <w:highlight w:val="none"/>
              </w:rPr>
              <w:t>）</w:t>
            </w:r>
          </w:p>
        </w:tc>
      </w:tr>
      <w:tr w14:paraId="1EDF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F01FE2">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CF7515">
            <w:pPr>
              <w:widowControl/>
              <w:jc w:val="left"/>
              <w:rPr>
                <w:rFonts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75E4271">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A7B8EC7">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ACD0BA1">
            <w:pPr>
              <w:pStyle w:val="135"/>
              <w:spacing w:before="12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《蹲便器用水效率限定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及用</w:t>
            </w:r>
            <w:r>
              <w:rPr>
                <w:rFonts w:hint="eastAsia" w:ascii="宋体" w:hAnsi="宋体" w:cs="宋体"/>
                <w:color w:val="auto"/>
                <w:w w:val="99"/>
                <w:kern w:val="2"/>
                <w:sz w:val="21"/>
                <w:szCs w:val="21"/>
                <w:highlight w:val="none"/>
                <w:lang w:eastAsia="zh-CN"/>
              </w:rPr>
              <w:t>水效率等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307</w:t>
            </w:r>
            <w:r>
              <w:rPr>
                <w:rFonts w:hint="eastAsia" w:ascii="宋体" w:hAnsi="宋体" w:cs="宋体"/>
                <w:color w:val="auto"/>
                <w:w w:val="99"/>
                <w:kern w:val="2"/>
                <w:sz w:val="21"/>
                <w:szCs w:val="21"/>
                <w:highlight w:val="none"/>
                <w:lang w:eastAsia="zh-CN"/>
              </w:rPr>
              <w:t>1</w:t>
            </w:r>
            <w:r>
              <w:rPr>
                <w:rFonts w:hint="eastAsia" w:ascii="宋体" w:hAnsi="宋体" w:cs="宋体"/>
                <w:color w:val="auto"/>
                <w:spacing w:val="-1"/>
                <w:w w:val="99"/>
                <w:kern w:val="2"/>
                <w:sz w:val="21"/>
                <w:szCs w:val="21"/>
                <w:highlight w:val="none"/>
                <w:lang w:eastAsia="zh-CN"/>
              </w:rPr>
              <w:t>7</w:t>
            </w:r>
            <w:r>
              <w:rPr>
                <w:rFonts w:hint="eastAsia" w:ascii="宋体" w:hAnsi="宋体" w:cs="宋体"/>
                <w:color w:val="auto"/>
                <w:w w:val="99"/>
                <w:kern w:val="2"/>
                <w:sz w:val="21"/>
                <w:szCs w:val="21"/>
                <w:highlight w:val="none"/>
                <w:lang w:eastAsia="zh-CN"/>
              </w:rPr>
              <w:t>）</w:t>
            </w:r>
          </w:p>
        </w:tc>
      </w:tr>
      <w:tr w14:paraId="22D5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70DCD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611ADD">
            <w:pPr>
              <w:widowControl/>
              <w:jc w:val="left"/>
              <w:rPr>
                <w:rFonts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5BFE1291">
            <w:pPr>
              <w:pStyle w:val="13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C044BAE">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F75706F">
            <w:pPr>
              <w:pStyle w:val="135"/>
              <w:spacing w:before="12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《小便器用水效率限定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及用</w:t>
            </w:r>
            <w:r>
              <w:rPr>
                <w:rFonts w:hint="eastAsia" w:ascii="宋体" w:hAnsi="宋体" w:cs="宋体"/>
                <w:color w:val="auto"/>
                <w:w w:val="99"/>
                <w:kern w:val="2"/>
                <w:sz w:val="21"/>
                <w:szCs w:val="21"/>
                <w:highlight w:val="none"/>
                <w:lang w:eastAsia="zh-CN"/>
              </w:rPr>
              <w:t>水效率等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w:t>
            </w:r>
            <w:r>
              <w:rPr>
                <w:rFonts w:hint="eastAsia" w:ascii="宋体" w:hAnsi="宋体" w:cs="宋体"/>
                <w:color w:val="auto"/>
                <w:w w:val="99"/>
                <w:kern w:val="2"/>
                <w:sz w:val="21"/>
                <w:szCs w:val="21"/>
                <w:highlight w:val="none"/>
                <w:lang w:eastAsia="zh-CN"/>
              </w:rPr>
              <w:t>7</w:t>
            </w:r>
            <w:r>
              <w:rPr>
                <w:rFonts w:hint="eastAsia" w:ascii="宋体" w:hAnsi="宋体" w:cs="宋体"/>
                <w:color w:val="auto"/>
                <w:spacing w:val="-1"/>
                <w:w w:val="99"/>
                <w:kern w:val="2"/>
                <w:sz w:val="21"/>
                <w:szCs w:val="21"/>
                <w:highlight w:val="none"/>
                <w:lang w:eastAsia="zh-CN"/>
              </w:rPr>
              <w:t>7</w:t>
            </w:r>
            <w:r>
              <w:rPr>
                <w:rFonts w:hint="eastAsia" w:ascii="宋体" w:hAnsi="宋体" w:cs="宋体"/>
                <w:color w:val="auto"/>
                <w:w w:val="99"/>
                <w:kern w:val="2"/>
                <w:sz w:val="21"/>
                <w:szCs w:val="21"/>
                <w:highlight w:val="none"/>
                <w:lang w:eastAsia="zh-CN"/>
              </w:rPr>
              <w:t>）</w:t>
            </w:r>
          </w:p>
        </w:tc>
      </w:tr>
      <w:tr w14:paraId="4371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7AE146FA">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2FDB9331">
            <w:pPr>
              <w:pStyle w:val="135"/>
              <w:spacing w:before="153"/>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★A05020106水</w:t>
            </w:r>
            <w:r>
              <w:rPr>
                <w:rFonts w:hint="eastAsia" w:ascii="宋体" w:hAnsi="宋体" w:cs="宋体"/>
                <w:color w:val="auto"/>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875047B">
            <w:pPr>
              <w:jc w:val="center"/>
              <w:rPr>
                <w:rFonts w:ascii="宋体" w:hAnsi="宋体" w:cs="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E29F69C">
            <w:pPr>
              <w:jc w:val="center"/>
              <w:rPr>
                <w:rFonts w:ascii="宋体" w:hAnsi="宋体" w:cs="宋体"/>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9A5B952">
            <w:pPr>
              <w:pStyle w:val="135"/>
              <w:spacing w:before="15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14:paraId="5428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15A5A746">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77AA6329">
            <w:pPr>
              <w:pStyle w:val="135"/>
              <w:spacing w:before="112"/>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A05020107便器冲洗阀</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7F5FC5E">
            <w:pPr>
              <w:jc w:val="center"/>
              <w:rPr>
                <w:rFonts w:ascii="宋体" w:hAnsi="宋体" w:cs="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A89F258">
            <w:pPr>
              <w:jc w:val="center"/>
              <w:rPr>
                <w:rFonts w:ascii="宋体" w:hAnsi="宋体" w:cs="宋体"/>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2EE0ADE">
            <w:pPr>
              <w:pStyle w:val="135"/>
              <w:spacing w:before="11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14:paraId="6518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64FF68BC">
            <w:pPr>
              <w:pStyle w:val="135"/>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37C1EDB3">
            <w:pPr>
              <w:pStyle w:val="135"/>
              <w:spacing w:before="131"/>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A05020110淋浴</w:t>
            </w:r>
            <w:r>
              <w:rPr>
                <w:rFonts w:hint="eastAsia" w:ascii="宋体" w:hAnsi="宋体" w:cs="宋体"/>
                <w:color w:val="auto"/>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3EDB551">
            <w:pPr>
              <w:jc w:val="center"/>
              <w:rPr>
                <w:rFonts w:ascii="宋体" w:hAnsi="宋体" w:cs="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BBB28DB">
            <w:pPr>
              <w:jc w:val="center"/>
              <w:rPr>
                <w:rFonts w:ascii="宋体" w:hAnsi="宋体" w:cs="宋体"/>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842DC2A">
            <w:pPr>
              <w:pStyle w:val="135"/>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14:paraId="1F2B5831">
      <w:pPr>
        <w:pStyle w:val="20"/>
        <w:spacing w:line="360" w:lineRule="auto"/>
        <w:rPr>
          <w:rFonts w:ascii="宋体" w:hAnsi="宋体" w:cs="宋体"/>
          <w:color w:val="auto"/>
          <w:kern w:val="2"/>
          <w:sz w:val="21"/>
          <w:szCs w:val="21"/>
          <w:highlight w:val="none"/>
        </w:rPr>
      </w:pPr>
      <w:r>
        <w:rPr>
          <w:rFonts w:hint="eastAsia" w:ascii="宋体" w:hAnsi="宋体" w:cs="宋体"/>
          <w:color w:val="auto"/>
          <w:spacing w:val="-3"/>
          <w:sz w:val="21"/>
          <w:szCs w:val="21"/>
          <w:highlight w:val="none"/>
        </w:rPr>
        <w:t>注：1.节能产品认证应依据相关国家标准的最新版本，依据国家标准中二级能效（水效）</w:t>
      </w:r>
      <w:r>
        <w:rPr>
          <w:rFonts w:hint="eastAsia" w:ascii="宋体" w:hAnsi="宋体" w:cs="宋体"/>
          <w:color w:val="auto"/>
          <w:sz w:val="21"/>
          <w:szCs w:val="21"/>
          <w:highlight w:val="none"/>
        </w:rPr>
        <w:t>指标。</w:t>
      </w:r>
    </w:p>
    <w:p w14:paraId="43EA994F">
      <w:pPr>
        <w:pStyle w:val="20"/>
        <w:spacing w:line="360" w:lineRule="auto"/>
        <w:ind w:firstLine="465"/>
        <w:rPr>
          <w:rFonts w:ascii="宋体" w:hAnsi="宋体" w:cs="宋体"/>
          <w:color w:val="auto"/>
          <w:sz w:val="21"/>
          <w:szCs w:val="21"/>
          <w:highlight w:val="none"/>
        </w:rPr>
      </w:pPr>
      <w:r>
        <w:rPr>
          <w:rFonts w:hint="eastAsia" w:ascii="宋体" w:hAnsi="宋体" w:cs="宋体"/>
          <w:color w:val="auto"/>
          <w:sz w:val="21"/>
          <w:szCs w:val="21"/>
          <w:highlight w:val="none"/>
        </w:rPr>
        <w:t>2.以“★”标注的为政府强制采购产品。</w:t>
      </w:r>
    </w:p>
    <w:p w14:paraId="0F376769">
      <w:pPr>
        <w:pStyle w:val="20"/>
        <w:spacing w:line="360" w:lineRule="auto"/>
        <w:ind w:firstLine="465"/>
        <w:rPr>
          <w:rFonts w:ascii="宋体" w:hAnsi="宋体" w:cs="宋体"/>
          <w:color w:val="auto"/>
          <w:sz w:val="21"/>
          <w:szCs w:val="21"/>
          <w:highlight w:val="none"/>
        </w:rPr>
      </w:pPr>
      <w:r>
        <w:rPr>
          <w:rFonts w:hint="eastAsia" w:ascii="宋体" w:hAnsi="宋体" w:cs="宋体"/>
          <w:color w:val="auto"/>
          <w:sz w:val="21"/>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3276E6E9">
      <w:pPr>
        <w:widowControl/>
        <w:jc w:val="left"/>
        <w:rPr>
          <w:rFonts w:ascii="宋体" w:hAnsi="宋体" w:cs="宋体"/>
          <w:color w:val="auto"/>
          <w:sz w:val="20"/>
          <w:szCs w:val="20"/>
          <w:highlight w:val="none"/>
        </w:rPr>
      </w:pPr>
    </w:p>
    <w:p w14:paraId="73B201AA">
      <w:pPr>
        <w:widowControl/>
        <w:jc w:val="left"/>
        <w:rPr>
          <w:rFonts w:ascii="宋体" w:hAnsi="宋体" w:cs="宋体"/>
          <w:color w:val="auto"/>
          <w:sz w:val="20"/>
          <w:szCs w:val="20"/>
          <w:highlight w:val="none"/>
        </w:rPr>
      </w:pPr>
    </w:p>
    <w:p w14:paraId="340F32FA">
      <w:pPr>
        <w:widowControl/>
        <w:jc w:val="left"/>
        <w:rPr>
          <w:rFonts w:ascii="宋体" w:hAnsi="宋体" w:cs="宋体"/>
          <w:color w:val="auto"/>
          <w:sz w:val="32"/>
          <w:szCs w:val="32"/>
          <w:highlight w:val="none"/>
        </w:rPr>
      </w:pPr>
      <w:r>
        <w:rPr>
          <w:rFonts w:hint="eastAsia" w:ascii="宋体" w:hAnsi="宋体" w:cs="宋体"/>
          <w:color w:val="auto"/>
          <w:sz w:val="20"/>
          <w:szCs w:val="20"/>
          <w:highlight w:val="none"/>
        </w:rPr>
        <w:br w:type="page"/>
      </w:r>
      <w:r>
        <w:rPr>
          <w:rFonts w:hint="eastAsia" w:ascii="宋体" w:hAnsi="宋体" w:cs="宋体"/>
          <w:color w:val="auto"/>
          <w:sz w:val="32"/>
          <w:szCs w:val="32"/>
          <w:highlight w:val="none"/>
        </w:rPr>
        <w:t>附件2：</w:t>
      </w:r>
    </w:p>
    <w:p w14:paraId="69D157D6">
      <w:pPr>
        <w:pStyle w:val="20"/>
        <w:jc w:val="center"/>
        <w:rPr>
          <w:rFonts w:ascii="宋体" w:hAnsi="宋体" w:cs="宋体"/>
          <w:b/>
          <w:color w:val="auto"/>
          <w:sz w:val="28"/>
          <w:szCs w:val="28"/>
          <w:highlight w:val="none"/>
        </w:rPr>
      </w:pPr>
      <w:r>
        <w:rPr>
          <w:rFonts w:hint="eastAsia" w:ascii="宋体" w:hAnsi="宋体" w:cs="宋体"/>
          <w:b/>
          <w:color w:val="auto"/>
          <w:sz w:val="28"/>
          <w:szCs w:val="28"/>
          <w:highlight w:val="none"/>
        </w:rPr>
        <w:t>中小企业划型标准规定</w:t>
      </w:r>
    </w:p>
    <w:p w14:paraId="7C2D53C8">
      <w:pPr>
        <w:pStyle w:val="20"/>
        <w:jc w:val="center"/>
        <w:rPr>
          <w:rFonts w:ascii="宋体" w:hAnsi="宋体" w:cs="宋体"/>
          <w:color w:val="auto"/>
          <w:sz w:val="21"/>
          <w:szCs w:val="21"/>
          <w:highlight w:val="none"/>
        </w:rPr>
      </w:pPr>
      <w:r>
        <w:rPr>
          <w:rFonts w:hint="eastAsia" w:ascii="宋体" w:hAnsi="宋体" w:cs="宋体"/>
          <w:color w:val="auto"/>
          <w:sz w:val="21"/>
          <w:szCs w:val="21"/>
          <w:highlight w:val="none"/>
        </w:rPr>
        <w:t>工信部联企业[2011]300号</w:t>
      </w:r>
    </w:p>
    <w:p w14:paraId="3E972340">
      <w:pPr>
        <w:pStyle w:val="20"/>
        <w:rPr>
          <w:rFonts w:ascii="宋体" w:hAnsi="宋体" w:cs="宋体"/>
          <w:color w:val="auto"/>
          <w:sz w:val="21"/>
          <w:szCs w:val="21"/>
          <w:highlight w:val="none"/>
        </w:rPr>
      </w:pPr>
    </w:p>
    <w:p w14:paraId="3A94BD7F">
      <w:pPr>
        <w:pStyle w:val="20"/>
        <w:rPr>
          <w:rFonts w:ascii="宋体" w:hAnsi="宋体" w:cs="宋体"/>
          <w:color w:val="auto"/>
          <w:sz w:val="21"/>
          <w:szCs w:val="21"/>
          <w:highlight w:val="none"/>
        </w:rPr>
      </w:pPr>
      <w:r>
        <w:rPr>
          <w:rFonts w:hint="eastAsia" w:ascii="宋体" w:hAnsi="宋体" w:cs="宋体"/>
          <w:color w:val="auto"/>
          <w:sz w:val="21"/>
          <w:szCs w:val="21"/>
          <w:highlight w:val="none"/>
        </w:rPr>
        <w:t>　　一、根据《中华人民共和国中小企业促进法》和《国务院关于进一步促进中小企业发展的若干意见》(国发[2009]36号)，制定本规定。</w:t>
      </w:r>
    </w:p>
    <w:p w14:paraId="268861CB">
      <w:pPr>
        <w:pStyle w:val="20"/>
        <w:rPr>
          <w:rFonts w:ascii="宋体" w:hAnsi="宋体" w:cs="宋体"/>
          <w:color w:val="auto"/>
          <w:sz w:val="21"/>
          <w:szCs w:val="21"/>
          <w:highlight w:val="none"/>
        </w:rPr>
      </w:pPr>
      <w:r>
        <w:rPr>
          <w:rFonts w:hint="eastAsia" w:ascii="宋体" w:hAnsi="宋体" w:cs="宋体"/>
          <w:color w:val="auto"/>
          <w:sz w:val="21"/>
          <w:szCs w:val="21"/>
          <w:highlight w:val="none"/>
        </w:rPr>
        <w:t>　　二、中小企业划分为中型、小型、微型三种类型，具体标准根据企业从业人员、营业收入、资产总额等指标，结合行业特点制定。</w:t>
      </w:r>
    </w:p>
    <w:p w14:paraId="521E0813">
      <w:pPr>
        <w:pStyle w:val="20"/>
        <w:rPr>
          <w:rFonts w:ascii="宋体" w:hAnsi="宋体" w:cs="宋体"/>
          <w:color w:val="auto"/>
          <w:sz w:val="21"/>
          <w:szCs w:val="21"/>
          <w:highlight w:val="none"/>
        </w:rPr>
      </w:pPr>
      <w:r>
        <w:rPr>
          <w:rFonts w:hint="eastAsia" w:ascii="宋体" w:hAnsi="宋体" w:cs="宋体"/>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E9E75F8">
      <w:pPr>
        <w:pStyle w:val="20"/>
        <w:rPr>
          <w:rFonts w:ascii="宋体" w:hAnsi="宋体" w:cs="宋体"/>
          <w:color w:val="auto"/>
          <w:sz w:val="21"/>
          <w:szCs w:val="21"/>
          <w:highlight w:val="none"/>
        </w:rPr>
      </w:pPr>
      <w:r>
        <w:rPr>
          <w:rFonts w:hint="eastAsia" w:ascii="宋体" w:hAnsi="宋体" w:cs="宋体"/>
          <w:color w:val="auto"/>
          <w:sz w:val="21"/>
          <w:szCs w:val="21"/>
          <w:highlight w:val="none"/>
        </w:rPr>
        <w:t>　　四、各行业划型标准为：</w:t>
      </w:r>
    </w:p>
    <w:p w14:paraId="02BBE416">
      <w:pPr>
        <w:pStyle w:val="20"/>
        <w:rPr>
          <w:rFonts w:ascii="宋体" w:hAnsi="宋体" w:cs="宋体"/>
          <w:color w:val="auto"/>
          <w:sz w:val="21"/>
          <w:szCs w:val="21"/>
          <w:highlight w:val="none"/>
        </w:rPr>
      </w:pPr>
      <w:r>
        <w:rPr>
          <w:rFonts w:hint="eastAsia" w:ascii="宋体" w:hAnsi="宋体" w:cs="宋体"/>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8448668">
      <w:pPr>
        <w:pStyle w:val="20"/>
        <w:rPr>
          <w:rFonts w:ascii="宋体" w:hAnsi="宋体" w:cs="宋体"/>
          <w:color w:val="auto"/>
          <w:sz w:val="21"/>
          <w:szCs w:val="21"/>
          <w:highlight w:val="none"/>
        </w:rPr>
      </w:pPr>
      <w:r>
        <w:rPr>
          <w:rFonts w:hint="eastAsia" w:ascii="宋体" w:hAnsi="宋体" w:cs="宋体"/>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F3AF30">
      <w:pPr>
        <w:pStyle w:val="20"/>
        <w:rPr>
          <w:rFonts w:ascii="宋体" w:hAnsi="宋体" w:cs="宋体"/>
          <w:color w:val="auto"/>
          <w:sz w:val="21"/>
          <w:szCs w:val="21"/>
          <w:highlight w:val="none"/>
        </w:rPr>
      </w:pPr>
      <w:r>
        <w:rPr>
          <w:rFonts w:hint="eastAsia" w:ascii="宋体" w:hAnsi="宋体" w:cs="宋体"/>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1E39C0">
      <w:pPr>
        <w:pStyle w:val="20"/>
        <w:rPr>
          <w:rFonts w:ascii="宋体" w:hAnsi="宋体" w:cs="宋体"/>
          <w:color w:val="auto"/>
          <w:sz w:val="21"/>
          <w:szCs w:val="21"/>
          <w:highlight w:val="none"/>
        </w:rPr>
      </w:pPr>
      <w:r>
        <w:rPr>
          <w:rFonts w:hint="eastAsia" w:ascii="宋体" w:hAnsi="宋体" w:cs="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BCEB91">
      <w:pPr>
        <w:pStyle w:val="20"/>
        <w:rPr>
          <w:rFonts w:ascii="宋体" w:hAnsi="宋体" w:cs="宋体"/>
          <w:color w:val="auto"/>
          <w:sz w:val="21"/>
          <w:szCs w:val="21"/>
          <w:highlight w:val="none"/>
        </w:rPr>
      </w:pPr>
      <w:r>
        <w:rPr>
          <w:rFonts w:hint="eastAsia" w:ascii="宋体" w:hAnsi="宋体" w:cs="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C70E430">
      <w:pPr>
        <w:pStyle w:val="20"/>
        <w:rPr>
          <w:rFonts w:ascii="宋体" w:hAnsi="宋体" w:cs="宋体"/>
          <w:color w:val="auto"/>
          <w:sz w:val="21"/>
          <w:szCs w:val="21"/>
          <w:highlight w:val="none"/>
        </w:rPr>
      </w:pPr>
      <w:r>
        <w:rPr>
          <w:rFonts w:hint="eastAsia" w:ascii="宋体" w:hAnsi="宋体" w:cs="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8A1AAF3">
      <w:pPr>
        <w:pStyle w:val="20"/>
        <w:rPr>
          <w:rFonts w:ascii="宋体" w:hAnsi="宋体" w:cs="宋体"/>
          <w:color w:val="auto"/>
          <w:sz w:val="21"/>
          <w:szCs w:val="21"/>
          <w:highlight w:val="none"/>
        </w:rPr>
      </w:pPr>
      <w:r>
        <w:rPr>
          <w:rFonts w:hint="eastAsia" w:ascii="宋体" w:hAnsi="宋体" w:cs="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FE00D0E">
      <w:pPr>
        <w:pStyle w:val="20"/>
        <w:rPr>
          <w:rFonts w:ascii="宋体" w:hAnsi="宋体" w:cs="宋体"/>
          <w:color w:val="auto"/>
          <w:sz w:val="21"/>
          <w:szCs w:val="21"/>
          <w:highlight w:val="none"/>
        </w:rPr>
      </w:pPr>
      <w:r>
        <w:rPr>
          <w:rFonts w:hint="eastAsia" w:ascii="宋体" w:hAnsi="宋体" w:cs="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3166E2">
      <w:pPr>
        <w:pStyle w:val="20"/>
        <w:rPr>
          <w:rFonts w:ascii="宋体" w:hAnsi="宋体" w:cs="宋体"/>
          <w:color w:val="auto"/>
          <w:sz w:val="21"/>
          <w:szCs w:val="21"/>
          <w:highlight w:val="none"/>
        </w:rPr>
      </w:pPr>
      <w:r>
        <w:rPr>
          <w:rFonts w:hint="eastAsia" w:ascii="宋体" w:hAnsi="宋体" w:cs="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8D4DF5">
      <w:pPr>
        <w:pStyle w:val="20"/>
        <w:rPr>
          <w:rFonts w:ascii="宋体" w:hAnsi="宋体" w:cs="宋体"/>
          <w:color w:val="auto"/>
          <w:sz w:val="21"/>
          <w:szCs w:val="21"/>
          <w:highlight w:val="none"/>
        </w:rPr>
      </w:pPr>
      <w:r>
        <w:rPr>
          <w:rFonts w:hint="eastAsia" w:ascii="宋体" w:hAnsi="宋体" w:cs="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48908E">
      <w:pPr>
        <w:pStyle w:val="20"/>
        <w:rPr>
          <w:rFonts w:ascii="宋体" w:hAnsi="宋体" w:cs="宋体"/>
          <w:color w:val="auto"/>
          <w:sz w:val="21"/>
          <w:szCs w:val="21"/>
          <w:highlight w:val="none"/>
        </w:rPr>
      </w:pPr>
      <w:r>
        <w:rPr>
          <w:rFonts w:hint="eastAsia" w:ascii="宋体" w:hAnsi="宋体" w:cs="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CDF9F2F">
      <w:pPr>
        <w:pStyle w:val="20"/>
        <w:rPr>
          <w:rFonts w:ascii="宋体" w:hAnsi="宋体" w:cs="宋体"/>
          <w:color w:val="auto"/>
          <w:sz w:val="21"/>
          <w:szCs w:val="21"/>
          <w:highlight w:val="none"/>
        </w:rPr>
      </w:pPr>
      <w:r>
        <w:rPr>
          <w:rFonts w:hint="eastAsia" w:ascii="宋体" w:hAnsi="宋体" w:cs="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50C44C">
      <w:pPr>
        <w:pStyle w:val="20"/>
        <w:rPr>
          <w:rFonts w:ascii="宋体" w:hAnsi="宋体" w:cs="宋体"/>
          <w:color w:val="auto"/>
          <w:sz w:val="21"/>
          <w:szCs w:val="21"/>
          <w:highlight w:val="none"/>
        </w:rPr>
      </w:pPr>
      <w:r>
        <w:rPr>
          <w:rFonts w:hint="eastAsia" w:ascii="宋体" w:hAnsi="宋体" w:cs="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ABC354C">
      <w:pPr>
        <w:pStyle w:val="20"/>
        <w:rPr>
          <w:rFonts w:ascii="宋体" w:hAnsi="宋体" w:cs="宋体"/>
          <w:color w:val="auto"/>
          <w:sz w:val="21"/>
          <w:szCs w:val="21"/>
          <w:highlight w:val="none"/>
        </w:rPr>
      </w:pPr>
      <w:r>
        <w:rPr>
          <w:rFonts w:hint="eastAsia" w:ascii="宋体" w:hAnsi="宋体" w:cs="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2C8CDFB">
      <w:pPr>
        <w:pStyle w:val="20"/>
        <w:rPr>
          <w:rFonts w:ascii="宋体" w:hAnsi="宋体" w:cs="宋体"/>
          <w:color w:val="auto"/>
          <w:sz w:val="21"/>
          <w:szCs w:val="21"/>
          <w:highlight w:val="none"/>
        </w:rPr>
      </w:pPr>
      <w:r>
        <w:rPr>
          <w:rFonts w:hint="eastAsia" w:ascii="宋体" w:hAnsi="宋体" w:cs="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1DC4C8">
      <w:pPr>
        <w:pStyle w:val="20"/>
        <w:rPr>
          <w:rFonts w:ascii="宋体" w:hAnsi="宋体" w:cs="宋体"/>
          <w:color w:val="auto"/>
          <w:sz w:val="21"/>
          <w:szCs w:val="21"/>
          <w:highlight w:val="none"/>
        </w:rPr>
      </w:pPr>
      <w:r>
        <w:rPr>
          <w:rFonts w:hint="eastAsia" w:ascii="宋体" w:hAnsi="宋体" w:cs="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689A2996">
      <w:pPr>
        <w:pStyle w:val="20"/>
        <w:rPr>
          <w:rFonts w:ascii="宋体" w:hAnsi="宋体" w:cs="宋体"/>
          <w:color w:val="auto"/>
          <w:sz w:val="21"/>
          <w:szCs w:val="21"/>
          <w:highlight w:val="none"/>
        </w:rPr>
      </w:pPr>
      <w:r>
        <w:rPr>
          <w:rFonts w:hint="eastAsia" w:ascii="宋体" w:hAnsi="宋体" w:cs="宋体"/>
          <w:color w:val="auto"/>
          <w:sz w:val="21"/>
          <w:szCs w:val="21"/>
          <w:highlight w:val="none"/>
        </w:rPr>
        <w:t>　　五、企业类型的划分以统计部门的统计数据为依据。</w:t>
      </w:r>
    </w:p>
    <w:p w14:paraId="5C6D474C">
      <w:pPr>
        <w:pStyle w:val="20"/>
        <w:rPr>
          <w:rFonts w:ascii="宋体" w:hAnsi="宋体" w:cs="宋体"/>
          <w:color w:val="auto"/>
          <w:sz w:val="21"/>
          <w:szCs w:val="21"/>
          <w:highlight w:val="none"/>
        </w:rPr>
      </w:pPr>
      <w:r>
        <w:rPr>
          <w:rFonts w:hint="eastAsia" w:ascii="宋体" w:hAnsi="宋体" w:cs="宋体"/>
          <w:color w:val="auto"/>
          <w:sz w:val="21"/>
          <w:szCs w:val="21"/>
          <w:highlight w:val="none"/>
        </w:rPr>
        <w:t>　　六、本规定适用于在中华人民共和国境内依法设立的各类所有制和各种组织形式的企业。个体工商户和本规定以外的行业，参照本规定进行划型。</w:t>
      </w:r>
    </w:p>
    <w:p w14:paraId="0A8BDAE8">
      <w:pPr>
        <w:pStyle w:val="20"/>
        <w:rPr>
          <w:rFonts w:ascii="宋体" w:hAnsi="宋体" w:cs="宋体"/>
          <w:color w:val="auto"/>
          <w:sz w:val="21"/>
          <w:szCs w:val="21"/>
          <w:highlight w:val="none"/>
        </w:rPr>
      </w:pPr>
      <w:r>
        <w:rPr>
          <w:rFonts w:hint="eastAsia" w:ascii="宋体" w:hAnsi="宋体" w:cs="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1CF483EC">
      <w:pPr>
        <w:pStyle w:val="20"/>
        <w:rPr>
          <w:rFonts w:ascii="宋体" w:hAnsi="宋体" w:cs="宋体"/>
          <w:color w:val="auto"/>
          <w:sz w:val="21"/>
          <w:szCs w:val="21"/>
          <w:highlight w:val="none"/>
        </w:rPr>
      </w:pPr>
      <w:r>
        <w:rPr>
          <w:rFonts w:hint="eastAsia" w:ascii="宋体" w:hAnsi="宋体" w:cs="宋体"/>
          <w:color w:val="auto"/>
          <w:sz w:val="21"/>
          <w:szCs w:val="21"/>
          <w:highlight w:val="none"/>
        </w:rPr>
        <w:t>　　八、本规定由工业和信息化部、国家统计局会同有关部门根据《国民经济行业分类》修订情况和企业发展变化情况适时修订。</w:t>
      </w:r>
    </w:p>
    <w:p w14:paraId="08D50952">
      <w:pPr>
        <w:pStyle w:val="20"/>
        <w:rPr>
          <w:rFonts w:ascii="宋体" w:hAnsi="宋体" w:cs="宋体"/>
          <w:color w:val="auto"/>
          <w:sz w:val="21"/>
          <w:szCs w:val="21"/>
          <w:highlight w:val="none"/>
        </w:rPr>
      </w:pPr>
      <w:r>
        <w:rPr>
          <w:rFonts w:hint="eastAsia" w:ascii="宋体" w:hAnsi="宋体" w:cs="宋体"/>
          <w:color w:val="auto"/>
          <w:sz w:val="21"/>
          <w:szCs w:val="21"/>
          <w:highlight w:val="none"/>
        </w:rPr>
        <w:t>　　九、本规定由工业和信息化部、国家统计局会同有关部门负责解释。</w:t>
      </w:r>
    </w:p>
    <w:p w14:paraId="588306D8">
      <w:pPr>
        <w:pStyle w:val="20"/>
        <w:ind w:firstLine="420"/>
        <w:rPr>
          <w:rFonts w:ascii="宋体" w:hAnsi="宋体" w:cs="宋体"/>
          <w:color w:val="auto"/>
          <w:sz w:val="21"/>
          <w:szCs w:val="21"/>
          <w:highlight w:val="none"/>
        </w:rPr>
      </w:pPr>
      <w:r>
        <w:rPr>
          <w:rFonts w:hint="eastAsia" w:ascii="宋体" w:hAnsi="宋体" w:cs="宋体"/>
          <w:color w:val="auto"/>
          <w:sz w:val="21"/>
          <w:szCs w:val="21"/>
          <w:highlight w:val="none"/>
        </w:rPr>
        <w:t>十、本规定自发布之日起执行，原国家经贸委、原国家计委、财政部和国家统计局2003年颁布的《中小企业标准暂行规定》同时废止。</w:t>
      </w:r>
    </w:p>
    <w:p w14:paraId="0506AB11">
      <w:pPr>
        <w:pStyle w:val="4"/>
        <w:spacing w:before="0" w:after="0" w:line="360" w:lineRule="auto"/>
        <w:jc w:val="center"/>
        <w:rPr>
          <w:rFonts w:ascii="宋体" w:hAnsi="宋体" w:cs="宋体"/>
          <w:color w:val="auto"/>
          <w:highlight w:val="none"/>
        </w:rPr>
      </w:pPr>
      <w:r>
        <w:rPr>
          <w:rFonts w:hint="eastAsia" w:ascii="宋体" w:hAnsi="宋体" w:cs="宋体"/>
          <w:color w:val="auto"/>
          <w:highlight w:val="none"/>
        </w:rPr>
        <w:br w:type="page"/>
      </w:r>
      <w:bookmarkStart w:id="43" w:name="_Toc143259163"/>
      <w:r>
        <w:rPr>
          <w:rFonts w:hint="eastAsia" w:ascii="宋体" w:hAnsi="宋体" w:cs="宋体"/>
          <w:color w:val="auto"/>
          <w:highlight w:val="none"/>
        </w:rPr>
        <w:t>第三章投标人须知</w:t>
      </w:r>
      <w:bookmarkEnd w:id="42"/>
      <w:bookmarkEnd w:id="43"/>
    </w:p>
    <w:p w14:paraId="2BC09361">
      <w:pPr>
        <w:jc w:val="center"/>
        <w:rPr>
          <w:rFonts w:ascii="宋体" w:hAnsi="宋体" w:cs="宋体"/>
          <w:color w:val="auto"/>
          <w:sz w:val="36"/>
          <w:szCs w:val="36"/>
          <w:highlight w:val="none"/>
        </w:rPr>
      </w:pPr>
      <w:bookmarkStart w:id="44" w:name="_Toc254970667"/>
      <w:bookmarkStart w:id="45" w:name="_Toc254970526"/>
      <w:r>
        <w:rPr>
          <w:rFonts w:hint="eastAsia" w:ascii="宋体" w:hAnsi="宋体" w:cs="宋体"/>
          <w:color w:val="auto"/>
          <w:sz w:val="36"/>
          <w:szCs w:val="36"/>
          <w:highlight w:val="none"/>
        </w:rPr>
        <w:t>投标人须知前附表</w:t>
      </w:r>
      <w:bookmarkEnd w:id="44"/>
      <w:bookmarkEnd w:id="45"/>
    </w:p>
    <w:tbl>
      <w:tblPr>
        <w:tblStyle w:val="47"/>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10249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2D7B738">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8670" w:type="dxa"/>
            <w:tcBorders>
              <w:top w:val="single" w:color="auto" w:sz="4" w:space="0"/>
              <w:left w:val="single" w:color="auto" w:sz="4" w:space="0"/>
              <w:bottom w:val="single" w:color="auto" w:sz="4" w:space="0"/>
              <w:right w:val="single" w:color="auto" w:sz="4" w:space="0"/>
            </w:tcBorders>
            <w:vAlign w:val="center"/>
          </w:tcPr>
          <w:p w14:paraId="121BAFEF">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4F78C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04E887F">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670" w:type="dxa"/>
            <w:tcBorders>
              <w:top w:val="single" w:color="auto" w:sz="4" w:space="0"/>
              <w:left w:val="single" w:color="auto" w:sz="4" w:space="0"/>
              <w:bottom w:val="single" w:color="auto" w:sz="4" w:space="0"/>
              <w:right w:val="single" w:color="auto" w:sz="4" w:space="0"/>
            </w:tcBorders>
            <w:vAlign w:val="center"/>
          </w:tcPr>
          <w:p w14:paraId="591B8FB2">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1.投标人的资格要求详见招标公告。</w:t>
            </w:r>
          </w:p>
          <w:p w14:paraId="5E96B446">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2.投标人出现下列情形之一的，不得参加政府采购活动：</w:t>
            </w:r>
          </w:p>
          <w:p w14:paraId="66870B98">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8BA2ED3">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2.2对在“信用中国”网站（</w:t>
            </w:r>
            <w:r>
              <w:rPr>
                <w:rFonts w:hint="eastAsia" w:ascii="宋体" w:hAnsi="宋体" w:cs="宋体"/>
                <w:color w:val="auto"/>
                <w:kern w:val="0"/>
                <w:szCs w:val="21"/>
                <w:highlight w:val="none"/>
              </w:rPr>
              <w:t>http://</w:t>
            </w:r>
            <w:r>
              <w:rPr>
                <w:rFonts w:hint="eastAsia" w:ascii="宋体" w:hAnsi="宋体" w:cs="宋体"/>
                <w:color w:val="auto"/>
                <w:szCs w:val="21"/>
                <w:highlight w:val="none"/>
              </w:rPr>
              <w:t>www.creditchina.gov.cn） 、中国政府采购网（</w:t>
            </w:r>
            <w:r>
              <w:rPr>
                <w:rFonts w:hint="eastAsia" w:ascii="宋体" w:hAnsi="宋体" w:cs="宋体"/>
                <w:color w:val="auto"/>
                <w:kern w:val="0"/>
                <w:szCs w:val="21"/>
                <w:highlight w:val="none"/>
              </w:rPr>
              <w:t>http://</w:t>
            </w:r>
            <w:r>
              <w:rPr>
                <w:rFonts w:hint="eastAsia" w:ascii="宋体" w:hAnsi="宋体" w:cs="宋体"/>
                <w:color w:val="auto"/>
                <w:szCs w:val="21"/>
                <w:highlight w:val="none"/>
              </w:rPr>
              <w:t>www.ccgp.gov.cn）被列入失信被执行人、重大税收违法失信主体、政府采购严重违法失信行为记录名单及其他不符合《中华人民共和国政府采购法》第二十二条规定条件的供应商，不得参与政府采购活动。</w:t>
            </w:r>
          </w:p>
        </w:tc>
      </w:tr>
      <w:tr w14:paraId="06160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132B766">
            <w:pPr>
              <w:adjustRightInd w:val="0"/>
              <w:spacing w:line="400" w:lineRule="exact"/>
              <w:jc w:val="center"/>
              <w:rPr>
                <w:rFonts w:ascii="宋体" w:hAnsi="宋体" w:cs="宋体"/>
                <w:color w:val="auto"/>
                <w:szCs w:val="21"/>
                <w:highlight w:val="none"/>
              </w:rPr>
            </w:pPr>
            <w:bookmarkStart w:id="46" w:name="_5"/>
            <w:bookmarkEnd w:id="46"/>
            <w:bookmarkStart w:id="47" w:name="_9.2"/>
            <w:bookmarkEnd w:id="47"/>
            <w:bookmarkStart w:id="48" w:name="_8.1"/>
            <w:bookmarkEnd w:id="48"/>
            <w:r>
              <w:rPr>
                <w:rFonts w:hint="eastAsia" w:ascii="宋体" w:hAnsi="宋体" w:cs="宋体"/>
                <w:color w:val="auto"/>
                <w:szCs w:val="21"/>
                <w:highlight w:val="none"/>
              </w:rPr>
              <w:t>6.1</w:t>
            </w:r>
          </w:p>
        </w:tc>
        <w:tc>
          <w:tcPr>
            <w:tcW w:w="8670" w:type="dxa"/>
            <w:tcBorders>
              <w:top w:val="single" w:color="auto" w:sz="4" w:space="0"/>
              <w:left w:val="single" w:color="auto" w:sz="4" w:space="0"/>
              <w:bottom w:val="single" w:color="auto" w:sz="4" w:space="0"/>
              <w:right w:val="single" w:color="auto" w:sz="4" w:space="0"/>
            </w:tcBorders>
            <w:vAlign w:val="center"/>
          </w:tcPr>
          <w:p w14:paraId="644818A8">
            <w:pPr>
              <w:pStyle w:val="18"/>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本项目是否接受联合体投标：</w:t>
            </w:r>
            <w:r>
              <w:rPr>
                <w:rFonts w:hint="eastAsia" w:ascii="宋体" w:hAnsi="宋体" w:cs="宋体"/>
                <w:b/>
                <w:color w:val="auto"/>
                <w:szCs w:val="21"/>
                <w:highlight w:val="none"/>
              </w:rPr>
              <w:t>本项目不接受联合体投标。</w:t>
            </w:r>
          </w:p>
        </w:tc>
      </w:tr>
      <w:tr w14:paraId="21729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B05C5C1">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8670" w:type="dxa"/>
            <w:tcBorders>
              <w:top w:val="single" w:color="auto" w:sz="4" w:space="0"/>
              <w:left w:val="single" w:color="auto" w:sz="4" w:space="0"/>
              <w:bottom w:val="single" w:color="auto" w:sz="4" w:space="0"/>
              <w:right w:val="single" w:color="auto" w:sz="4" w:space="0"/>
            </w:tcBorders>
            <w:vAlign w:val="center"/>
          </w:tcPr>
          <w:p w14:paraId="35AE36C4">
            <w:pPr>
              <w:pStyle w:val="18"/>
              <w:adjustRightInd w:val="0"/>
              <w:spacing w:line="400" w:lineRule="exact"/>
              <w:rPr>
                <w:rFonts w:ascii="宋体" w:hAnsi="宋体" w:cs="宋体"/>
                <w:color w:val="auto"/>
                <w:szCs w:val="21"/>
                <w:highlight w:val="none"/>
              </w:rPr>
            </w:pPr>
            <w:bookmarkStart w:id="49" w:name="_Hlk54105293"/>
            <w:r>
              <w:rPr>
                <w:rFonts w:hint="eastAsia" w:ascii="宋体" w:hAnsi="宋体" w:cs="宋体"/>
                <w:color w:val="auto"/>
                <w:szCs w:val="21"/>
                <w:highlight w:val="none"/>
              </w:rPr>
              <w:t>如接受联合体投标，</w:t>
            </w:r>
            <w:bookmarkEnd w:id="49"/>
            <w:r>
              <w:rPr>
                <w:rFonts w:hint="eastAsia" w:ascii="宋体" w:hAnsi="宋体" w:cs="宋体"/>
                <w:color w:val="auto"/>
                <w:szCs w:val="21"/>
                <w:highlight w:val="none"/>
              </w:rPr>
              <w:t>联合体投标要求如下：</w:t>
            </w:r>
          </w:p>
          <w:p w14:paraId="1A8A40F7">
            <w:pPr>
              <w:pStyle w:val="18"/>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1.两个以上投标人可以组成一个投标联合体，以一个投标人的身份共同参加投标。联合体投标的，须提供《联合体投标协议书》（格式后附）。</w:t>
            </w:r>
          </w:p>
          <w:p w14:paraId="4FB51D48">
            <w:pPr>
              <w:pStyle w:val="18"/>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5893ABDD">
            <w:pPr>
              <w:pStyle w:val="18"/>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3.联合体各方之间必须签订联合投标协议，协议书必须明确主体方（或者牵头方）并明确约定联合体各方承担的工作和相应的责任（各方承担责任与义务的分工必须符合采购需求，否则，</w:t>
            </w:r>
            <w:r>
              <w:rPr>
                <w:rFonts w:hint="eastAsia" w:ascii="宋体" w:hAnsi="宋体" w:cs="宋体"/>
                <w:b/>
                <w:color w:val="auto"/>
                <w:szCs w:val="21"/>
                <w:highlight w:val="none"/>
              </w:rPr>
              <w:t>联合体投标无效</w:t>
            </w:r>
            <w:r>
              <w:rPr>
                <w:rFonts w:hint="eastAsia" w:ascii="宋体" w:hAnsi="宋体" w:cs="宋体"/>
                <w:color w:val="auto"/>
                <w:szCs w:val="21"/>
                <w:highlight w:val="none"/>
              </w:rPr>
              <w:t>），并将联合投标协议放入投标文件。联合体各方必须共同与采购人签订采购合同，就采购合同约定的事项对采购人承担连带责任。</w:t>
            </w:r>
          </w:p>
          <w:p w14:paraId="74FDF231">
            <w:pPr>
              <w:pStyle w:val="18"/>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4.以联合体形式参加政府采购活动的，联合体各方不得再单独参加或者与其他投标人另外组成联合体参加同一合同项下的政府采购活动。</w:t>
            </w:r>
          </w:p>
          <w:p w14:paraId="268F7F48">
            <w:pPr>
              <w:pStyle w:val="18"/>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5.联合体中有同类资质的投标人按照联合体分工承担相同工作的，应当按照资质等级较低的投标人确定资质等级。</w:t>
            </w:r>
          </w:p>
          <w:p w14:paraId="3A4BD003">
            <w:pPr>
              <w:pStyle w:val="18"/>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6.联合体投标业绩、履约能力按照联合体各方其中较高的一方认定并计算（招标文件另有规定的除外）。</w:t>
            </w:r>
          </w:p>
          <w:p w14:paraId="131858C7">
            <w:pPr>
              <w:pStyle w:val="18"/>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7.投标人为联合体的，可以由联合体中的一方或者多方共同交纳投标保证金，其交纳的保证金对联合体各方均具有约束力。</w:t>
            </w:r>
          </w:p>
          <w:p w14:paraId="7B0A8E79">
            <w:pPr>
              <w:pStyle w:val="18"/>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8.联合体各方均应按照招标文件的规定提交资格证明文件。</w:t>
            </w:r>
          </w:p>
        </w:tc>
      </w:tr>
      <w:tr w14:paraId="7230A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DBA799D">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8670" w:type="dxa"/>
            <w:tcBorders>
              <w:top w:val="single" w:color="auto" w:sz="4" w:space="0"/>
              <w:left w:val="single" w:color="auto" w:sz="4" w:space="0"/>
              <w:bottom w:val="single" w:color="auto" w:sz="4" w:space="0"/>
              <w:right w:val="single" w:color="auto" w:sz="4" w:space="0"/>
            </w:tcBorders>
            <w:vAlign w:val="center"/>
          </w:tcPr>
          <w:p w14:paraId="61F60497">
            <w:pPr>
              <w:pStyle w:val="18"/>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☑不允许分包</w:t>
            </w:r>
          </w:p>
          <w:p w14:paraId="5A190DCF">
            <w:pPr>
              <w:pStyle w:val="18"/>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□允许分包</w:t>
            </w:r>
          </w:p>
          <w:p w14:paraId="7632462B">
            <w:pPr>
              <w:pStyle w:val="18"/>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                    。</w:t>
            </w:r>
          </w:p>
          <w:p w14:paraId="08520213">
            <w:pPr>
              <w:pStyle w:val="18"/>
              <w:adjustRightInd w:val="0"/>
              <w:spacing w:line="400" w:lineRule="exact"/>
              <w:jc w:val="both"/>
              <w:rPr>
                <w:rFonts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                       。</w:t>
            </w:r>
          </w:p>
        </w:tc>
      </w:tr>
      <w:tr w14:paraId="44366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AD40496">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8.1</w:t>
            </w:r>
          </w:p>
        </w:tc>
        <w:tc>
          <w:tcPr>
            <w:tcW w:w="8670" w:type="dxa"/>
            <w:tcBorders>
              <w:top w:val="single" w:color="auto" w:sz="4" w:space="0"/>
              <w:left w:val="single" w:color="auto" w:sz="4" w:space="0"/>
              <w:bottom w:val="single" w:color="auto" w:sz="4" w:space="0"/>
              <w:right w:val="single" w:color="auto" w:sz="4" w:space="0"/>
            </w:tcBorders>
            <w:vAlign w:val="center"/>
          </w:tcPr>
          <w:p w14:paraId="6AECB099">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采用最低评标价法的采购项目，提供相同品牌产品（非单一产品采购项目的，指核心产品）的不同投标人评标报价相同时，按照下列方式确定一个投标人获得中标人推荐资格：</w:t>
            </w:r>
          </w:p>
          <w:p w14:paraId="2A12EF16">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□依次按投标报价低的优先、带“▲”的实质性要求正偏离项数多的优先、均无正偏离或者正偏离项数一致时负偏离项数少的优先、保修期长优先、交货期短优先、故障响应时间短优先的顺序推荐。</w:t>
            </w:r>
          </w:p>
          <w:p w14:paraId="685E0ABA">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765A50FA">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p w14:paraId="6ECE4327">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采用综合评分法的采购项目，提供相同品牌产品（非单一产品采购项目的，指核心产品）的不同投标人评审得分相同时，按照下列方式确定一个投标人获得中标人推荐资格：</w:t>
            </w:r>
          </w:p>
          <w:p w14:paraId="37857EF6">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☑依次按投标报价低的优先、技术分高的优先、</w:t>
            </w:r>
            <w:r>
              <w:rPr>
                <w:rFonts w:hint="eastAsia" w:ascii="宋体" w:hAnsi="宋体" w:cs="宋体"/>
                <w:bCs/>
                <w:color w:val="auto"/>
                <w:szCs w:val="21"/>
                <w:highlight w:val="none"/>
              </w:rPr>
              <w:t>安装实施方案分高的优先、</w:t>
            </w:r>
            <w:r>
              <w:rPr>
                <w:rFonts w:hint="eastAsia" w:ascii="宋体" w:hAnsi="宋体" w:cs="宋体"/>
                <w:color w:val="auto"/>
                <w:szCs w:val="21"/>
                <w:highlight w:val="none"/>
              </w:rPr>
              <w:t>增值售后服务方案分高的优先、履约能力分高的优先、政策分高的优先顺序推荐；</w:t>
            </w:r>
          </w:p>
          <w:p w14:paraId="037B6C6C">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169CBCD3">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tc>
      </w:tr>
      <w:tr w14:paraId="46A88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95" w:type="dxa"/>
            <w:vMerge w:val="restart"/>
            <w:tcBorders>
              <w:top w:val="single" w:color="auto" w:sz="4" w:space="0"/>
              <w:left w:val="single" w:color="auto" w:sz="4" w:space="0"/>
              <w:right w:val="single" w:color="auto" w:sz="4" w:space="0"/>
            </w:tcBorders>
            <w:vAlign w:val="center"/>
          </w:tcPr>
          <w:p w14:paraId="68300C28">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8670" w:type="dxa"/>
            <w:tcBorders>
              <w:top w:val="single" w:color="auto" w:sz="4" w:space="0"/>
              <w:left w:val="single" w:color="auto" w:sz="4" w:space="0"/>
              <w:bottom w:val="single" w:color="auto" w:sz="4" w:space="0"/>
              <w:right w:val="single" w:color="auto" w:sz="4" w:space="0"/>
            </w:tcBorders>
            <w:vAlign w:val="center"/>
          </w:tcPr>
          <w:p w14:paraId="1FB09175">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本项目不组织现场考察</w:t>
            </w:r>
          </w:p>
        </w:tc>
      </w:tr>
      <w:tr w14:paraId="362B2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vAlign w:val="center"/>
          </w:tcPr>
          <w:p w14:paraId="687AB7F6">
            <w:pPr>
              <w:adjustRightInd w:val="0"/>
              <w:spacing w:line="400" w:lineRule="exact"/>
              <w:jc w:val="center"/>
              <w:rPr>
                <w:rFonts w:ascii="宋体" w:hAnsi="宋体" w:cs="宋体"/>
                <w:color w:val="auto"/>
                <w:szCs w:val="21"/>
                <w:highlight w:val="none"/>
              </w:rPr>
            </w:pPr>
          </w:p>
        </w:tc>
        <w:tc>
          <w:tcPr>
            <w:tcW w:w="8670" w:type="dxa"/>
            <w:tcBorders>
              <w:top w:val="single" w:color="auto" w:sz="4" w:space="0"/>
              <w:left w:val="single" w:color="auto" w:sz="4" w:space="0"/>
              <w:bottom w:val="single" w:color="auto" w:sz="4" w:space="0"/>
              <w:right w:val="single" w:color="auto" w:sz="4" w:space="0"/>
            </w:tcBorders>
            <w:vAlign w:val="center"/>
          </w:tcPr>
          <w:p w14:paraId="36E1171A">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3E3B7BD2">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48C915A7">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w:t>
            </w:r>
          </w:p>
        </w:tc>
      </w:tr>
      <w:tr w14:paraId="10A8C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vAlign w:val="center"/>
          </w:tcPr>
          <w:p w14:paraId="49AC726A">
            <w:pPr>
              <w:adjustRightInd w:val="0"/>
              <w:spacing w:line="400" w:lineRule="exact"/>
              <w:jc w:val="center"/>
              <w:rPr>
                <w:rFonts w:ascii="宋体" w:hAnsi="宋体" w:cs="宋体"/>
                <w:color w:val="auto"/>
                <w:szCs w:val="21"/>
                <w:highlight w:val="none"/>
              </w:rPr>
            </w:pPr>
            <w:bookmarkStart w:id="50" w:name="_13.1"/>
            <w:bookmarkEnd w:id="50"/>
            <w:r>
              <w:rPr>
                <w:rFonts w:hint="eastAsia" w:ascii="宋体" w:hAnsi="宋体" w:cs="宋体"/>
                <w:color w:val="auto"/>
                <w:szCs w:val="21"/>
                <w:highlight w:val="none"/>
              </w:rPr>
              <w:t>13</w:t>
            </w:r>
          </w:p>
        </w:tc>
        <w:tc>
          <w:tcPr>
            <w:tcW w:w="8670" w:type="dxa"/>
            <w:tcBorders>
              <w:top w:val="single" w:color="auto" w:sz="4" w:space="0"/>
              <w:left w:val="single" w:color="auto" w:sz="4" w:space="0"/>
              <w:bottom w:val="single" w:color="auto" w:sz="4" w:space="0"/>
              <w:right w:val="single" w:color="auto" w:sz="4" w:space="0"/>
            </w:tcBorders>
            <w:vAlign w:val="center"/>
          </w:tcPr>
          <w:p w14:paraId="6A82DCC6">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报价文件：</w:t>
            </w:r>
          </w:p>
          <w:p w14:paraId="33081210">
            <w:pPr>
              <w:tabs>
                <w:tab w:val="left" w:pos="459"/>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（必须提供，否则按无效投标处理）</w:t>
            </w:r>
          </w:p>
          <w:p w14:paraId="46FBDA35">
            <w:pPr>
              <w:tabs>
                <w:tab w:val="left" w:pos="459"/>
              </w:tabs>
              <w:adjustRightInd w:val="0"/>
              <w:spacing w:line="400" w:lineRule="exact"/>
              <w:jc w:val="left"/>
              <w:rPr>
                <w:rFonts w:ascii="宋体" w:hAnsi="宋体" w:cs="宋体"/>
                <w:color w:val="auto"/>
                <w:szCs w:val="21"/>
                <w:highlight w:val="none"/>
              </w:rPr>
            </w:pPr>
            <w:bookmarkStart w:id="51" w:name="_Hlk71299233"/>
            <w:r>
              <w:rPr>
                <w:rFonts w:hint="eastAsia" w:ascii="宋体" w:hAnsi="宋体" w:cs="宋体"/>
                <w:color w:val="auto"/>
                <w:szCs w:val="21"/>
                <w:highlight w:val="none"/>
              </w:rPr>
              <w:t>2.开标一览表</w:t>
            </w:r>
            <w:bookmarkEnd w:id="51"/>
            <w:r>
              <w:rPr>
                <w:rFonts w:hint="eastAsia" w:ascii="宋体" w:hAnsi="宋体" w:cs="宋体"/>
                <w:color w:val="auto"/>
                <w:szCs w:val="21"/>
                <w:highlight w:val="none"/>
              </w:rPr>
              <w:t>（格式后附）； （</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11EDF62">
            <w:pPr>
              <w:tabs>
                <w:tab w:val="left" w:pos="459"/>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p>
          <w:p w14:paraId="37001E06">
            <w:pPr>
              <w:adjustRightIn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tc>
      </w:tr>
      <w:tr w14:paraId="7487A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50DE5967">
            <w:pPr>
              <w:adjustRightInd w:val="0"/>
              <w:spacing w:line="400" w:lineRule="exact"/>
              <w:rPr>
                <w:rFonts w:ascii="宋体" w:hAnsi="宋体" w:cs="宋体"/>
                <w:color w:val="auto"/>
                <w:szCs w:val="21"/>
                <w:highlight w:val="none"/>
              </w:rPr>
            </w:pPr>
            <w:bookmarkStart w:id="52" w:name="_13.2"/>
            <w:bookmarkEnd w:id="52"/>
          </w:p>
        </w:tc>
        <w:tc>
          <w:tcPr>
            <w:tcW w:w="8670" w:type="dxa"/>
            <w:tcBorders>
              <w:top w:val="single" w:color="auto" w:sz="4" w:space="0"/>
              <w:left w:val="single" w:color="auto" w:sz="4" w:space="0"/>
              <w:bottom w:val="single" w:color="auto" w:sz="4" w:space="0"/>
              <w:right w:val="single" w:color="auto" w:sz="4" w:space="0"/>
            </w:tcBorders>
            <w:vAlign w:val="center"/>
          </w:tcPr>
          <w:p w14:paraId="1D758782">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1B5EBEF4">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87"/>
                <w:rFonts w:hint="eastAsia"/>
                <w:color w:val="auto"/>
                <w:sz w:val="21"/>
                <w:szCs w:val="21"/>
                <w:highlight w:val="none"/>
              </w:rPr>
              <w:t>执业许可证</w:t>
            </w:r>
            <w:r>
              <w:rPr>
                <w:rFonts w:hint="eastAsia" w:ascii="宋体" w:hAnsi="宋体" w:cs="宋体"/>
                <w:color w:val="auto"/>
                <w:szCs w:val="21"/>
                <w:highlight w:val="none"/>
              </w:rPr>
              <w:t>或者登记证书等），投标人为自然人的，提供身份证复印件；（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33BF2DF">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月以来任意一个月的依法缴纳税收的</w:t>
            </w:r>
            <w:r>
              <w:rPr>
                <w:rFonts w:hint="eastAsia" w:ascii="宋体" w:hAnsi="宋体" w:cs="宋体"/>
                <w:color w:val="auto"/>
                <w:highlight w:val="none"/>
              </w:rPr>
              <w:t>证明材料</w:t>
            </w:r>
            <w:r>
              <w:rPr>
                <w:rFonts w:hint="eastAsia" w:ascii="宋体" w:hAnsi="宋体" w:cs="宋体"/>
                <w:color w:val="auto"/>
                <w:szCs w:val="21"/>
                <w:highlight w:val="none"/>
              </w:rPr>
              <w:t>复印件；依法免税的供应商，</w:t>
            </w:r>
            <w:r>
              <w:rPr>
                <w:rFonts w:hint="eastAsia" w:ascii="宋体" w:hAnsi="宋体" w:cs="宋体"/>
                <w:color w:val="auto"/>
                <w:highlight w:val="none"/>
              </w:rPr>
              <w:t>必须提供符合免税条件的证明材料</w:t>
            </w:r>
            <w:r>
              <w:rPr>
                <w:rFonts w:hint="eastAsia" w:ascii="宋体" w:hAnsi="宋体" w:cs="宋体"/>
                <w:color w:val="auto"/>
                <w:szCs w:val="21"/>
                <w:highlight w:val="none"/>
              </w:rPr>
              <w:t>。从成立之日起到投标文件提交截止时间止不足要求月数的</w:t>
            </w:r>
            <w:r>
              <w:rPr>
                <w:rFonts w:hint="eastAsia" w:ascii="宋体" w:hAnsi="宋体" w:cs="宋体"/>
                <w:color w:val="auto"/>
                <w:highlight w:val="none"/>
              </w:rPr>
              <w:t>,则无需提交</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DB8698B">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月以来任意一个月的依法缴纳社会保障资金的缴费</w:t>
            </w:r>
            <w:r>
              <w:rPr>
                <w:rFonts w:hint="eastAsia" w:ascii="宋体" w:hAnsi="宋体" w:cs="宋体"/>
                <w:color w:val="auto"/>
                <w:highlight w:val="none"/>
              </w:rPr>
              <w:t>证明材料</w:t>
            </w:r>
            <w:r>
              <w:rPr>
                <w:rFonts w:hint="eastAsia" w:ascii="宋体" w:hAnsi="宋体" w:cs="宋体"/>
                <w:color w:val="auto"/>
                <w:szCs w:val="21"/>
                <w:highlight w:val="none"/>
              </w:rPr>
              <w:t>（</w:t>
            </w:r>
            <w:r>
              <w:rPr>
                <w:rFonts w:hint="eastAsia" w:ascii="宋体" w:hAnsi="宋体" w:cs="宋体"/>
                <w:color w:val="auto"/>
                <w:highlight w:val="none"/>
              </w:rPr>
              <w:t>如：</w:t>
            </w:r>
            <w:r>
              <w:rPr>
                <w:rFonts w:hint="eastAsia" w:ascii="宋体" w:hAnsi="宋体" w:cs="宋体"/>
                <w:color w:val="auto"/>
                <w:szCs w:val="21"/>
                <w:highlight w:val="none"/>
              </w:rPr>
              <w:t>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B9E4C11">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4.投标人财务状况报告（</w:t>
            </w:r>
            <w:bookmarkStart w:id="53" w:name="OLE_LINK10"/>
            <w:r>
              <w:rPr>
                <w:rFonts w:hint="eastAsia" w:ascii="宋体" w:hAnsi="宋体" w:cs="宋体"/>
                <w:color w:val="auto"/>
                <w:szCs w:val="21"/>
                <w:highlight w:val="none"/>
                <w:u w:val="single"/>
              </w:rPr>
              <w:t>2023</w:t>
            </w:r>
            <w:r>
              <w:rPr>
                <w:rFonts w:hint="eastAsia" w:ascii="宋体" w:hAnsi="宋体" w:cs="宋体"/>
                <w:color w:val="auto"/>
                <w:szCs w:val="21"/>
                <w:highlight w:val="none"/>
              </w:rPr>
              <w:t>年以来任一年度的</w:t>
            </w:r>
            <w:bookmarkEnd w:id="53"/>
            <w:r>
              <w:rPr>
                <w:rFonts w:hint="eastAsia" w:ascii="宋体" w:hAnsi="宋体" w:cs="宋体"/>
                <w:color w:val="auto"/>
                <w:szCs w:val="21"/>
                <w:highlight w:val="none"/>
              </w:rPr>
              <w:t>财务报表复印件，或者2024年以来银行出具的资信证明，或者中国人民银行征信中心出具的信用报告（企业投标的提供企业信用报告，自然人投标的提供个人信用报告</w:t>
            </w:r>
            <w:r>
              <w:rPr>
                <w:rFonts w:hint="eastAsia" w:ascii="宋体" w:hAnsi="宋体" w:cs="宋体"/>
                <w:color w:val="auto"/>
                <w:highlight w:val="none"/>
              </w:rPr>
              <w:t>，投标人属于成立时间在规定年度之后的法人或其他组织，需提供成立之日起至投标截止时间前的月报表</w:t>
            </w:r>
            <w:r>
              <w:rPr>
                <w:rFonts w:hint="eastAsia" w:ascii="宋体" w:hAnsi="宋体" w:cs="宋体"/>
                <w:color w:val="auto"/>
                <w:szCs w:val="21"/>
                <w:highlight w:val="none"/>
              </w:rPr>
              <w:t>或银行出具的资信证明或者中国人民银行征信中心出具的企业信用报告；资信证明应在有效期内，未注明有效期的，银行出具时间至投标截止时间不超过一年）；（</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713E79D">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5.投标人直接控股股东信息表（格式后附）；</w:t>
            </w:r>
            <w:r>
              <w:rPr>
                <w:rFonts w:hint="eastAsia" w:ascii="宋体" w:hAnsi="宋体" w:cs="宋体"/>
                <w:b/>
                <w:color w:val="auto"/>
                <w:szCs w:val="21"/>
                <w:highlight w:val="none"/>
              </w:rPr>
              <w:t>（必须提供，否则按无效投标处理）</w:t>
            </w:r>
          </w:p>
          <w:p w14:paraId="29AEF27D">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6.投标人直接管理关系信息表（格式后附）；</w:t>
            </w:r>
            <w:r>
              <w:rPr>
                <w:rFonts w:hint="eastAsia" w:ascii="宋体" w:hAnsi="宋体" w:cs="宋体"/>
                <w:b/>
                <w:color w:val="auto"/>
                <w:szCs w:val="21"/>
                <w:highlight w:val="none"/>
              </w:rPr>
              <w:t>（必须提供，否则按无效投标处理）</w:t>
            </w:r>
          </w:p>
          <w:p w14:paraId="7107726A">
            <w:pPr>
              <w:tabs>
                <w:tab w:val="left" w:pos="1305"/>
              </w:tabs>
              <w:spacing w:line="360" w:lineRule="exact"/>
              <w:jc w:val="left"/>
              <w:rPr>
                <w:rFonts w:ascii="宋体" w:hAnsi="宋体" w:cs="宋体"/>
                <w:color w:val="auto"/>
                <w:szCs w:val="21"/>
                <w:highlight w:val="none"/>
              </w:rPr>
            </w:pPr>
            <w:r>
              <w:rPr>
                <w:rFonts w:hint="eastAsia" w:ascii="宋体" w:hAnsi="宋体" w:cs="宋体"/>
                <w:color w:val="auto"/>
                <w:szCs w:val="21"/>
                <w:highlight w:val="none"/>
              </w:rPr>
              <w:t>7.投标人</w:t>
            </w:r>
            <w:r>
              <w:rPr>
                <w:rFonts w:hint="eastAsia" w:ascii="宋体" w:hAnsi="宋体" w:cs="宋体"/>
                <w:color w:val="auto"/>
                <w:highlight w:val="none"/>
              </w:rPr>
              <w:t>根据所投产品</w:t>
            </w:r>
            <w:r>
              <w:rPr>
                <w:rFonts w:hint="eastAsia" w:ascii="宋体" w:hAnsi="宋体" w:cs="宋体"/>
                <w:color w:val="auto"/>
                <w:szCs w:val="21"/>
                <w:highlight w:val="none"/>
              </w:rPr>
              <w:t>提供医疗器械的有关证明材料复印件；（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427BBA2">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①本项目有第二类医疗器械的，应提供有效的医疗器械经营备案凭证（经营范围包含采购的第二类医疗器械），符合《医疗器械监督管理条例》（国务院令第739号）第四十一条第二款规定的除外；如投标人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533323E9">
            <w:pPr>
              <w:adjustRightInd w:val="0"/>
              <w:spacing w:line="400" w:lineRule="exact"/>
              <w:jc w:val="left"/>
              <w:rPr>
                <w:rFonts w:ascii="宋体" w:hAnsi="宋体" w:cs="宋体"/>
                <w:color w:val="auto"/>
                <w:highlight w:val="none"/>
              </w:rPr>
            </w:pPr>
            <w:r>
              <w:rPr>
                <w:rFonts w:hint="eastAsia" w:ascii="宋体" w:hAnsi="宋体" w:cs="宋体"/>
                <w:color w:val="auto"/>
                <w:szCs w:val="21"/>
                <w:highlight w:val="none"/>
              </w:rPr>
              <w:t>②本项目有第三类医疗器械的，应提供有效的医疗器械经营许可证（经营范围包含采购的第三类医疗器械）；如投标人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0C366EBD">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8.投标声明（格式后附）；（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5BA6552">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9.联合体协议书（格式后附）；（</w:t>
            </w:r>
            <w:r>
              <w:rPr>
                <w:rFonts w:hint="eastAsia" w:ascii="宋体" w:hAnsi="宋体" w:cs="宋体"/>
                <w:b/>
                <w:color w:val="auto"/>
                <w:szCs w:val="21"/>
                <w:highlight w:val="none"/>
              </w:rPr>
              <w:t>联合体投标时必须提供，否则按无效投标处理</w:t>
            </w:r>
            <w:r>
              <w:rPr>
                <w:rFonts w:hint="eastAsia" w:ascii="宋体" w:hAnsi="宋体" w:cs="宋体"/>
                <w:color w:val="auto"/>
                <w:szCs w:val="21"/>
                <w:highlight w:val="none"/>
              </w:rPr>
              <w:t>）</w:t>
            </w:r>
          </w:p>
          <w:p w14:paraId="625F3B87">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10.除招标文件规定必须提供以外，投标人认为需要提供的其他证明材料。</w:t>
            </w:r>
          </w:p>
          <w:p w14:paraId="25BAF523">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0B86EF2B">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1.以上标明“必须提供”的材料必须加盖投标人电子签章，格式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p w14:paraId="7DB49383">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2.联合体投标时，第1-7项资格证明文件联合体各方均必须分别提供，联合体各方分别盖章和签字（或者电子签名），否则按无效投标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p w14:paraId="39DF44DA">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3.分公司参加投标的，应当取得总公司授权。</w:t>
            </w:r>
          </w:p>
        </w:tc>
      </w:tr>
      <w:tr w14:paraId="188DF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2612449B">
            <w:pPr>
              <w:adjustRightInd w:val="0"/>
              <w:spacing w:line="400" w:lineRule="exact"/>
              <w:rPr>
                <w:rFonts w:ascii="宋体" w:hAnsi="宋体" w:cs="宋体"/>
                <w:color w:val="auto"/>
                <w:szCs w:val="21"/>
                <w:highlight w:val="none"/>
              </w:rPr>
            </w:pPr>
            <w:bookmarkStart w:id="54" w:name="_13.3"/>
            <w:bookmarkEnd w:id="54"/>
          </w:p>
        </w:tc>
        <w:tc>
          <w:tcPr>
            <w:tcW w:w="8670" w:type="dxa"/>
            <w:tcBorders>
              <w:top w:val="single" w:color="auto" w:sz="4" w:space="0"/>
              <w:left w:val="single" w:color="auto" w:sz="4" w:space="0"/>
              <w:bottom w:val="single" w:color="auto" w:sz="4" w:space="0"/>
              <w:right w:val="single" w:color="auto" w:sz="4" w:space="0"/>
            </w:tcBorders>
            <w:vAlign w:val="center"/>
          </w:tcPr>
          <w:p w14:paraId="506E00A2">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商务文件：</w:t>
            </w:r>
          </w:p>
          <w:p w14:paraId="19E21E89">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C284841">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390513C">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412A69CF">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4.商务要求承诺响应表（格式后附）；（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9AE260F">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Cs/>
                <w:color w:val="auto"/>
                <w:szCs w:val="21"/>
                <w:highlight w:val="none"/>
              </w:rPr>
              <w:t>安装实施方案</w:t>
            </w:r>
            <w:r>
              <w:rPr>
                <w:rFonts w:hint="eastAsia" w:ascii="宋体" w:hAnsi="宋体" w:cs="宋体"/>
                <w:color w:val="auto"/>
                <w:szCs w:val="21"/>
                <w:highlight w:val="none"/>
              </w:rPr>
              <w:t>（格式后附）；内容包含但不限于：①安装方案；②设备调试方案；③设备试运行方案等。</w:t>
            </w:r>
          </w:p>
          <w:p w14:paraId="75732088">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6.增值售后服务方案（格式后附）；内容包含但不限于：①</w:t>
            </w:r>
            <w:r>
              <w:rPr>
                <w:rFonts w:hint="eastAsia" w:ascii="宋体" w:hAnsi="宋体" w:cs="宋体"/>
                <w:color w:val="auto"/>
                <w:highlight w:val="none"/>
              </w:rPr>
              <w:t>服务人员的配备</w:t>
            </w:r>
            <w:r>
              <w:rPr>
                <w:rFonts w:hint="eastAsia" w:ascii="宋体" w:hAnsi="宋体" w:cs="宋体"/>
                <w:color w:val="auto"/>
                <w:szCs w:val="21"/>
                <w:highlight w:val="none"/>
              </w:rPr>
              <w:t>、故障出现解决方案，②定期维护 (注明时间)，③技术培训方案，④保修期外维修方案，⑤售后服务措施及其他优惠措施等。</w:t>
            </w:r>
          </w:p>
          <w:p w14:paraId="58C37FB9">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7.投标人的业绩证明材料（格式后附）；</w:t>
            </w:r>
          </w:p>
          <w:p w14:paraId="0A300B5B">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8.投标人情况介绍（格式自拟）；</w:t>
            </w:r>
          </w:p>
          <w:p w14:paraId="7FA46F9A">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9.联合体协议书（格式后附，详见“其他文书、文件格式”）；（</w:t>
            </w:r>
            <w:r>
              <w:rPr>
                <w:rFonts w:hint="eastAsia" w:ascii="宋体" w:hAnsi="宋体" w:cs="宋体"/>
                <w:b/>
                <w:color w:val="auto"/>
                <w:szCs w:val="21"/>
                <w:highlight w:val="none"/>
              </w:rPr>
              <w:t>联合体投标时必须提供，否则按无效投标处理</w:t>
            </w:r>
            <w:r>
              <w:rPr>
                <w:rFonts w:hint="eastAsia" w:ascii="宋体" w:hAnsi="宋体" w:cs="宋体"/>
                <w:color w:val="auto"/>
                <w:szCs w:val="21"/>
                <w:highlight w:val="none"/>
              </w:rPr>
              <w:t>）</w:t>
            </w:r>
          </w:p>
          <w:p w14:paraId="66550B4D">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10.除招标文件规定必须提供以外，投标人认为需要提供的其他证明材料（格式自拟）。（投标人根据“第二章 采购需求”及“第四章 评标方法及评标标准”提供有关证明材料）。</w:t>
            </w:r>
          </w:p>
          <w:p w14:paraId="647E4685">
            <w:pPr>
              <w:adjustRightInd w:val="0"/>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注：以上标明“必须提供”的材料必须加盖投标人电子签章，格式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tc>
      </w:tr>
      <w:tr w14:paraId="55EE0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bottom w:val="single" w:color="auto" w:sz="4" w:space="0"/>
              <w:right w:val="single" w:color="auto" w:sz="4" w:space="0"/>
            </w:tcBorders>
            <w:vAlign w:val="center"/>
          </w:tcPr>
          <w:p w14:paraId="0D29ABD7">
            <w:pPr>
              <w:adjustRightInd w:val="0"/>
              <w:spacing w:line="400" w:lineRule="exact"/>
              <w:rPr>
                <w:rFonts w:ascii="宋体" w:hAnsi="宋体" w:cs="宋体"/>
                <w:color w:val="auto"/>
                <w:szCs w:val="21"/>
                <w:highlight w:val="none"/>
              </w:rPr>
            </w:pPr>
            <w:bookmarkStart w:id="55" w:name="_13.4"/>
            <w:bookmarkEnd w:id="55"/>
          </w:p>
        </w:tc>
        <w:tc>
          <w:tcPr>
            <w:tcW w:w="8670" w:type="dxa"/>
            <w:tcBorders>
              <w:top w:val="single" w:color="auto" w:sz="4" w:space="0"/>
              <w:left w:val="single" w:color="auto" w:sz="4" w:space="0"/>
              <w:bottom w:val="single" w:color="auto" w:sz="4" w:space="0"/>
              <w:right w:val="single" w:color="auto" w:sz="4" w:space="0"/>
            </w:tcBorders>
            <w:vAlign w:val="center"/>
          </w:tcPr>
          <w:p w14:paraId="39D1A51B">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技术文件：</w:t>
            </w:r>
          </w:p>
          <w:p w14:paraId="7EF225FE">
            <w:pPr>
              <w:tabs>
                <w:tab w:val="left" w:pos="312"/>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rPr>
              <w:t>投标人所投产品相应有效的《医疗器械产品注册证》复印件</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347ABA02">
            <w:pPr>
              <w:tabs>
                <w:tab w:val="left" w:pos="312"/>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2.技术要求偏离表（格式后附）；（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620031A">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3.设备性能配置清单（格式后附）；（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C5E2A31">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4.项目实施人员一览表（格式后附）；</w:t>
            </w:r>
          </w:p>
          <w:p w14:paraId="72EE100C">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5.对本项目系统总体要求的理解。包括：功能说明、性能指标及设备选型说明（质量、性能、价格、外观、体积等方面进行比较和选择的理由及过程）（格式自拟）；</w:t>
            </w:r>
          </w:p>
          <w:p w14:paraId="0DA26D8D">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6.产品出厂标准、质量检测报告（格式自拟）；</w:t>
            </w:r>
          </w:p>
          <w:p w14:paraId="42648DE3">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7.优惠条件：投标人承诺给予招标人的各种优惠条件，包括选配件、专用耗材、售后服务优惠（格式后附）；注：投标人不得给予赠品或者与采购无关的其他商品、服务；</w:t>
            </w:r>
          </w:p>
          <w:p w14:paraId="66A14630">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8.投标人对本项目的合理化建议和改进措施（格式自拟）；</w:t>
            </w:r>
          </w:p>
          <w:p w14:paraId="5C3FFB59">
            <w:pPr>
              <w:adjustRightInd w:val="0"/>
              <w:spacing w:line="400" w:lineRule="exact"/>
              <w:jc w:val="left"/>
              <w:rPr>
                <w:rFonts w:ascii="宋体" w:hAnsi="宋体" w:cs="宋体"/>
                <w:bCs/>
                <w:color w:val="auto"/>
                <w:szCs w:val="21"/>
                <w:highlight w:val="none"/>
              </w:rPr>
            </w:pPr>
            <w:r>
              <w:rPr>
                <w:rFonts w:hint="eastAsia" w:ascii="宋体" w:hAnsi="宋体" w:cs="宋体"/>
                <w:color w:val="auto"/>
                <w:szCs w:val="21"/>
                <w:highlight w:val="none"/>
              </w:rPr>
              <w:t>9.除招标文件规定必须提供以外，投标人需要说明的其他文件和说明（格式自拟）。</w:t>
            </w:r>
          </w:p>
          <w:p w14:paraId="37721123">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注：以上标明“必须提供”的材料必须加盖投标人电子签章，格式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tc>
      </w:tr>
      <w:tr w14:paraId="20AF6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6C8C63C">
            <w:pPr>
              <w:adjustRightInd w:val="0"/>
              <w:spacing w:line="400" w:lineRule="exact"/>
              <w:jc w:val="center"/>
              <w:rPr>
                <w:rFonts w:ascii="宋体" w:hAnsi="宋体" w:cs="宋体"/>
                <w:color w:val="auto"/>
                <w:szCs w:val="21"/>
                <w:highlight w:val="none"/>
              </w:rPr>
            </w:pPr>
            <w:bookmarkStart w:id="56" w:name="_13.5"/>
            <w:bookmarkEnd w:id="56"/>
            <w:bookmarkStart w:id="57" w:name="_16.2"/>
            <w:bookmarkEnd w:id="57"/>
            <w:r>
              <w:rPr>
                <w:rFonts w:hint="eastAsia" w:ascii="宋体" w:hAnsi="宋体" w:cs="宋体"/>
                <w:color w:val="auto"/>
                <w:szCs w:val="21"/>
                <w:highlight w:val="none"/>
              </w:rPr>
              <w:t>16</w:t>
            </w:r>
            <w:bookmarkStart w:id="58" w:name="_Hlt19194067"/>
            <w:bookmarkStart w:id="59" w:name="_Hlt19194066"/>
            <w:bookmarkStart w:id="60" w:name="_Hlt19693759"/>
            <w:bookmarkStart w:id="61" w:name="_Hlt19693758"/>
            <w:r>
              <w:rPr>
                <w:rFonts w:hint="eastAsia" w:ascii="宋体" w:hAnsi="宋体" w:cs="宋体"/>
                <w:color w:val="auto"/>
                <w:szCs w:val="21"/>
                <w:highlight w:val="none"/>
              </w:rPr>
              <w:t>.</w:t>
            </w:r>
            <w:bookmarkEnd w:id="58"/>
            <w:bookmarkEnd w:id="59"/>
            <w:bookmarkEnd w:id="60"/>
            <w:bookmarkEnd w:id="61"/>
            <w:r>
              <w:rPr>
                <w:rFonts w:hint="eastAsia" w:ascii="宋体" w:hAnsi="宋体" w:cs="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vAlign w:val="center"/>
          </w:tcPr>
          <w:p w14:paraId="69535D6C">
            <w:pPr>
              <w:adjustRightInd w:val="0"/>
              <w:spacing w:line="400" w:lineRule="exact"/>
              <w:rPr>
                <w:rFonts w:ascii="宋体" w:hAnsi="宋体" w:cs="宋体"/>
                <w:b/>
                <w:color w:val="auto"/>
                <w:szCs w:val="21"/>
                <w:highlight w:val="none"/>
              </w:rPr>
            </w:pPr>
            <w:r>
              <w:rPr>
                <w:rFonts w:hint="eastAsia" w:ascii="宋体" w:hAnsi="宋体" w:cs="宋体"/>
                <w:color w:val="auto"/>
                <w:szCs w:val="21"/>
                <w:highlight w:val="none"/>
              </w:rPr>
              <w:t>投标报价是履行合同的最终价格，包括但不限于：货物货款、货物标准附件、备品配件、专用工具、包装、运输、装卸、保险、税金、货到就位和安装、调试、培训、保修</w:t>
            </w:r>
            <w:r>
              <w:rPr>
                <w:rFonts w:hint="eastAsia" w:ascii="宋体" w:hAnsi="宋体" w:cs="宋体"/>
                <w:color w:val="auto"/>
                <w:szCs w:val="21"/>
                <w:highlight w:val="none"/>
                <w:lang w:eastAsia="zh-CN"/>
              </w:rPr>
              <w:t>、验收</w:t>
            </w:r>
            <w:r>
              <w:rPr>
                <w:rFonts w:hint="eastAsia" w:ascii="宋体" w:hAnsi="宋体" w:cs="宋体"/>
                <w:color w:val="auto"/>
                <w:szCs w:val="21"/>
                <w:highlight w:val="none"/>
              </w:rPr>
              <w:t>等的费用。</w:t>
            </w:r>
            <w:r>
              <w:rPr>
                <w:rFonts w:ascii="Arial" w:hAnsi="Arial" w:cs="Arial"/>
                <w:color w:val="auto"/>
                <w:szCs w:val="21"/>
                <w:highlight w:val="none"/>
              </w:rPr>
              <w:t>对于本文件中明确列明必须报价的货物或服务，</w:t>
            </w:r>
            <w:r>
              <w:rPr>
                <w:rFonts w:hint="eastAsia" w:ascii="Arial" w:hAnsi="Arial" w:cs="Arial"/>
                <w:color w:val="auto"/>
                <w:szCs w:val="21"/>
                <w:highlight w:val="none"/>
              </w:rPr>
              <w:t>投标人</w:t>
            </w:r>
            <w:r>
              <w:rPr>
                <w:rFonts w:ascii="Arial" w:hAnsi="Arial" w:cs="Arial"/>
                <w:color w:val="auto"/>
                <w:szCs w:val="21"/>
                <w:highlight w:val="none"/>
              </w:rPr>
              <w:t>应分别报价。对于本文件中未列明，而</w:t>
            </w:r>
            <w:r>
              <w:rPr>
                <w:rFonts w:hint="eastAsia" w:ascii="Arial" w:hAnsi="Arial" w:cs="Arial"/>
                <w:color w:val="auto"/>
                <w:szCs w:val="21"/>
                <w:highlight w:val="none"/>
              </w:rPr>
              <w:t>投标人</w:t>
            </w:r>
            <w:r>
              <w:rPr>
                <w:rFonts w:ascii="Arial" w:hAnsi="Arial" w:cs="Arial"/>
                <w:color w:val="auto"/>
                <w:szCs w:val="21"/>
                <w:highlight w:val="none"/>
              </w:rPr>
              <w:t>认为必需的费用也需列入总报价。在合同实施时，</w:t>
            </w:r>
            <w:r>
              <w:rPr>
                <w:rFonts w:hint="eastAsia" w:ascii="Arial" w:hAnsi="Arial" w:cs="Arial"/>
                <w:color w:val="auto"/>
                <w:szCs w:val="21"/>
                <w:highlight w:val="none"/>
              </w:rPr>
              <w:t>采购人</w:t>
            </w:r>
            <w:r>
              <w:rPr>
                <w:rFonts w:ascii="Arial" w:hAnsi="Arial" w:cs="Arial"/>
                <w:color w:val="auto"/>
                <w:szCs w:val="21"/>
                <w:highlight w:val="none"/>
              </w:rPr>
              <w:t>将不予支付</w:t>
            </w:r>
            <w:r>
              <w:rPr>
                <w:rFonts w:hint="eastAsia" w:ascii="Arial" w:hAnsi="Arial" w:cs="Arial"/>
                <w:color w:val="auto"/>
                <w:szCs w:val="21"/>
                <w:highlight w:val="none"/>
              </w:rPr>
              <w:t>投标人</w:t>
            </w:r>
            <w:r>
              <w:rPr>
                <w:rFonts w:ascii="Arial" w:hAnsi="Arial" w:cs="Arial"/>
                <w:color w:val="auto"/>
                <w:szCs w:val="21"/>
                <w:highlight w:val="none"/>
              </w:rPr>
              <w:t>没有列入的项目费用，并认为此项目的费用已包括在投标总报价中。</w:t>
            </w:r>
          </w:p>
        </w:tc>
      </w:tr>
      <w:tr w14:paraId="2D7DE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0977738">
            <w:pPr>
              <w:adjustRightInd w:val="0"/>
              <w:spacing w:line="400" w:lineRule="exact"/>
              <w:jc w:val="center"/>
              <w:rPr>
                <w:rFonts w:ascii="宋体" w:hAnsi="宋体" w:cs="宋体"/>
                <w:color w:val="auto"/>
                <w:szCs w:val="21"/>
                <w:highlight w:val="none"/>
              </w:rPr>
            </w:pPr>
            <w:bookmarkStart w:id="62" w:name="_17.1"/>
            <w:bookmarkEnd w:id="62"/>
            <w:r>
              <w:rPr>
                <w:rFonts w:hint="eastAsia" w:ascii="宋体" w:hAnsi="宋体" w:cs="宋体"/>
                <w:color w:val="auto"/>
                <w:szCs w:val="21"/>
                <w:highlight w:val="none"/>
              </w:rPr>
              <w:t>17.2</w:t>
            </w:r>
          </w:p>
        </w:tc>
        <w:tc>
          <w:tcPr>
            <w:tcW w:w="8670" w:type="dxa"/>
            <w:tcBorders>
              <w:top w:val="single" w:color="auto" w:sz="4" w:space="0"/>
              <w:left w:val="single" w:color="auto" w:sz="4" w:space="0"/>
              <w:bottom w:val="single" w:color="auto" w:sz="4" w:space="0"/>
              <w:right w:val="single" w:color="auto" w:sz="4" w:space="0"/>
            </w:tcBorders>
            <w:vAlign w:val="center"/>
          </w:tcPr>
          <w:p w14:paraId="0646C04F">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180</w:t>
            </w:r>
            <w:r>
              <w:rPr>
                <w:rFonts w:hint="eastAsia" w:ascii="宋体" w:hAnsi="宋体" w:cs="宋体"/>
                <w:color w:val="auto"/>
                <w:szCs w:val="21"/>
                <w:highlight w:val="none"/>
              </w:rPr>
              <w:t>日。</w:t>
            </w:r>
          </w:p>
        </w:tc>
      </w:tr>
      <w:tr w14:paraId="22C74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57527B4">
            <w:pPr>
              <w:adjustRightInd w:val="0"/>
              <w:spacing w:line="400" w:lineRule="exact"/>
              <w:jc w:val="center"/>
              <w:rPr>
                <w:rFonts w:ascii="宋体" w:hAnsi="宋体" w:cs="宋体"/>
                <w:color w:val="auto"/>
                <w:szCs w:val="21"/>
                <w:highlight w:val="none"/>
              </w:rPr>
            </w:pPr>
            <w:bookmarkStart w:id="63" w:name="_18"/>
            <w:bookmarkEnd w:id="63"/>
            <w:r>
              <w:rPr>
                <w:rFonts w:hint="eastAsia" w:ascii="宋体" w:hAnsi="宋体" w:cs="宋体"/>
                <w:color w:val="auto"/>
                <w:szCs w:val="21"/>
                <w:highlight w:val="none"/>
              </w:rPr>
              <w:t>18.1</w:t>
            </w:r>
          </w:p>
        </w:tc>
        <w:tc>
          <w:tcPr>
            <w:tcW w:w="8670" w:type="dxa"/>
            <w:tcBorders>
              <w:top w:val="single" w:color="auto" w:sz="4" w:space="0"/>
              <w:left w:val="single" w:color="auto" w:sz="4" w:space="0"/>
              <w:bottom w:val="single" w:color="auto" w:sz="4" w:space="0"/>
              <w:right w:val="single" w:color="auto" w:sz="4" w:space="0"/>
            </w:tcBorders>
            <w:vAlign w:val="center"/>
          </w:tcPr>
          <w:p w14:paraId="68FFEF9D">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4F883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B4529BE">
            <w:pPr>
              <w:adjustRightInd w:val="0"/>
              <w:spacing w:line="400" w:lineRule="exact"/>
              <w:jc w:val="center"/>
              <w:rPr>
                <w:rFonts w:ascii="宋体" w:hAnsi="宋体" w:cs="宋体"/>
                <w:color w:val="auto"/>
                <w:szCs w:val="21"/>
                <w:highlight w:val="none"/>
              </w:rPr>
            </w:pPr>
            <w:bookmarkStart w:id="64" w:name="_19.2"/>
            <w:bookmarkEnd w:id="64"/>
            <w:r>
              <w:rPr>
                <w:rFonts w:hint="eastAsia" w:ascii="宋体" w:hAnsi="宋体" w:cs="宋体"/>
                <w:color w:val="auto"/>
                <w:szCs w:val="21"/>
                <w:highlight w:val="none"/>
              </w:rPr>
              <w:t>20</w:t>
            </w:r>
          </w:p>
        </w:tc>
        <w:tc>
          <w:tcPr>
            <w:tcW w:w="8670" w:type="dxa"/>
            <w:tcBorders>
              <w:top w:val="single" w:color="auto" w:sz="4" w:space="0"/>
              <w:left w:val="single" w:color="auto" w:sz="4" w:space="0"/>
              <w:bottom w:val="single" w:color="auto" w:sz="4" w:space="0"/>
              <w:right w:val="single" w:color="auto" w:sz="4" w:space="0"/>
            </w:tcBorders>
            <w:vAlign w:val="center"/>
          </w:tcPr>
          <w:p w14:paraId="2376CA66">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□本项目不接受电子备份投标文件。</w:t>
            </w:r>
          </w:p>
          <w:p w14:paraId="20D8B94D">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☑本项目接受</w:t>
            </w:r>
            <w:r>
              <w:rPr>
                <w:rFonts w:hint="eastAsia" w:ascii="宋体" w:hAnsi="宋体" w:cs="宋体"/>
                <w:color w:val="auto"/>
                <w:highlight w:val="none"/>
              </w:rPr>
              <w:t>电子</w:t>
            </w:r>
            <w:r>
              <w:rPr>
                <w:rFonts w:hint="eastAsia" w:ascii="宋体" w:hAnsi="宋体" w:cs="宋体"/>
                <w:color w:val="auto"/>
                <w:szCs w:val="21"/>
                <w:highlight w:val="none"/>
              </w:rPr>
              <w:t>备份投标文件。</w:t>
            </w:r>
          </w:p>
          <w:p w14:paraId="7B3CD63C">
            <w:pPr>
              <w:autoSpaceDE w:val="0"/>
              <w:autoSpaceDN w:val="0"/>
              <w:adjustRightInd w:val="0"/>
              <w:spacing w:line="400" w:lineRule="exact"/>
              <w:ind w:firstLine="420" w:firstLineChars="200"/>
              <w:textAlignment w:val="bottom"/>
              <w:rPr>
                <w:rFonts w:ascii="宋体" w:hAnsi="宋体" w:cs="宋体"/>
                <w:color w:val="auto"/>
                <w:highlight w:val="none"/>
              </w:rPr>
            </w:pPr>
            <w:r>
              <w:rPr>
                <w:rFonts w:hint="eastAsia" w:ascii="宋体" w:hAnsi="宋体" w:cs="宋体"/>
                <w:color w:val="auto"/>
                <w:highlight w:val="none"/>
              </w:rPr>
              <w:t>电子</w:t>
            </w:r>
            <w:r>
              <w:rPr>
                <w:rFonts w:hint="eastAsia" w:ascii="宋体" w:hAnsi="宋体" w:cs="宋体"/>
                <w:color w:val="auto"/>
                <w:szCs w:val="21"/>
                <w:highlight w:val="none"/>
              </w:rPr>
              <w:t>备份投标文件</w:t>
            </w:r>
            <w:r>
              <w:rPr>
                <w:rFonts w:hint="eastAsia" w:ascii="宋体" w:hAnsi="宋体" w:cs="宋体"/>
                <w:color w:val="auto"/>
                <w:highlight w:val="none"/>
              </w:rPr>
              <w:t>提交方式：投标人可以在解密截止时间起30分钟内采用以下</w:t>
            </w:r>
            <w:r>
              <w:rPr>
                <w:rFonts w:hint="eastAsia" w:ascii="宋体" w:hAnsi="宋体" w:cs="宋体"/>
                <w:color w:val="auto"/>
                <w:highlight w:val="none"/>
                <w:u w:val="single"/>
              </w:rPr>
              <w:t>第（1）或（2）</w:t>
            </w:r>
            <w:r>
              <w:rPr>
                <w:rFonts w:hint="eastAsia" w:ascii="宋体" w:hAnsi="宋体" w:cs="宋体"/>
                <w:color w:val="auto"/>
                <w:highlight w:val="none"/>
              </w:rPr>
              <w:t>种方式向采购代理机构提交电子备份投标文件：</w:t>
            </w:r>
          </w:p>
          <w:p w14:paraId="52B95103">
            <w:pPr>
              <w:autoSpaceDE w:val="0"/>
              <w:autoSpaceDN w:val="0"/>
              <w:adjustRightInd w:val="0"/>
              <w:spacing w:line="400" w:lineRule="exact"/>
              <w:textAlignment w:val="bottom"/>
              <w:rPr>
                <w:rFonts w:ascii="宋体" w:hAnsi="宋体" w:cs="宋体"/>
                <w:color w:val="auto"/>
                <w:highlight w:val="none"/>
              </w:rPr>
            </w:pPr>
            <w:r>
              <w:rPr>
                <w:rFonts w:hint="eastAsia" w:ascii="宋体" w:hAnsi="宋体" w:cs="宋体"/>
                <w:color w:val="auto"/>
                <w:highlight w:val="none"/>
              </w:rPr>
              <w:t>（1）现场提交方式，应采用U盘进行存储，提交地址：</w:t>
            </w:r>
            <w:r>
              <w:rPr>
                <w:rFonts w:hint="eastAsia" w:ascii="宋体" w:hAnsi="宋体" w:cs="宋体"/>
                <w:color w:val="auto"/>
                <w:szCs w:val="21"/>
                <w:highlight w:val="none"/>
              </w:rPr>
              <w:t>桂林市公共资源交易中心</w:t>
            </w:r>
            <w:r>
              <w:rPr>
                <w:rFonts w:hint="eastAsia" w:ascii="宋体" w:hAnsi="宋体" w:cs="宋体"/>
                <w:color w:val="auto"/>
                <w:szCs w:val="21"/>
                <w:highlight w:val="none"/>
                <w:lang w:val="en-US" w:eastAsia="zh-CN"/>
              </w:rPr>
              <w:t>9号开标室</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lang w:val="en-US" w:eastAsia="zh-CN"/>
              </w:rPr>
              <w:t>号开标仓</w:t>
            </w:r>
            <w:r>
              <w:rPr>
                <w:rFonts w:hint="eastAsia" w:ascii="宋体" w:hAnsi="宋体" w:cs="宋体"/>
                <w:color w:val="auto"/>
                <w:szCs w:val="21"/>
                <w:highlight w:val="none"/>
              </w:rPr>
              <w:t>（广西桂林市临桂区西城中路69号创业大厦西辅楼4楼北区）</w:t>
            </w:r>
            <w:r>
              <w:rPr>
                <w:rFonts w:hint="eastAsia" w:ascii="宋体" w:hAnsi="宋体" w:cs="宋体"/>
                <w:color w:val="auto"/>
                <w:highlight w:val="none"/>
              </w:rPr>
              <w:t>；外包装上注明投标人名称、项目名称及项目编号（外包装不作密封要求）。</w:t>
            </w:r>
          </w:p>
          <w:p w14:paraId="08CB94A5">
            <w:pPr>
              <w:autoSpaceDE w:val="0"/>
              <w:autoSpaceDN w:val="0"/>
              <w:adjustRightInd w:val="0"/>
              <w:spacing w:line="400" w:lineRule="exact"/>
              <w:textAlignment w:val="bottom"/>
              <w:rPr>
                <w:rFonts w:ascii="宋体" w:hAnsi="宋体" w:cs="宋体"/>
                <w:color w:val="auto"/>
                <w:highlight w:val="none"/>
              </w:rPr>
            </w:pPr>
            <w:r>
              <w:rPr>
                <w:rFonts w:hint="eastAsia" w:ascii="宋体" w:hAnsi="宋体" w:cs="宋体"/>
                <w:color w:val="auto"/>
                <w:highlight w:val="none"/>
              </w:rPr>
              <w:t>（2）若投标人在规定的时间内无法解密或解密失败的，可以在投标文件解密截止时间后30分钟内向采购代理机构提交电子备份投标文件（接收电子备份投标文件的电子邮箱为：guilinyl@vip.sina.com）。投标人未按上述规定提交的电子备份投标文件，采购代理机构不予接收或承认。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投标人的投标文件作无效处理。</w:t>
            </w:r>
          </w:p>
          <w:p w14:paraId="0B629350">
            <w:pPr>
              <w:autoSpaceDE w:val="0"/>
              <w:autoSpaceDN w:val="0"/>
              <w:adjustRightInd w:val="0"/>
              <w:spacing w:line="400" w:lineRule="exact"/>
              <w:textAlignment w:val="bottom"/>
              <w:rPr>
                <w:rFonts w:ascii="宋体" w:hAnsi="宋体" w:cs="宋体"/>
                <w:color w:val="auto"/>
                <w:highlight w:val="none"/>
              </w:rPr>
            </w:pPr>
            <w:r>
              <w:rPr>
                <w:rFonts w:hint="eastAsia" w:ascii="宋体" w:hAnsi="宋体" w:cs="宋体"/>
                <w:color w:val="auto"/>
                <w:highlight w:val="none"/>
              </w:rPr>
              <w:t>（3）邮寄方式，应采用U盘进行存储，邮寄地址：</w:t>
            </w:r>
            <w:r>
              <w:rPr>
                <w:rFonts w:hint="eastAsia" w:ascii="宋体" w:hAnsi="宋体" w:cs="宋体"/>
                <w:color w:val="auto"/>
                <w:highlight w:val="none"/>
                <w:u w:val="single"/>
              </w:rPr>
              <w:t xml:space="preserve">   \   </w:t>
            </w:r>
            <w:r>
              <w:rPr>
                <w:rFonts w:hint="eastAsia" w:ascii="宋体" w:hAnsi="宋体" w:cs="宋体"/>
                <w:color w:val="auto"/>
                <w:highlight w:val="none"/>
              </w:rPr>
              <w:t>，收件人：</w:t>
            </w:r>
            <w:r>
              <w:rPr>
                <w:rFonts w:hint="eastAsia" w:ascii="宋体" w:hAnsi="宋体" w:cs="宋体"/>
                <w:color w:val="auto"/>
                <w:highlight w:val="none"/>
                <w:u w:val="single"/>
              </w:rPr>
              <w:t xml:space="preserve">  \    </w:t>
            </w:r>
            <w:r>
              <w:rPr>
                <w:rFonts w:hint="eastAsia" w:ascii="宋体" w:hAnsi="宋体" w:cs="宋体"/>
                <w:color w:val="auto"/>
                <w:highlight w:val="none"/>
              </w:rPr>
              <w:t>，联系方式：</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；外包装上注明投标人名称、项目名称及项目编号（外包装不作密封要求）。 </w:t>
            </w:r>
          </w:p>
          <w:p w14:paraId="4EA1D01C">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highlight w:val="none"/>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政府采购云平台”操作规范上传至“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ascii="宋体" w:hAnsi="宋体" w:cs="宋体"/>
                <w:b/>
                <w:bCs/>
                <w:color w:val="auto"/>
                <w:highlight w:val="none"/>
              </w:rPr>
              <w:t>投标人的投标文件作无效处理。</w:t>
            </w:r>
          </w:p>
        </w:tc>
      </w:tr>
      <w:tr w14:paraId="05CF7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vAlign w:val="center"/>
          </w:tcPr>
          <w:p w14:paraId="2FD0B0A5">
            <w:pPr>
              <w:adjustRightInd w:val="0"/>
              <w:spacing w:line="400" w:lineRule="exact"/>
              <w:jc w:val="center"/>
              <w:rPr>
                <w:rFonts w:ascii="宋体" w:hAnsi="宋体" w:cs="宋体"/>
                <w:color w:val="auto"/>
                <w:szCs w:val="21"/>
                <w:highlight w:val="none"/>
              </w:rPr>
            </w:pPr>
            <w:bookmarkStart w:id="65" w:name="_21.1"/>
            <w:bookmarkEnd w:id="65"/>
            <w:r>
              <w:rPr>
                <w:rFonts w:hint="eastAsia" w:ascii="宋体" w:hAnsi="宋体" w:cs="宋体"/>
                <w:color w:val="auto"/>
                <w:szCs w:val="21"/>
                <w:highlight w:val="none"/>
              </w:rPr>
              <w:t>21.1</w:t>
            </w:r>
          </w:p>
        </w:tc>
        <w:tc>
          <w:tcPr>
            <w:tcW w:w="8670" w:type="dxa"/>
            <w:tcBorders>
              <w:top w:val="single" w:color="auto" w:sz="4" w:space="0"/>
              <w:left w:val="single" w:color="auto" w:sz="4" w:space="0"/>
              <w:bottom w:val="single" w:color="auto" w:sz="4" w:space="0"/>
              <w:right w:val="single" w:color="auto" w:sz="4" w:space="0"/>
            </w:tcBorders>
            <w:vAlign w:val="center"/>
          </w:tcPr>
          <w:p w14:paraId="308C7250">
            <w:pPr>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1.投标文件提交截止时间：详见招标公告</w:t>
            </w:r>
          </w:p>
          <w:p w14:paraId="3F3716D5">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2.投标地点：详见招标公告</w:t>
            </w:r>
          </w:p>
        </w:tc>
      </w:tr>
      <w:tr w14:paraId="1BCD5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CDB1782">
            <w:pPr>
              <w:adjustRightInd w:val="0"/>
              <w:spacing w:line="400" w:lineRule="exact"/>
              <w:jc w:val="center"/>
              <w:rPr>
                <w:rFonts w:ascii="宋体" w:hAnsi="宋体" w:cs="宋体"/>
                <w:color w:val="auto"/>
                <w:szCs w:val="21"/>
                <w:highlight w:val="none"/>
              </w:rPr>
            </w:pPr>
            <w:bookmarkStart w:id="66" w:name="_23"/>
            <w:bookmarkEnd w:id="66"/>
            <w:r>
              <w:rPr>
                <w:rFonts w:hint="eastAsia" w:ascii="宋体" w:hAnsi="宋体" w:cs="宋体"/>
                <w:color w:val="auto"/>
                <w:szCs w:val="21"/>
                <w:highlight w:val="none"/>
              </w:rPr>
              <w:t>23</w:t>
            </w:r>
          </w:p>
        </w:tc>
        <w:tc>
          <w:tcPr>
            <w:tcW w:w="8670" w:type="dxa"/>
            <w:tcBorders>
              <w:top w:val="single" w:color="auto" w:sz="4" w:space="0"/>
              <w:left w:val="single" w:color="auto" w:sz="4" w:space="0"/>
              <w:bottom w:val="single" w:color="auto" w:sz="4" w:space="0"/>
              <w:right w:val="single" w:color="auto" w:sz="4" w:space="0"/>
            </w:tcBorders>
            <w:vAlign w:val="center"/>
          </w:tcPr>
          <w:p w14:paraId="62A0C906">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7EC9C55C">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2.开标地点：详见招标公告</w:t>
            </w:r>
          </w:p>
        </w:tc>
      </w:tr>
      <w:tr w14:paraId="7316A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41F02A4">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24.3（1）</w:t>
            </w:r>
          </w:p>
        </w:tc>
        <w:tc>
          <w:tcPr>
            <w:tcW w:w="8670" w:type="dxa"/>
            <w:tcBorders>
              <w:top w:val="single" w:color="auto" w:sz="4" w:space="0"/>
              <w:left w:val="single" w:color="auto" w:sz="4" w:space="0"/>
              <w:bottom w:val="single" w:color="auto" w:sz="4" w:space="0"/>
              <w:right w:val="single" w:color="auto" w:sz="4" w:space="0"/>
            </w:tcBorders>
            <w:vAlign w:val="center"/>
          </w:tcPr>
          <w:p w14:paraId="5871906C">
            <w:pPr>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电子投标文件解密时间：</w:t>
            </w:r>
            <w:r>
              <w:rPr>
                <w:rFonts w:hint="eastAsia" w:ascii="宋体" w:hAnsi="宋体" w:cs="宋体"/>
                <w:color w:val="auto"/>
                <w:szCs w:val="21"/>
                <w:highlight w:val="none"/>
                <w:u w:val="single"/>
              </w:rPr>
              <w:t>30</w:t>
            </w:r>
            <w:r>
              <w:rPr>
                <w:rFonts w:hint="eastAsia" w:ascii="宋体" w:hAnsi="宋体" w:cs="宋体"/>
                <w:color w:val="auto"/>
                <w:szCs w:val="21"/>
                <w:highlight w:val="none"/>
              </w:rPr>
              <w:t>分钟</w:t>
            </w:r>
          </w:p>
        </w:tc>
      </w:tr>
      <w:tr w14:paraId="002F4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1D8093A">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24.3（2）</w:t>
            </w:r>
          </w:p>
        </w:tc>
        <w:tc>
          <w:tcPr>
            <w:tcW w:w="8670" w:type="dxa"/>
            <w:tcBorders>
              <w:top w:val="single" w:color="auto" w:sz="4" w:space="0"/>
              <w:left w:val="single" w:color="auto" w:sz="4" w:space="0"/>
              <w:bottom w:val="single" w:color="auto" w:sz="4" w:space="0"/>
              <w:right w:val="single" w:color="auto" w:sz="4" w:space="0"/>
            </w:tcBorders>
            <w:vAlign w:val="center"/>
          </w:tcPr>
          <w:p w14:paraId="04FF778F">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宣布的内容：投标人名称、投标价格、</w:t>
            </w:r>
            <w:r>
              <w:rPr>
                <w:rFonts w:hint="eastAsia" w:ascii="宋体" w:hAnsi="宋体" w:cs="宋体"/>
                <w:color w:val="auto"/>
                <w:szCs w:val="21"/>
                <w:highlight w:val="none"/>
                <w:u w:val="single"/>
              </w:rPr>
              <w:t>\</w:t>
            </w:r>
          </w:p>
        </w:tc>
      </w:tr>
      <w:tr w14:paraId="3B00E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35F6664">
            <w:pPr>
              <w:adjustRightInd w:val="0"/>
              <w:spacing w:line="400" w:lineRule="exact"/>
              <w:jc w:val="center"/>
              <w:rPr>
                <w:rFonts w:ascii="宋体" w:hAnsi="宋体" w:cs="宋体"/>
                <w:color w:val="auto"/>
                <w:szCs w:val="21"/>
                <w:highlight w:val="none"/>
              </w:rPr>
            </w:pPr>
            <w:bookmarkStart w:id="67" w:name="_25.3"/>
            <w:bookmarkEnd w:id="67"/>
            <w:r>
              <w:rPr>
                <w:rFonts w:hint="eastAsia" w:ascii="宋体" w:hAnsi="宋体" w:cs="宋体"/>
                <w:color w:val="auto"/>
                <w:szCs w:val="21"/>
                <w:highlight w:val="none"/>
              </w:rPr>
              <w:t>25.3（2）</w:t>
            </w:r>
          </w:p>
        </w:tc>
        <w:tc>
          <w:tcPr>
            <w:tcW w:w="8670" w:type="dxa"/>
            <w:tcBorders>
              <w:top w:val="single" w:color="auto" w:sz="4" w:space="0"/>
              <w:left w:val="single" w:color="auto" w:sz="4" w:space="0"/>
              <w:bottom w:val="single" w:color="auto" w:sz="4" w:space="0"/>
              <w:right w:val="single" w:color="auto" w:sz="4" w:space="0"/>
            </w:tcBorders>
            <w:vAlign w:val="center"/>
          </w:tcPr>
          <w:p w14:paraId="56A69695">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38FA0921">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查询渠道：“信用中国”网站（</w:t>
            </w:r>
            <w:r>
              <w:rPr>
                <w:rFonts w:hint="eastAsia" w:ascii="宋体" w:hAnsi="宋体" w:cs="宋体"/>
                <w:color w:val="auto"/>
                <w:kern w:val="0"/>
                <w:szCs w:val="21"/>
                <w:highlight w:val="none"/>
              </w:rPr>
              <w:t>http://</w:t>
            </w:r>
            <w:r>
              <w:rPr>
                <w:rFonts w:hint="eastAsia" w:ascii="宋体" w:hAnsi="宋体" w:cs="宋体"/>
                <w:color w:val="auto"/>
                <w:szCs w:val="21"/>
                <w:highlight w:val="none"/>
              </w:rPr>
              <w:t>www.creditchina.gov.cn） 、中国政府采购网（</w:t>
            </w:r>
            <w:r>
              <w:rPr>
                <w:rFonts w:hint="eastAsia" w:ascii="宋体" w:hAnsi="宋体" w:cs="宋体"/>
                <w:color w:val="auto"/>
                <w:kern w:val="0"/>
                <w:szCs w:val="21"/>
                <w:highlight w:val="none"/>
              </w:rPr>
              <w:t>http://</w:t>
            </w:r>
            <w:r>
              <w:rPr>
                <w:rFonts w:hint="eastAsia" w:ascii="宋体" w:hAnsi="宋体" w:cs="宋体"/>
                <w:color w:val="auto"/>
                <w:szCs w:val="21"/>
                <w:highlight w:val="none"/>
              </w:rPr>
              <w:t>www.ccgp.gov.cn）。</w:t>
            </w:r>
          </w:p>
          <w:p w14:paraId="25488972">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7B8084AE">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查询记录和证据留存方式：在查询网站中直接截图查询记录，截图作为在“广西政府采购云平台”作为附件上传保存。</w:t>
            </w:r>
          </w:p>
          <w:p w14:paraId="07C3DEF5">
            <w:pPr>
              <w:adjustRightInd w:val="0"/>
              <w:spacing w:line="400" w:lineRule="exact"/>
              <w:rPr>
                <w:rFonts w:ascii="宋体" w:hAnsi="宋体" w:cs="宋体"/>
                <w:b/>
                <w:color w:val="auto"/>
                <w:szCs w:val="21"/>
                <w:highlight w:val="none"/>
              </w:rPr>
            </w:pPr>
            <w:r>
              <w:rPr>
                <w:rFonts w:hint="eastAsia" w:ascii="宋体" w:hAnsi="宋体" w:cs="宋体"/>
                <w:color w:val="auto"/>
                <w:szCs w:val="21"/>
                <w:highlight w:val="none"/>
              </w:rPr>
              <w:t>信用信息使用规则：对在“信用中国”网站（</w:t>
            </w:r>
            <w:r>
              <w:rPr>
                <w:rFonts w:hint="eastAsia" w:ascii="宋体" w:hAnsi="宋体" w:cs="宋体"/>
                <w:color w:val="auto"/>
                <w:kern w:val="0"/>
                <w:szCs w:val="21"/>
                <w:highlight w:val="none"/>
              </w:rPr>
              <w:t>http://</w:t>
            </w:r>
            <w:r>
              <w:rPr>
                <w:rFonts w:hint="eastAsia" w:ascii="宋体" w:hAnsi="宋体" w:cs="宋体"/>
                <w:color w:val="auto"/>
                <w:szCs w:val="21"/>
                <w:highlight w:val="none"/>
              </w:rPr>
              <w:t>www.creditchina.gov.cn） 、中国政府采购网（</w:t>
            </w:r>
            <w:r>
              <w:rPr>
                <w:rFonts w:hint="eastAsia" w:ascii="宋体" w:hAnsi="宋体" w:cs="宋体"/>
                <w:color w:val="auto"/>
                <w:kern w:val="0"/>
                <w:szCs w:val="21"/>
                <w:highlight w:val="none"/>
              </w:rPr>
              <w:t>http://</w:t>
            </w:r>
            <w:r>
              <w:rPr>
                <w:rFonts w:hint="eastAsia" w:ascii="宋体" w:hAnsi="宋体" w:cs="宋体"/>
                <w:color w:val="auto"/>
                <w:szCs w:val="21"/>
                <w:highlight w:val="none"/>
              </w:rPr>
              <w:t>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55089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EDA7D2A">
            <w:pPr>
              <w:adjustRightInd w:val="0"/>
              <w:spacing w:line="400" w:lineRule="exact"/>
              <w:jc w:val="center"/>
              <w:rPr>
                <w:rFonts w:ascii="宋体" w:hAnsi="宋体" w:cs="宋体"/>
                <w:color w:val="auto"/>
                <w:szCs w:val="21"/>
                <w:highlight w:val="none"/>
              </w:rPr>
            </w:pPr>
            <w:bookmarkStart w:id="68" w:name="_26"/>
            <w:bookmarkEnd w:id="68"/>
            <w:r>
              <w:rPr>
                <w:rFonts w:hint="eastAsia" w:ascii="宋体" w:hAnsi="宋体" w:cs="宋体"/>
                <w:color w:val="auto"/>
                <w:szCs w:val="21"/>
                <w:highlight w:val="none"/>
              </w:rPr>
              <w:t>26.1</w:t>
            </w:r>
          </w:p>
        </w:tc>
        <w:tc>
          <w:tcPr>
            <w:tcW w:w="8670" w:type="dxa"/>
            <w:tcBorders>
              <w:top w:val="single" w:color="auto" w:sz="4" w:space="0"/>
              <w:left w:val="single" w:color="auto" w:sz="4" w:space="0"/>
              <w:bottom w:val="single" w:color="auto" w:sz="4" w:space="0"/>
              <w:right w:val="single" w:color="auto" w:sz="4" w:space="0"/>
            </w:tcBorders>
            <w:vAlign w:val="center"/>
          </w:tcPr>
          <w:p w14:paraId="30EB3829">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评标委员会的人数：</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人</w:t>
            </w:r>
          </w:p>
        </w:tc>
      </w:tr>
      <w:tr w14:paraId="7C5AD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8F11651">
            <w:pPr>
              <w:adjustRightInd w:val="0"/>
              <w:spacing w:line="400" w:lineRule="exact"/>
              <w:jc w:val="center"/>
              <w:rPr>
                <w:rFonts w:ascii="宋体" w:hAnsi="宋体" w:cs="宋体"/>
                <w:color w:val="auto"/>
                <w:szCs w:val="21"/>
                <w:highlight w:val="none"/>
              </w:rPr>
            </w:pPr>
            <w:bookmarkStart w:id="69" w:name="_28.3"/>
            <w:bookmarkEnd w:id="69"/>
            <w:r>
              <w:rPr>
                <w:rFonts w:hint="eastAsia" w:ascii="宋体" w:hAnsi="宋体" w:cs="宋体"/>
                <w:color w:val="auto"/>
                <w:szCs w:val="21"/>
                <w:highlight w:val="none"/>
              </w:rPr>
              <w:t>29.1</w:t>
            </w:r>
          </w:p>
        </w:tc>
        <w:tc>
          <w:tcPr>
            <w:tcW w:w="8670" w:type="dxa"/>
            <w:tcBorders>
              <w:top w:val="single" w:color="auto" w:sz="4" w:space="0"/>
              <w:left w:val="single" w:color="auto" w:sz="4" w:space="0"/>
              <w:bottom w:val="single" w:color="auto" w:sz="4" w:space="0"/>
              <w:right w:val="single" w:color="auto" w:sz="4" w:space="0"/>
            </w:tcBorders>
            <w:vAlign w:val="center"/>
          </w:tcPr>
          <w:p w14:paraId="53FE007D">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评标方法：</w:t>
            </w:r>
          </w:p>
          <w:p w14:paraId="1E124C57">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5ACA039B">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7AFCC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895" w:type="dxa"/>
            <w:tcBorders>
              <w:top w:val="single" w:color="auto" w:sz="4" w:space="0"/>
              <w:left w:val="single" w:color="auto" w:sz="4" w:space="0"/>
              <w:bottom w:val="single" w:color="auto" w:sz="4" w:space="0"/>
              <w:right w:val="single" w:color="auto" w:sz="4" w:space="0"/>
            </w:tcBorders>
            <w:vAlign w:val="center"/>
          </w:tcPr>
          <w:p w14:paraId="3615EEBE">
            <w:pPr>
              <w:adjustRightInd w:val="0"/>
              <w:spacing w:line="400" w:lineRule="exact"/>
              <w:jc w:val="center"/>
              <w:rPr>
                <w:rFonts w:ascii="宋体" w:hAnsi="宋体" w:cs="宋体"/>
                <w:color w:val="auto"/>
                <w:szCs w:val="21"/>
                <w:highlight w:val="none"/>
              </w:rPr>
            </w:pPr>
            <w:bookmarkStart w:id="70" w:name="_29.2.2（2）"/>
            <w:bookmarkEnd w:id="70"/>
            <w:r>
              <w:rPr>
                <w:rFonts w:hint="eastAsia" w:ascii="宋体" w:hAnsi="宋体" w:cs="宋体"/>
                <w:color w:val="auto"/>
                <w:szCs w:val="21"/>
                <w:highlight w:val="none"/>
              </w:rPr>
              <w:t>29.2</w:t>
            </w:r>
          </w:p>
        </w:tc>
        <w:tc>
          <w:tcPr>
            <w:tcW w:w="8670" w:type="dxa"/>
            <w:tcBorders>
              <w:top w:val="single" w:color="auto" w:sz="4" w:space="0"/>
              <w:left w:val="single" w:color="auto" w:sz="4" w:space="0"/>
              <w:right w:val="single" w:color="auto" w:sz="4" w:space="0"/>
            </w:tcBorders>
            <w:vAlign w:val="center"/>
          </w:tcPr>
          <w:p w14:paraId="2CC45C2B">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5674368B">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技术要求评审中允许负偏离的条款数：</w:t>
            </w:r>
            <w:r>
              <w:rPr>
                <w:rFonts w:hint="eastAsia" w:ascii="宋体" w:hAnsi="宋体" w:cs="宋体"/>
                <w:color w:val="auto"/>
                <w:szCs w:val="21"/>
                <w:highlight w:val="none"/>
                <w:u w:val="single"/>
              </w:rPr>
              <w:t>2</w:t>
            </w:r>
            <w:r>
              <w:rPr>
                <w:rFonts w:hint="eastAsia" w:ascii="宋体" w:hAnsi="宋体" w:cs="宋体"/>
                <w:color w:val="auto"/>
                <w:szCs w:val="21"/>
                <w:highlight w:val="none"/>
              </w:rPr>
              <w:t>项。</w:t>
            </w:r>
          </w:p>
        </w:tc>
      </w:tr>
      <w:tr w14:paraId="48368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1F30FD24">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29.3</w:t>
            </w:r>
          </w:p>
        </w:tc>
        <w:tc>
          <w:tcPr>
            <w:tcW w:w="8670" w:type="dxa"/>
            <w:tcBorders>
              <w:top w:val="single" w:color="auto" w:sz="4" w:space="0"/>
              <w:left w:val="single" w:color="auto" w:sz="4" w:space="0"/>
              <w:right w:val="single" w:color="auto" w:sz="4" w:space="0"/>
            </w:tcBorders>
            <w:vAlign w:val="center"/>
          </w:tcPr>
          <w:p w14:paraId="31D85381">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中标候选人推荐数量：</w:t>
            </w:r>
          </w:p>
          <w:p w14:paraId="04C5AF5E">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w:t>
            </w:r>
            <w:r>
              <w:rPr>
                <w:rFonts w:hint="eastAsia" w:ascii="宋体" w:hAnsi="宋体" w:cs="宋体"/>
                <w:color w:val="auto"/>
                <w:szCs w:val="21"/>
                <w:highlight w:val="none"/>
              </w:rPr>
              <w:t>名</w:t>
            </w:r>
          </w:p>
          <w:p w14:paraId="0E6D31D2">
            <w:pPr>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☑根据[总得分由高到低（综合评分法）]排列次序并全部推荐为中标候选人</w:t>
            </w:r>
          </w:p>
        </w:tc>
      </w:tr>
      <w:tr w14:paraId="7F663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6C72F4F">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30.1</w:t>
            </w:r>
          </w:p>
        </w:tc>
        <w:tc>
          <w:tcPr>
            <w:tcW w:w="8670" w:type="dxa"/>
            <w:tcBorders>
              <w:top w:val="single" w:color="auto" w:sz="4" w:space="0"/>
              <w:left w:val="single" w:color="auto" w:sz="4" w:space="0"/>
              <w:bottom w:val="single" w:color="auto" w:sz="4" w:space="0"/>
              <w:right w:val="single" w:color="auto" w:sz="4" w:space="0"/>
            </w:tcBorders>
            <w:vAlign w:val="center"/>
          </w:tcPr>
          <w:p w14:paraId="74E63D93">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1351AC5E">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☑依次按投标报价低的优先、技术分高的优先、</w:t>
            </w:r>
            <w:r>
              <w:rPr>
                <w:rFonts w:hint="eastAsia" w:ascii="宋体" w:hAnsi="宋体" w:cs="宋体"/>
                <w:bCs/>
                <w:color w:val="auto"/>
                <w:szCs w:val="21"/>
                <w:highlight w:val="none"/>
              </w:rPr>
              <w:t>安装实施方案分高的优先、</w:t>
            </w:r>
            <w:r>
              <w:rPr>
                <w:rFonts w:hint="eastAsia" w:ascii="宋体" w:hAnsi="宋体" w:cs="宋体"/>
                <w:color w:val="auto"/>
                <w:szCs w:val="21"/>
                <w:highlight w:val="none"/>
              </w:rPr>
              <w:t>增值售后服务方案分高的优先、履约能力分高的优先、政策分高的优先顺序推荐；</w:t>
            </w:r>
          </w:p>
          <w:p w14:paraId="7E3987B6">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0F2F4862">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p w14:paraId="7BF2F64E">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采用最低评标价法的采购项目，采购人确定中标人时，出现中标候选人并列的情形，采购人按以下的方式确定中标人：</w:t>
            </w:r>
          </w:p>
          <w:p w14:paraId="4EFFEB2F">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节能及环保产品累计金额高的优先、带“▲”的实质性要求正偏离项数多的优先、均无正偏离或者正偏离项数一致时负偏离项数少的优先、保修期长优先、交货期短优先、故障响应时间短优先的顺序确定。</w:t>
            </w:r>
          </w:p>
          <w:p w14:paraId="222CFB1C">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7F6724CE">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tc>
      </w:tr>
      <w:tr w14:paraId="04FD7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vAlign w:val="center"/>
          </w:tcPr>
          <w:p w14:paraId="3D68F450">
            <w:pPr>
              <w:adjustRightInd w:val="0"/>
              <w:spacing w:line="400" w:lineRule="exact"/>
              <w:jc w:val="center"/>
              <w:rPr>
                <w:rFonts w:ascii="宋体" w:hAnsi="宋体" w:cs="宋体"/>
                <w:color w:val="auto"/>
                <w:szCs w:val="21"/>
                <w:highlight w:val="none"/>
              </w:rPr>
            </w:pPr>
            <w:bookmarkStart w:id="71" w:name="_39.1"/>
            <w:bookmarkEnd w:id="71"/>
            <w:r>
              <w:rPr>
                <w:rFonts w:hint="eastAsia" w:ascii="宋体" w:hAnsi="宋体" w:cs="宋体"/>
                <w:color w:val="auto"/>
                <w:szCs w:val="21"/>
                <w:highlight w:val="none"/>
              </w:rPr>
              <w:t>35.1</w:t>
            </w:r>
          </w:p>
        </w:tc>
        <w:tc>
          <w:tcPr>
            <w:tcW w:w="8670" w:type="dxa"/>
            <w:tcBorders>
              <w:top w:val="single" w:color="auto" w:sz="4" w:space="0"/>
              <w:left w:val="single" w:color="auto" w:sz="4" w:space="0"/>
              <w:bottom w:val="single" w:color="auto" w:sz="4" w:space="0"/>
              <w:right w:val="single" w:color="auto" w:sz="4" w:space="0"/>
            </w:tcBorders>
            <w:vAlign w:val="center"/>
          </w:tcPr>
          <w:p w14:paraId="3796B658">
            <w:pPr>
              <w:autoSpaceDE w:val="0"/>
              <w:autoSpaceDN w:val="0"/>
              <w:adjustRightIn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本项目不收取履约保证金。</w:t>
            </w:r>
          </w:p>
          <w:p w14:paraId="4E36315F">
            <w:pPr>
              <w:autoSpaceDE w:val="0"/>
              <w:autoSpaceDN w:val="0"/>
              <w:adjustRightIn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☑本项目收取履约保证金，具体规定如下：</w:t>
            </w:r>
          </w:p>
          <w:p w14:paraId="7D951E79">
            <w:pPr>
              <w:widowControl/>
              <w:autoSpaceDE w:val="0"/>
              <w:autoSpaceDN w:val="0"/>
              <w:snapToGrid w:val="0"/>
              <w:spacing w:line="360" w:lineRule="auto"/>
              <w:ind w:firstLine="420" w:firstLineChars="200"/>
              <w:jc w:val="left"/>
              <w:textAlignment w:val="bottom"/>
              <w:rPr>
                <w:rFonts w:ascii="宋体" w:hAnsi="宋体" w:cs="宋体"/>
                <w:color w:val="auto"/>
                <w:szCs w:val="21"/>
                <w:highlight w:val="none"/>
              </w:rPr>
            </w:pPr>
            <w:r>
              <w:rPr>
                <w:rFonts w:hint="eastAsia" w:ascii="宋体" w:hAnsi="宋体" w:cs="宋体"/>
                <w:color w:val="auto"/>
                <w:szCs w:val="21"/>
                <w:highlight w:val="none"/>
              </w:rPr>
              <w:t>履约保证金金额：按中标金额的1%。中标供应商必须在合同签订前向采购人足额缴纳履约保证金。</w:t>
            </w:r>
          </w:p>
          <w:p w14:paraId="16521DC1">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b/>
                <w:color w:val="auto"/>
                <w:szCs w:val="21"/>
                <w:highlight w:val="none"/>
              </w:rPr>
              <w:t>注：根据《广西壮族自治区财政厅关于持续优化政府采购营商环境推动高质量发展的通知》（桂财采〔2024〕55号）规定，对中小企业收取的</w:t>
            </w:r>
            <w:r>
              <w:rPr>
                <w:rFonts w:hint="eastAsia" w:ascii="宋体" w:hAnsi="宋体" w:cs="宋体"/>
                <w:b/>
                <w:color w:val="auto"/>
                <w:kern w:val="0"/>
                <w:szCs w:val="21"/>
                <w:highlight w:val="none"/>
              </w:rPr>
              <w:t>履约保证金数额不得超过政府采购合同金额的2%。</w:t>
            </w:r>
          </w:p>
          <w:p w14:paraId="16CA894A">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履约保证金递交方式：银行转账、支票、汇票、本票或者金融、担保机构出具的保函</w:t>
            </w:r>
            <w:r>
              <w:rPr>
                <w:rFonts w:hint="eastAsia" w:ascii="宋体" w:hAnsi="宋体" w:cs="宋体"/>
                <w:color w:val="auto"/>
                <w:highlight w:val="none"/>
              </w:rPr>
              <w:t>（包含电子保函）</w:t>
            </w:r>
            <w:r>
              <w:rPr>
                <w:rFonts w:hint="eastAsia" w:ascii="宋体" w:hAnsi="宋体" w:cs="宋体"/>
                <w:color w:val="auto"/>
                <w:szCs w:val="21"/>
                <w:highlight w:val="none"/>
              </w:rPr>
              <w:t>等非现金方式</w:t>
            </w:r>
          </w:p>
          <w:p w14:paraId="7EC28E74">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履约保证金退付方式、时间及条件：</w:t>
            </w:r>
          </w:p>
          <w:p w14:paraId="4303A187">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履约保证金在设备验收合格并交付使用后，由中标人凭《广西壮族自治区政府采购项目合同验收书》（详见附表1）向采购人申请办理履约保证金退还手续，采购人在收到合格材料后30日内以银行转账方式如数退还（不计利息）。</w:t>
            </w:r>
          </w:p>
          <w:p w14:paraId="7B7B3FAB">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（2）在履约保证金退还日期前，若中标人的开户名称、开户银行、账号有变动的，请以书面形式通知履约保证金收取单位，否则由此产生的后果由中标人自负。</w:t>
            </w:r>
          </w:p>
          <w:p w14:paraId="7047524B">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（3）中标人在签订合同后存在违约情形的，履约保证金不予退还。履约保证金不足以赔偿损失的，按实际损失赔偿。</w:t>
            </w:r>
          </w:p>
          <w:p w14:paraId="71A235A9">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履约保证金指定账户：</w:t>
            </w:r>
          </w:p>
          <w:p w14:paraId="68FAD274">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开户名称：桂林医学院附属医院</w:t>
            </w:r>
          </w:p>
          <w:p w14:paraId="7C0359BC">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开户银行：中国建设银行股份有限公司桂林叠彩支行</w:t>
            </w:r>
          </w:p>
          <w:p w14:paraId="1158A4EE">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账号：4500 1635 4100 5050 1922</w:t>
            </w:r>
          </w:p>
          <w:p w14:paraId="3673F04B">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备注：</w:t>
            </w:r>
          </w:p>
          <w:p w14:paraId="00F386A7">
            <w:pPr>
              <w:adjustRightIn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472798E3">
            <w:pPr>
              <w:adjustRightInd w:val="0"/>
              <w:spacing w:line="360" w:lineRule="auto"/>
              <w:jc w:val="left"/>
              <w:rPr>
                <w:rFonts w:ascii="宋体" w:hAnsi="宋体" w:cs="宋体"/>
                <w:color w:val="auto"/>
                <w:kern w:val="0"/>
                <w:szCs w:val="21"/>
                <w:highlight w:val="none"/>
              </w:rPr>
            </w:pPr>
            <w:r>
              <w:rPr>
                <w:rFonts w:hint="eastAsia" w:ascii="宋体" w:hAnsi="宋体" w:cs="宋体"/>
                <w:b/>
                <w:color w:val="auto"/>
                <w:szCs w:val="21"/>
                <w:highlight w:val="none"/>
              </w:rPr>
              <w:t>2.采用金融、担保机构出具的保函的，必须为无条件保函，否则不予签订合同。</w:t>
            </w:r>
          </w:p>
        </w:tc>
      </w:tr>
      <w:tr w14:paraId="0FC44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CE108A9">
            <w:pPr>
              <w:adjustRightInd w:val="0"/>
              <w:spacing w:line="400" w:lineRule="exact"/>
              <w:jc w:val="center"/>
              <w:rPr>
                <w:rFonts w:ascii="宋体" w:hAnsi="宋体" w:cs="宋体"/>
                <w:color w:val="auto"/>
                <w:szCs w:val="21"/>
                <w:highlight w:val="none"/>
              </w:rPr>
            </w:pPr>
            <w:bookmarkStart w:id="72" w:name="_40.1"/>
            <w:bookmarkEnd w:id="72"/>
            <w:r>
              <w:rPr>
                <w:rFonts w:hint="eastAsia" w:ascii="宋体" w:hAnsi="宋体" w:cs="宋体"/>
                <w:color w:val="auto"/>
                <w:szCs w:val="21"/>
                <w:highlight w:val="none"/>
              </w:rPr>
              <w:t>36.1</w:t>
            </w:r>
          </w:p>
        </w:tc>
        <w:tc>
          <w:tcPr>
            <w:tcW w:w="8670" w:type="dxa"/>
            <w:tcBorders>
              <w:top w:val="single" w:color="auto" w:sz="4" w:space="0"/>
              <w:left w:val="single" w:color="auto" w:sz="4" w:space="0"/>
              <w:bottom w:val="single" w:color="auto" w:sz="4" w:space="0"/>
              <w:right w:val="single" w:color="auto" w:sz="4" w:space="0"/>
            </w:tcBorders>
            <w:vAlign w:val="center"/>
          </w:tcPr>
          <w:p w14:paraId="73E30674">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505B0838">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0566CE93">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114B4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9203BF9">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38.2</w:t>
            </w:r>
          </w:p>
        </w:tc>
        <w:tc>
          <w:tcPr>
            <w:tcW w:w="8670" w:type="dxa"/>
            <w:tcBorders>
              <w:top w:val="single" w:color="auto" w:sz="4" w:space="0"/>
              <w:left w:val="single" w:color="auto" w:sz="4" w:space="0"/>
              <w:bottom w:val="single" w:color="auto" w:sz="4" w:space="0"/>
              <w:right w:val="single" w:color="auto" w:sz="4" w:space="0"/>
            </w:tcBorders>
            <w:vAlign w:val="center"/>
          </w:tcPr>
          <w:p w14:paraId="512D46B9">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39BD8DE7">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质疑联系部门及联系方式：云之龙咨询集团有限公司桂林分公司，联系人：吕雯，联系电话：0773-2887388  2887399 。通讯地址：广西桂林市临桂区西城北路2号耀辉•美好家园2幢12层1号房。</w:t>
            </w:r>
          </w:p>
          <w:p w14:paraId="5DF4985E">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业务时间：工作日每天上午9时00分到12时00分，下午1时00分到5时00分。</w:t>
            </w:r>
          </w:p>
        </w:tc>
      </w:tr>
      <w:tr w14:paraId="294DA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0FB098E">
            <w:pPr>
              <w:adjustRightInd w:val="0"/>
              <w:spacing w:line="400" w:lineRule="exact"/>
              <w:jc w:val="center"/>
              <w:rPr>
                <w:rFonts w:ascii="宋体" w:hAnsi="宋体" w:cs="宋体"/>
                <w:color w:val="auto"/>
                <w:szCs w:val="21"/>
                <w:highlight w:val="none"/>
              </w:rPr>
            </w:pPr>
            <w:bookmarkStart w:id="73" w:name="_41"/>
            <w:bookmarkEnd w:id="73"/>
            <w:bookmarkStart w:id="74" w:name="_42"/>
            <w:bookmarkEnd w:id="74"/>
            <w:bookmarkStart w:id="75" w:name="_Hlt17709148"/>
            <w:r>
              <w:rPr>
                <w:rFonts w:hint="eastAsia" w:ascii="宋体" w:hAnsi="宋体" w:cs="宋体"/>
                <w:color w:val="auto"/>
                <w:szCs w:val="21"/>
                <w:highlight w:val="none"/>
              </w:rPr>
              <w:t>3</w:t>
            </w:r>
            <w:bookmarkEnd w:id="75"/>
            <w:r>
              <w:rPr>
                <w:rFonts w:hint="eastAsia" w:ascii="宋体" w:hAnsi="宋体" w:cs="宋体"/>
                <w:color w:val="auto"/>
                <w:szCs w:val="21"/>
                <w:highlight w:val="none"/>
              </w:rPr>
              <w:t>9.1</w:t>
            </w:r>
          </w:p>
        </w:tc>
        <w:tc>
          <w:tcPr>
            <w:tcW w:w="8670" w:type="dxa"/>
            <w:tcBorders>
              <w:top w:val="single" w:color="auto" w:sz="4" w:space="0"/>
              <w:left w:val="single" w:color="auto" w:sz="4" w:space="0"/>
              <w:bottom w:val="single" w:color="auto" w:sz="4" w:space="0"/>
              <w:right w:val="single" w:color="auto" w:sz="4" w:space="0"/>
            </w:tcBorders>
            <w:vAlign w:val="center"/>
          </w:tcPr>
          <w:p w14:paraId="1809D8B0">
            <w:pPr>
              <w:pStyle w:val="25"/>
              <w:adjustRightInd w:val="0"/>
              <w:spacing w:line="400" w:lineRule="exact"/>
              <w:rPr>
                <w:rFonts w:hAnsi="宋体" w:cs="宋体"/>
                <w:color w:val="auto"/>
                <w:sz w:val="21"/>
                <w:highlight w:val="none"/>
              </w:rPr>
            </w:pPr>
            <w:r>
              <w:rPr>
                <w:rFonts w:hint="eastAsia" w:hAnsi="宋体" w:cs="宋体"/>
                <w:color w:val="auto"/>
                <w:sz w:val="21"/>
                <w:highlight w:val="none"/>
              </w:rPr>
              <w:t>1.采购代理费支付方式：</w:t>
            </w:r>
          </w:p>
          <w:p w14:paraId="2BFE2B55">
            <w:pPr>
              <w:pStyle w:val="25"/>
              <w:adjustRightInd w:val="0"/>
              <w:spacing w:line="400" w:lineRule="exact"/>
              <w:rPr>
                <w:rFonts w:hAnsi="宋体" w:cs="宋体"/>
                <w:color w:val="auto"/>
                <w:sz w:val="21"/>
                <w:highlight w:val="none"/>
              </w:rPr>
            </w:pPr>
            <w:r>
              <w:rPr>
                <w:rFonts w:hint="eastAsia" w:hAnsi="宋体" w:cs="宋体"/>
                <w:color w:val="auto"/>
                <w:highlight w:val="none"/>
              </w:rPr>
              <w:t>☑</w:t>
            </w:r>
            <w:r>
              <w:rPr>
                <w:rFonts w:hint="eastAsia" w:hAnsi="宋体" w:cs="宋体"/>
                <w:color w:val="auto"/>
                <w:sz w:val="21"/>
                <w:highlight w:val="none"/>
              </w:rPr>
              <w:t>本项目代理服务费在</w:t>
            </w:r>
            <w:r>
              <w:rPr>
                <w:rFonts w:hint="eastAsia" w:hAnsi="宋体"/>
                <w:color w:val="auto"/>
                <w:highlight w:val="none"/>
              </w:rPr>
              <w:t>中标通知书发出之日起5个工作日内，中标人向采购代理机构一次性付清。</w:t>
            </w:r>
          </w:p>
          <w:p w14:paraId="04054152">
            <w:pPr>
              <w:pStyle w:val="25"/>
              <w:adjustRightInd w:val="0"/>
              <w:spacing w:line="400" w:lineRule="exact"/>
              <w:rPr>
                <w:rFonts w:hAnsi="宋体" w:cs="宋体"/>
                <w:color w:val="auto"/>
                <w:sz w:val="21"/>
                <w:highlight w:val="none"/>
              </w:rPr>
            </w:pPr>
            <w:r>
              <w:rPr>
                <w:rFonts w:hint="eastAsia" w:hAnsi="宋体" w:cs="宋体"/>
                <w:color w:val="auto"/>
                <w:sz w:val="21"/>
                <w:highlight w:val="none"/>
              </w:rPr>
              <w:t>□采购人支付。</w:t>
            </w:r>
          </w:p>
          <w:p w14:paraId="39303C4D">
            <w:pPr>
              <w:pStyle w:val="25"/>
              <w:adjustRightInd w:val="0"/>
              <w:spacing w:line="400" w:lineRule="exact"/>
              <w:rPr>
                <w:rFonts w:hAnsi="宋体" w:cs="宋体"/>
                <w:color w:val="auto"/>
                <w:sz w:val="21"/>
                <w:highlight w:val="none"/>
              </w:rPr>
            </w:pPr>
            <w:r>
              <w:rPr>
                <w:rFonts w:hint="eastAsia" w:hAnsi="宋体" w:cs="宋体"/>
                <w:color w:val="auto"/>
                <w:sz w:val="21"/>
                <w:highlight w:val="none"/>
              </w:rPr>
              <w:t>2.采购代理费收取标准：</w:t>
            </w:r>
          </w:p>
          <w:p w14:paraId="380F75F4">
            <w:pPr>
              <w:spacing w:line="360" w:lineRule="exact"/>
              <w:rPr>
                <w:rFonts w:ascii="宋体" w:hAnsi="宋体"/>
                <w:color w:val="auto"/>
                <w:szCs w:val="21"/>
                <w:highlight w:val="none"/>
              </w:rPr>
            </w:pPr>
            <w:r>
              <w:rPr>
                <w:rFonts w:hint="eastAsia" w:hAnsi="宋体" w:cs="宋体"/>
                <w:color w:val="auto"/>
                <w:highlight w:val="none"/>
              </w:rPr>
              <w:t>☑以项目。</w:t>
            </w:r>
            <w:r>
              <w:rPr>
                <w:rFonts w:hint="eastAsia" w:ascii="宋体" w:hAnsi="宋体"/>
                <w:color w:val="auto"/>
                <w:highlight w:val="none"/>
              </w:rPr>
              <w:t>采购代理服务费按以下“采购代理服务收费标准”中</w:t>
            </w:r>
            <w:r>
              <w:rPr>
                <w:rFonts w:hint="eastAsia" w:ascii="宋体" w:hAnsi="宋体"/>
                <w:color w:val="auto"/>
                <w:szCs w:val="21"/>
                <w:highlight w:val="none"/>
              </w:rPr>
              <w:t>“货物招标”类</w:t>
            </w:r>
            <w:r>
              <w:rPr>
                <w:rFonts w:hint="eastAsia" w:ascii="宋体" w:hAnsi="宋体"/>
                <w:color w:val="auto"/>
                <w:highlight w:val="none"/>
              </w:rPr>
              <w:t>收费标准下浮20%计算（不足人民币5000元的，按5000元计）。</w:t>
            </w:r>
          </w:p>
          <w:p w14:paraId="3C2D096E">
            <w:pPr>
              <w:spacing w:line="360" w:lineRule="exact"/>
              <w:rPr>
                <w:rFonts w:ascii="宋体" w:hAnsi="宋体"/>
                <w:color w:val="auto"/>
                <w:szCs w:val="21"/>
                <w:highlight w:val="none"/>
              </w:rPr>
            </w:pPr>
            <w:r>
              <w:rPr>
                <w:rFonts w:hint="eastAsia" w:ascii="宋体" w:hAnsi="宋体"/>
                <w:color w:val="auto"/>
                <w:szCs w:val="21"/>
                <w:highlight w:val="none"/>
              </w:rPr>
              <w:t>采购代理服务收费标准：</w:t>
            </w:r>
          </w:p>
          <w:tbl>
            <w:tblPr>
              <w:tblStyle w:val="4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647"/>
              <w:gridCol w:w="1782"/>
              <w:gridCol w:w="2052"/>
            </w:tblGrid>
            <w:tr w14:paraId="73E2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577" w:type="dxa"/>
                </w:tcPr>
                <w:p w14:paraId="0F406531">
                  <w:pPr>
                    <w:spacing w:line="360" w:lineRule="exact"/>
                    <w:jc w:val="center"/>
                    <w:rPr>
                      <w:rFonts w:hint="eastAsia" w:ascii="宋体" w:hAnsi="宋体"/>
                      <w:color w:val="auto"/>
                      <w:highlight w:val="none"/>
                    </w:rPr>
                  </w:pPr>
                  <w:r>
                    <w:rPr>
                      <w:rFonts w:hint="eastAsia" w:ascii="宋体" w:hAnsi="宋体"/>
                      <w:color w:val="auto"/>
                      <w:highlight w:val="none"/>
                    </w:rPr>
                    <w:pict>
                      <v:line id="直线 3" o:spid="_x0000_s2050" o:spt="20" style="position:absolute;left:0pt;margin-left:23.35pt;margin-top:0.85pt;height:49.65pt;width:94.85pt;z-index:251659264;mso-width-relative:page;mso-height-relative:page;" filled="f" stroked="t" coordsize="21600,21600">
                        <v:path arrowok="t"/>
                        <v:fill on="f" focussize="0,0"/>
                        <v:stroke color="#000000"/>
                        <v:imagedata o:title=""/>
                        <o:lock v:ext="edit" aspectratio="f"/>
                      </v:line>
                    </w:pict>
                  </w:r>
                  <w:r>
                    <w:rPr>
                      <w:rFonts w:hint="eastAsia" w:ascii="宋体" w:hAnsi="宋体"/>
                      <w:color w:val="auto"/>
                      <w:highlight w:val="none"/>
                    </w:rPr>
                    <w:t>费率          服务类型</w:t>
                  </w:r>
                </w:p>
                <w:p w14:paraId="553F0A3D">
                  <w:pPr>
                    <w:spacing w:line="360" w:lineRule="exact"/>
                    <w:jc w:val="center"/>
                    <w:rPr>
                      <w:rFonts w:hint="eastAsia" w:ascii="宋体" w:hAnsi="宋体"/>
                      <w:color w:val="auto"/>
                      <w:highlight w:val="none"/>
                    </w:rPr>
                  </w:pPr>
                  <w:r>
                    <w:rPr>
                      <w:rFonts w:hint="eastAsia" w:ascii="宋体" w:hAnsi="宋体"/>
                      <w:color w:val="auto"/>
                      <w:highlight w:val="none"/>
                    </w:rPr>
                    <w:pict>
                      <v:line id="直线 4" o:spid="_x0000_s2051" o:spt="20" style="position:absolute;left:0pt;margin-left:-5.4pt;margin-top:3.1pt;height:31.2pt;width:124.2pt;z-index:251660288;mso-width-relative:page;mso-height-relative:page;" filled="f" stroked="t" coordsize="21600,21600">
                        <v:path arrowok="t"/>
                        <v:fill on="f" focussize="0,0"/>
                        <v:stroke color="#000000"/>
                        <v:imagedata o:title=""/>
                        <o:lock v:ext="edit" aspectratio="f"/>
                      </v:line>
                    </w:pict>
                  </w:r>
                </w:p>
                <w:p w14:paraId="682ACE5B">
                  <w:pPr>
                    <w:spacing w:line="360" w:lineRule="exact"/>
                    <w:jc w:val="center"/>
                    <w:rPr>
                      <w:rFonts w:hint="eastAsia" w:ascii="宋体" w:hAnsi="宋体"/>
                      <w:color w:val="auto"/>
                      <w:highlight w:val="none"/>
                    </w:rPr>
                  </w:pPr>
                  <w:r>
                    <w:rPr>
                      <w:rFonts w:hint="eastAsia" w:ascii="宋体" w:hAnsi="宋体"/>
                      <w:color w:val="auto"/>
                      <w:highlight w:val="none"/>
                    </w:rPr>
                    <w:t>中标金额</w:t>
                  </w:r>
                </w:p>
              </w:tc>
              <w:tc>
                <w:tcPr>
                  <w:tcW w:w="1647" w:type="dxa"/>
                  <w:vAlign w:val="center"/>
                </w:tcPr>
                <w:p w14:paraId="42FCD88D">
                  <w:pPr>
                    <w:spacing w:line="360" w:lineRule="exact"/>
                    <w:jc w:val="center"/>
                    <w:rPr>
                      <w:rFonts w:hint="eastAsia" w:ascii="宋体" w:hAnsi="宋体"/>
                      <w:color w:val="auto"/>
                      <w:highlight w:val="none"/>
                    </w:rPr>
                  </w:pPr>
                  <w:r>
                    <w:rPr>
                      <w:rFonts w:hint="eastAsia" w:ascii="宋体" w:hAnsi="宋体"/>
                      <w:color w:val="auto"/>
                      <w:highlight w:val="none"/>
                    </w:rPr>
                    <w:t>货物招标</w:t>
                  </w:r>
                </w:p>
              </w:tc>
              <w:tc>
                <w:tcPr>
                  <w:tcW w:w="1782" w:type="dxa"/>
                  <w:vAlign w:val="center"/>
                </w:tcPr>
                <w:p w14:paraId="37383C80">
                  <w:pPr>
                    <w:spacing w:line="360" w:lineRule="exact"/>
                    <w:jc w:val="center"/>
                    <w:rPr>
                      <w:rFonts w:hint="eastAsia" w:ascii="宋体" w:hAnsi="宋体"/>
                      <w:color w:val="auto"/>
                      <w:highlight w:val="none"/>
                    </w:rPr>
                  </w:pPr>
                  <w:r>
                    <w:rPr>
                      <w:rFonts w:hint="eastAsia" w:ascii="宋体" w:hAnsi="宋体"/>
                      <w:color w:val="auto"/>
                      <w:highlight w:val="none"/>
                    </w:rPr>
                    <w:t>服务招标</w:t>
                  </w:r>
                </w:p>
              </w:tc>
              <w:tc>
                <w:tcPr>
                  <w:tcW w:w="2052" w:type="dxa"/>
                  <w:vAlign w:val="center"/>
                </w:tcPr>
                <w:p w14:paraId="40817B3E">
                  <w:pPr>
                    <w:spacing w:line="360" w:lineRule="exact"/>
                    <w:jc w:val="center"/>
                    <w:rPr>
                      <w:rFonts w:hint="eastAsia" w:ascii="宋体" w:hAnsi="宋体"/>
                      <w:color w:val="auto"/>
                      <w:highlight w:val="none"/>
                    </w:rPr>
                  </w:pPr>
                  <w:r>
                    <w:rPr>
                      <w:rFonts w:hint="eastAsia" w:ascii="宋体" w:hAnsi="宋体"/>
                      <w:color w:val="auto"/>
                      <w:highlight w:val="none"/>
                    </w:rPr>
                    <w:t>工程招标</w:t>
                  </w:r>
                </w:p>
              </w:tc>
            </w:tr>
            <w:tr w14:paraId="5CAA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77" w:type="dxa"/>
                </w:tcPr>
                <w:p w14:paraId="553E20C3">
                  <w:pPr>
                    <w:spacing w:line="360" w:lineRule="exact"/>
                    <w:jc w:val="center"/>
                    <w:rPr>
                      <w:rFonts w:hint="eastAsia" w:ascii="宋体" w:hAnsi="宋体"/>
                      <w:color w:val="auto"/>
                      <w:highlight w:val="none"/>
                    </w:rPr>
                  </w:pPr>
                  <w:r>
                    <w:rPr>
                      <w:rFonts w:hint="eastAsia" w:ascii="宋体" w:hAnsi="宋体"/>
                      <w:color w:val="auto"/>
                      <w:highlight w:val="none"/>
                    </w:rPr>
                    <w:t>100万元以下</w:t>
                  </w:r>
                </w:p>
              </w:tc>
              <w:tc>
                <w:tcPr>
                  <w:tcW w:w="1647" w:type="dxa"/>
                </w:tcPr>
                <w:p w14:paraId="17579F74">
                  <w:pPr>
                    <w:spacing w:line="360" w:lineRule="exact"/>
                    <w:jc w:val="center"/>
                    <w:rPr>
                      <w:rFonts w:hint="eastAsia" w:ascii="宋体" w:hAnsi="宋体"/>
                      <w:color w:val="auto"/>
                      <w:highlight w:val="none"/>
                    </w:rPr>
                  </w:pPr>
                  <w:r>
                    <w:rPr>
                      <w:rFonts w:hint="eastAsia" w:ascii="宋体" w:hAnsi="宋体"/>
                      <w:color w:val="auto"/>
                      <w:highlight w:val="none"/>
                    </w:rPr>
                    <w:t>1.5%</w:t>
                  </w:r>
                </w:p>
              </w:tc>
              <w:tc>
                <w:tcPr>
                  <w:tcW w:w="1782" w:type="dxa"/>
                </w:tcPr>
                <w:p w14:paraId="4F9A9C8E">
                  <w:pPr>
                    <w:spacing w:line="360" w:lineRule="exact"/>
                    <w:jc w:val="center"/>
                    <w:rPr>
                      <w:rFonts w:hint="eastAsia" w:ascii="宋体" w:hAnsi="宋体"/>
                      <w:color w:val="auto"/>
                      <w:highlight w:val="none"/>
                    </w:rPr>
                  </w:pPr>
                  <w:r>
                    <w:rPr>
                      <w:rFonts w:hint="eastAsia" w:ascii="宋体" w:hAnsi="宋体"/>
                      <w:color w:val="auto"/>
                      <w:highlight w:val="none"/>
                    </w:rPr>
                    <w:t>1.5%</w:t>
                  </w:r>
                </w:p>
              </w:tc>
              <w:tc>
                <w:tcPr>
                  <w:tcW w:w="2052" w:type="dxa"/>
                </w:tcPr>
                <w:p w14:paraId="352D3CA6">
                  <w:pPr>
                    <w:spacing w:line="360" w:lineRule="exact"/>
                    <w:jc w:val="center"/>
                    <w:rPr>
                      <w:rFonts w:hint="eastAsia" w:ascii="宋体" w:hAnsi="宋体"/>
                      <w:color w:val="auto"/>
                      <w:highlight w:val="none"/>
                    </w:rPr>
                  </w:pPr>
                  <w:r>
                    <w:rPr>
                      <w:rFonts w:hint="eastAsia" w:ascii="宋体" w:hAnsi="宋体"/>
                      <w:color w:val="auto"/>
                      <w:highlight w:val="none"/>
                    </w:rPr>
                    <w:t>1.0%</w:t>
                  </w:r>
                </w:p>
              </w:tc>
            </w:tr>
            <w:tr w14:paraId="6E72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77" w:type="dxa"/>
                </w:tcPr>
                <w:p w14:paraId="7B911271">
                  <w:pPr>
                    <w:spacing w:line="360" w:lineRule="exact"/>
                    <w:jc w:val="center"/>
                    <w:rPr>
                      <w:rFonts w:hint="eastAsia" w:ascii="宋体" w:hAnsi="宋体"/>
                      <w:color w:val="auto"/>
                      <w:highlight w:val="none"/>
                    </w:rPr>
                  </w:pPr>
                  <w:r>
                    <w:rPr>
                      <w:rFonts w:hint="eastAsia" w:ascii="宋体" w:hAnsi="宋体"/>
                      <w:color w:val="auto"/>
                      <w:highlight w:val="none"/>
                    </w:rPr>
                    <w:t>100～500万元</w:t>
                  </w:r>
                </w:p>
              </w:tc>
              <w:tc>
                <w:tcPr>
                  <w:tcW w:w="1647" w:type="dxa"/>
                </w:tcPr>
                <w:p w14:paraId="6C188D1F">
                  <w:pPr>
                    <w:spacing w:line="360" w:lineRule="exact"/>
                    <w:jc w:val="center"/>
                    <w:rPr>
                      <w:rFonts w:hint="eastAsia" w:ascii="宋体" w:hAnsi="宋体"/>
                      <w:color w:val="auto"/>
                      <w:highlight w:val="none"/>
                    </w:rPr>
                  </w:pPr>
                  <w:r>
                    <w:rPr>
                      <w:rFonts w:hint="eastAsia" w:ascii="宋体" w:hAnsi="宋体"/>
                      <w:color w:val="auto"/>
                      <w:highlight w:val="none"/>
                    </w:rPr>
                    <w:t>1.1%</w:t>
                  </w:r>
                </w:p>
              </w:tc>
              <w:tc>
                <w:tcPr>
                  <w:tcW w:w="1782" w:type="dxa"/>
                </w:tcPr>
                <w:p w14:paraId="456E3BB8">
                  <w:pPr>
                    <w:spacing w:line="360" w:lineRule="exact"/>
                    <w:jc w:val="center"/>
                    <w:rPr>
                      <w:rFonts w:hint="eastAsia" w:ascii="宋体" w:hAnsi="宋体"/>
                      <w:color w:val="auto"/>
                      <w:highlight w:val="none"/>
                    </w:rPr>
                  </w:pPr>
                  <w:r>
                    <w:rPr>
                      <w:rFonts w:hint="eastAsia" w:ascii="宋体" w:hAnsi="宋体"/>
                      <w:color w:val="auto"/>
                      <w:highlight w:val="none"/>
                    </w:rPr>
                    <w:t>0.8%</w:t>
                  </w:r>
                </w:p>
              </w:tc>
              <w:tc>
                <w:tcPr>
                  <w:tcW w:w="2052" w:type="dxa"/>
                </w:tcPr>
                <w:p w14:paraId="72BEA5B1">
                  <w:pPr>
                    <w:spacing w:line="360" w:lineRule="exact"/>
                    <w:jc w:val="center"/>
                    <w:rPr>
                      <w:rFonts w:hint="eastAsia" w:ascii="宋体" w:hAnsi="宋体"/>
                      <w:color w:val="auto"/>
                      <w:highlight w:val="none"/>
                    </w:rPr>
                  </w:pPr>
                  <w:r>
                    <w:rPr>
                      <w:rFonts w:hint="eastAsia" w:ascii="宋体" w:hAnsi="宋体"/>
                      <w:color w:val="auto"/>
                      <w:highlight w:val="none"/>
                    </w:rPr>
                    <w:t>0.7%</w:t>
                  </w:r>
                </w:p>
              </w:tc>
            </w:tr>
            <w:tr w14:paraId="3E83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77" w:type="dxa"/>
                </w:tcPr>
                <w:p w14:paraId="03375D60">
                  <w:pPr>
                    <w:spacing w:line="360" w:lineRule="exact"/>
                    <w:jc w:val="center"/>
                    <w:rPr>
                      <w:rFonts w:hint="eastAsia" w:ascii="宋体" w:hAnsi="宋体"/>
                      <w:color w:val="auto"/>
                      <w:highlight w:val="none"/>
                    </w:rPr>
                  </w:pPr>
                  <w:r>
                    <w:rPr>
                      <w:rFonts w:hint="eastAsia" w:ascii="宋体" w:hAnsi="宋体"/>
                      <w:color w:val="auto"/>
                      <w:highlight w:val="none"/>
                    </w:rPr>
                    <w:t>500～1000万元</w:t>
                  </w:r>
                </w:p>
              </w:tc>
              <w:tc>
                <w:tcPr>
                  <w:tcW w:w="1647" w:type="dxa"/>
                </w:tcPr>
                <w:p w14:paraId="76BB11FD">
                  <w:pPr>
                    <w:spacing w:line="360" w:lineRule="exact"/>
                    <w:jc w:val="center"/>
                    <w:rPr>
                      <w:rFonts w:hint="eastAsia" w:ascii="宋体" w:hAnsi="宋体"/>
                      <w:color w:val="auto"/>
                      <w:highlight w:val="none"/>
                    </w:rPr>
                  </w:pPr>
                  <w:r>
                    <w:rPr>
                      <w:rFonts w:hint="eastAsia" w:ascii="宋体" w:hAnsi="宋体"/>
                      <w:color w:val="auto"/>
                      <w:highlight w:val="none"/>
                    </w:rPr>
                    <w:t>0.8%</w:t>
                  </w:r>
                </w:p>
              </w:tc>
              <w:tc>
                <w:tcPr>
                  <w:tcW w:w="1782" w:type="dxa"/>
                </w:tcPr>
                <w:p w14:paraId="46B3DFD7">
                  <w:pPr>
                    <w:spacing w:line="360" w:lineRule="exact"/>
                    <w:jc w:val="center"/>
                    <w:rPr>
                      <w:rFonts w:hint="eastAsia" w:ascii="宋体" w:hAnsi="宋体"/>
                      <w:color w:val="auto"/>
                      <w:highlight w:val="none"/>
                    </w:rPr>
                  </w:pPr>
                  <w:r>
                    <w:rPr>
                      <w:rFonts w:hint="eastAsia" w:ascii="宋体" w:hAnsi="宋体"/>
                      <w:color w:val="auto"/>
                      <w:highlight w:val="none"/>
                    </w:rPr>
                    <w:t>0.45%</w:t>
                  </w:r>
                </w:p>
              </w:tc>
              <w:tc>
                <w:tcPr>
                  <w:tcW w:w="2052" w:type="dxa"/>
                </w:tcPr>
                <w:p w14:paraId="0485AB4A">
                  <w:pPr>
                    <w:spacing w:line="360" w:lineRule="exact"/>
                    <w:jc w:val="center"/>
                    <w:rPr>
                      <w:rFonts w:hint="eastAsia" w:ascii="宋体" w:hAnsi="宋体"/>
                      <w:color w:val="auto"/>
                      <w:highlight w:val="none"/>
                    </w:rPr>
                  </w:pPr>
                  <w:r>
                    <w:rPr>
                      <w:rFonts w:hint="eastAsia" w:ascii="宋体" w:hAnsi="宋体"/>
                      <w:color w:val="auto"/>
                      <w:highlight w:val="none"/>
                    </w:rPr>
                    <w:t>0.55%</w:t>
                  </w:r>
                </w:p>
              </w:tc>
            </w:tr>
            <w:tr w14:paraId="56CD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77" w:type="dxa"/>
                </w:tcPr>
                <w:p w14:paraId="1FC5F145">
                  <w:pPr>
                    <w:spacing w:line="360" w:lineRule="exact"/>
                    <w:jc w:val="center"/>
                    <w:rPr>
                      <w:rFonts w:hint="eastAsia" w:ascii="宋体" w:hAnsi="宋体"/>
                      <w:color w:val="auto"/>
                      <w:highlight w:val="none"/>
                    </w:rPr>
                  </w:pPr>
                  <w:r>
                    <w:rPr>
                      <w:rFonts w:hint="eastAsia" w:ascii="宋体" w:hAnsi="宋体"/>
                      <w:color w:val="auto"/>
                      <w:highlight w:val="none"/>
                    </w:rPr>
                    <w:t>1000～5000万元</w:t>
                  </w:r>
                </w:p>
              </w:tc>
              <w:tc>
                <w:tcPr>
                  <w:tcW w:w="1647" w:type="dxa"/>
                </w:tcPr>
                <w:p w14:paraId="3B718726">
                  <w:pPr>
                    <w:spacing w:line="360" w:lineRule="exact"/>
                    <w:jc w:val="center"/>
                    <w:rPr>
                      <w:rFonts w:hint="eastAsia" w:ascii="宋体" w:hAnsi="宋体"/>
                      <w:color w:val="auto"/>
                      <w:highlight w:val="none"/>
                    </w:rPr>
                  </w:pPr>
                  <w:r>
                    <w:rPr>
                      <w:rFonts w:hint="eastAsia" w:ascii="宋体" w:hAnsi="宋体"/>
                      <w:color w:val="auto"/>
                      <w:highlight w:val="none"/>
                    </w:rPr>
                    <w:t>0.5%</w:t>
                  </w:r>
                </w:p>
              </w:tc>
              <w:tc>
                <w:tcPr>
                  <w:tcW w:w="1782" w:type="dxa"/>
                </w:tcPr>
                <w:p w14:paraId="75F1FB11">
                  <w:pPr>
                    <w:spacing w:line="360" w:lineRule="exact"/>
                    <w:jc w:val="center"/>
                    <w:rPr>
                      <w:rFonts w:hint="eastAsia" w:ascii="宋体" w:hAnsi="宋体"/>
                      <w:color w:val="auto"/>
                      <w:highlight w:val="none"/>
                    </w:rPr>
                  </w:pPr>
                  <w:r>
                    <w:rPr>
                      <w:rFonts w:hint="eastAsia" w:ascii="宋体" w:hAnsi="宋体"/>
                      <w:color w:val="auto"/>
                      <w:highlight w:val="none"/>
                    </w:rPr>
                    <w:t>0.25%</w:t>
                  </w:r>
                </w:p>
              </w:tc>
              <w:tc>
                <w:tcPr>
                  <w:tcW w:w="2052" w:type="dxa"/>
                </w:tcPr>
                <w:p w14:paraId="2D8C4D27">
                  <w:pPr>
                    <w:spacing w:line="360" w:lineRule="exact"/>
                    <w:jc w:val="center"/>
                    <w:rPr>
                      <w:rFonts w:hint="eastAsia" w:ascii="宋体" w:hAnsi="宋体"/>
                      <w:color w:val="auto"/>
                      <w:highlight w:val="none"/>
                    </w:rPr>
                  </w:pPr>
                  <w:r>
                    <w:rPr>
                      <w:rFonts w:hint="eastAsia" w:ascii="宋体" w:hAnsi="宋体"/>
                      <w:color w:val="auto"/>
                      <w:highlight w:val="none"/>
                    </w:rPr>
                    <w:t>0.35%</w:t>
                  </w:r>
                </w:p>
              </w:tc>
            </w:tr>
            <w:tr w14:paraId="656F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577" w:type="dxa"/>
                </w:tcPr>
                <w:p w14:paraId="52D69450">
                  <w:pPr>
                    <w:spacing w:line="360" w:lineRule="exact"/>
                    <w:jc w:val="center"/>
                    <w:rPr>
                      <w:rFonts w:hint="eastAsia" w:ascii="宋体" w:hAnsi="宋体"/>
                      <w:color w:val="auto"/>
                      <w:highlight w:val="none"/>
                    </w:rPr>
                  </w:pPr>
                  <w:r>
                    <w:rPr>
                      <w:rFonts w:hint="eastAsia" w:ascii="宋体" w:hAnsi="宋体"/>
                      <w:color w:val="auto"/>
                      <w:highlight w:val="none"/>
                    </w:rPr>
                    <w:t>5000万元～1亿元</w:t>
                  </w:r>
                </w:p>
              </w:tc>
              <w:tc>
                <w:tcPr>
                  <w:tcW w:w="1647" w:type="dxa"/>
                </w:tcPr>
                <w:p w14:paraId="7899450F">
                  <w:pPr>
                    <w:spacing w:line="360" w:lineRule="exact"/>
                    <w:jc w:val="center"/>
                    <w:rPr>
                      <w:rFonts w:hint="eastAsia" w:ascii="宋体" w:hAnsi="宋体"/>
                      <w:color w:val="auto"/>
                      <w:highlight w:val="none"/>
                    </w:rPr>
                  </w:pPr>
                  <w:r>
                    <w:rPr>
                      <w:rFonts w:hint="eastAsia" w:ascii="宋体" w:hAnsi="宋体"/>
                      <w:color w:val="auto"/>
                      <w:highlight w:val="none"/>
                    </w:rPr>
                    <w:t>0.25%</w:t>
                  </w:r>
                </w:p>
              </w:tc>
              <w:tc>
                <w:tcPr>
                  <w:tcW w:w="1782" w:type="dxa"/>
                </w:tcPr>
                <w:p w14:paraId="5E266A8F">
                  <w:pPr>
                    <w:spacing w:line="360" w:lineRule="exact"/>
                    <w:jc w:val="center"/>
                    <w:rPr>
                      <w:rFonts w:hint="eastAsia" w:ascii="宋体" w:hAnsi="宋体"/>
                      <w:color w:val="auto"/>
                      <w:highlight w:val="none"/>
                    </w:rPr>
                  </w:pPr>
                  <w:r>
                    <w:rPr>
                      <w:rFonts w:hint="eastAsia" w:ascii="宋体" w:hAnsi="宋体"/>
                      <w:color w:val="auto"/>
                      <w:highlight w:val="none"/>
                    </w:rPr>
                    <w:t>0.1%</w:t>
                  </w:r>
                </w:p>
              </w:tc>
              <w:tc>
                <w:tcPr>
                  <w:tcW w:w="2052" w:type="dxa"/>
                </w:tcPr>
                <w:p w14:paraId="50F77B55">
                  <w:pPr>
                    <w:spacing w:line="360" w:lineRule="exact"/>
                    <w:jc w:val="center"/>
                    <w:rPr>
                      <w:rFonts w:hint="eastAsia" w:ascii="宋体" w:hAnsi="宋体"/>
                      <w:color w:val="auto"/>
                      <w:highlight w:val="none"/>
                    </w:rPr>
                  </w:pPr>
                  <w:r>
                    <w:rPr>
                      <w:rFonts w:hint="eastAsia" w:ascii="宋体" w:hAnsi="宋体"/>
                      <w:color w:val="auto"/>
                      <w:highlight w:val="none"/>
                    </w:rPr>
                    <w:t>0.2%</w:t>
                  </w:r>
                </w:p>
              </w:tc>
            </w:tr>
          </w:tbl>
          <w:p w14:paraId="2288BE29">
            <w:pPr>
              <w:spacing w:line="360" w:lineRule="exact"/>
              <w:rPr>
                <w:rFonts w:hint="eastAsia" w:ascii="宋体" w:hAnsi="宋体"/>
                <w:color w:val="auto"/>
                <w:highlight w:val="none"/>
              </w:rPr>
            </w:pPr>
            <w:bookmarkStart w:id="163" w:name="_GoBack"/>
            <w:r>
              <w:rPr>
                <w:rFonts w:hint="eastAsia" w:ascii="宋体" w:hAnsi="宋体"/>
                <w:color w:val="auto"/>
                <w:highlight w:val="none"/>
              </w:rPr>
              <w:t>注：采购代理服务收费按差额定率累进法计算。</w:t>
            </w:r>
          </w:p>
          <w:bookmarkEnd w:id="163"/>
          <w:p w14:paraId="22F819A5">
            <w:pPr>
              <w:pStyle w:val="25"/>
              <w:snapToGrid w:val="0"/>
              <w:spacing w:line="340" w:lineRule="exact"/>
              <w:rPr>
                <w:rFonts w:hAnsi="宋体" w:cs="宋体"/>
                <w:color w:val="auto"/>
                <w:sz w:val="21"/>
                <w:highlight w:val="none"/>
                <w:u w:val="single"/>
              </w:rPr>
            </w:pPr>
            <w:r>
              <w:rPr>
                <w:rFonts w:hint="eastAsia" w:hAnsi="宋体" w:cs="宋体"/>
                <w:color w:val="auto"/>
                <w:sz w:val="21"/>
                <w:highlight w:val="none"/>
              </w:rPr>
              <w:t>□</w:t>
            </w:r>
            <w:r>
              <w:rPr>
                <w:rFonts w:hint="eastAsia" w:hAnsi="宋体" w:cs="宋体"/>
                <w:color w:val="auto"/>
                <w:highlight w:val="none"/>
              </w:rPr>
              <w:t>固定收费：</w:t>
            </w:r>
            <w:r>
              <w:rPr>
                <w:rFonts w:hint="eastAsia" w:hAnsi="宋体" w:cs="宋体"/>
                <w:color w:val="auto"/>
                <w:sz w:val="21"/>
                <w:highlight w:val="none"/>
              </w:rPr>
              <w:t>固定采购代理收费</w:t>
            </w:r>
            <w:r>
              <w:rPr>
                <w:rFonts w:hint="eastAsia" w:hAnsi="宋体" w:cs="宋体"/>
                <w:color w:val="auto"/>
                <w:sz w:val="21"/>
                <w:highlight w:val="none"/>
                <w:u w:val="single"/>
              </w:rPr>
              <w:t xml:space="preserve">  \   元。</w:t>
            </w:r>
          </w:p>
          <w:p w14:paraId="7AF61CB0">
            <w:pPr>
              <w:pStyle w:val="25"/>
              <w:adjustRightInd w:val="0"/>
              <w:spacing w:line="400" w:lineRule="exact"/>
              <w:rPr>
                <w:rFonts w:hAnsi="宋体" w:cs="宋体"/>
                <w:color w:val="auto"/>
                <w:sz w:val="21"/>
                <w:highlight w:val="none"/>
              </w:rPr>
            </w:pPr>
            <w:r>
              <w:rPr>
                <w:rFonts w:hint="eastAsia" w:hAnsi="宋体" w:cs="宋体"/>
                <w:color w:val="auto"/>
                <w:sz w:val="21"/>
                <w:highlight w:val="none"/>
              </w:rPr>
              <w:t>3.开户名称：云之龙咨询集团有限公司桂林分公司</w:t>
            </w:r>
          </w:p>
          <w:p w14:paraId="739C8E7E">
            <w:pPr>
              <w:pStyle w:val="25"/>
              <w:adjustRightInd w:val="0"/>
              <w:spacing w:line="400" w:lineRule="exact"/>
              <w:rPr>
                <w:rFonts w:hAnsi="宋体" w:cs="宋体"/>
                <w:color w:val="auto"/>
                <w:sz w:val="21"/>
                <w:highlight w:val="none"/>
              </w:rPr>
            </w:pPr>
            <w:r>
              <w:rPr>
                <w:rFonts w:hint="eastAsia" w:hAnsi="宋体" w:cs="宋体"/>
                <w:color w:val="auto"/>
                <w:sz w:val="21"/>
                <w:highlight w:val="none"/>
              </w:rPr>
              <w:t>银行账号：8113001014300158041</w:t>
            </w:r>
          </w:p>
          <w:p w14:paraId="564C6BA6">
            <w:pPr>
              <w:pStyle w:val="25"/>
              <w:adjustRightInd w:val="0"/>
              <w:spacing w:line="400" w:lineRule="exact"/>
              <w:rPr>
                <w:rFonts w:hAnsi="宋体" w:cs="宋体"/>
                <w:color w:val="auto"/>
                <w:sz w:val="21"/>
                <w:highlight w:val="none"/>
              </w:rPr>
            </w:pPr>
            <w:r>
              <w:rPr>
                <w:rFonts w:hint="eastAsia" w:hAnsi="宋体" w:cs="宋体"/>
                <w:color w:val="auto"/>
                <w:sz w:val="21"/>
                <w:highlight w:val="none"/>
              </w:rPr>
              <w:t>开户银行：中信银行股份有限公司南宁东葛支行</w:t>
            </w:r>
          </w:p>
        </w:tc>
      </w:tr>
      <w:tr w14:paraId="5C59C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7C09FBC">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40.1</w:t>
            </w:r>
          </w:p>
        </w:tc>
        <w:tc>
          <w:tcPr>
            <w:tcW w:w="8670" w:type="dxa"/>
            <w:tcBorders>
              <w:top w:val="single" w:color="auto" w:sz="4" w:space="0"/>
              <w:left w:val="single" w:color="auto" w:sz="4" w:space="0"/>
              <w:bottom w:val="single" w:color="auto" w:sz="4" w:space="0"/>
              <w:right w:val="single" w:color="auto" w:sz="4" w:space="0"/>
            </w:tcBorders>
            <w:vAlign w:val="center"/>
          </w:tcPr>
          <w:p w14:paraId="0B776B49">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5AE16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B35F782">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40.2</w:t>
            </w:r>
          </w:p>
        </w:tc>
        <w:tc>
          <w:tcPr>
            <w:tcW w:w="8670" w:type="dxa"/>
            <w:tcBorders>
              <w:top w:val="single" w:color="auto" w:sz="4" w:space="0"/>
              <w:left w:val="single" w:color="auto" w:sz="4" w:space="0"/>
              <w:bottom w:val="single" w:color="auto" w:sz="4" w:space="0"/>
              <w:right w:val="single" w:color="auto" w:sz="4" w:space="0"/>
            </w:tcBorders>
            <w:vAlign w:val="center"/>
          </w:tcPr>
          <w:p w14:paraId="75A7E036">
            <w:pPr>
              <w:pStyle w:val="25"/>
              <w:numPr>
                <w:ilvl w:val="0"/>
                <w:numId w:val="3"/>
              </w:numPr>
              <w:adjustRightInd w:val="0"/>
              <w:spacing w:line="360" w:lineRule="exact"/>
              <w:rPr>
                <w:rFonts w:hAnsi="宋体" w:cs="宋体"/>
                <w:color w:val="auto"/>
                <w:sz w:val="21"/>
                <w:highlight w:val="none"/>
              </w:rPr>
            </w:pPr>
            <w:r>
              <w:rPr>
                <w:rFonts w:hint="eastAsia" w:hAnsi="宋体" w:cs="宋体"/>
                <w:color w:val="auto"/>
                <w:sz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CE9F7BC">
            <w:pPr>
              <w:pStyle w:val="25"/>
              <w:adjustRightInd w:val="0"/>
              <w:spacing w:line="360" w:lineRule="exact"/>
              <w:rPr>
                <w:rFonts w:hAnsi="宋体" w:cs="宋体"/>
                <w:color w:val="auto"/>
                <w:sz w:val="21"/>
                <w:highlight w:val="none"/>
              </w:rPr>
            </w:pPr>
            <w:r>
              <w:rPr>
                <w:rFonts w:hint="eastAsia" w:hAnsi="宋体" w:cs="宋体"/>
                <w:color w:val="auto"/>
                <w:sz w:val="21"/>
                <w:highlight w:val="none"/>
              </w:rPr>
              <w:t>2.本招标文件所称的“电子签章”、“电子签名”，是指经</w:t>
            </w:r>
            <w:r>
              <w:rPr>
                <w:rFonts w:hint="eastAsia" w:hAnsi="宋体" w:cs="宋体"/>
                <w:color w:val="auto"/>
                <w:highlight w:val="none"/>
              </w:rPr>
              <w:t>“广西政府采购云平台”</w:t>
            </w:r>
            <w:r>
              <w:rPr>
                <w:rFonts w:hint="eastAsia" w:hAnsi="宋体" w:cs="宋体"/>
                <w:color w:val="auto"/>
                <w:sz w:val="21"/>
                <w:highlight w:val="none"/>
              </w:rPr>
              <w:t>认可的CA认证的电子签名数据为表现形式的印章，可用于签署电子投标文件，电子印章与实物印章具有同等法律效力，不因其采用电子化表现形式而否定其法律效力。</w:t>
            </w:r>
          </w:p>
          <w:p w14:paraId="2EB932CA">
            <w:pPr>
              <w:pStyle w:val="25"/>
              <w:adjustRightInd w:val="0"/>
              <w:spacing w:line="360" w:lineRule="exact"/>
              <w:rPr>
                <w:rFonts w:hAnsi="宋体" w:cs="宋体"/>
                <w:color w:val="auto"/>
                <w:sz w:val="21"/>
                <w:highlight w:val="none"/>
              </w:rPr>
            </w:pPr>
            <w:r>
              <w:rPr>
                <w:rFonts w:hint="eastAsia" w:hAnsi="宋体" w:cs="宋体"/>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E67B87F">
            <w:pPr>
              <w:pStyle w:val="25"/>
              <w:adjustRightInd w:val="0"/>
              <w:spacing w:line="360" w:lineRule="exact"/>
              <w:rPr>
                <w:rFonts w:hAnsi="宋体" w:cs="宋体"/>
                <w:color w:val="auto"/>
                <w:sz w:val="21"/>
                <w:highlight w:val="none"/>
              </w:rPr>
            </w:pPr>
            <w:r>
              <w:rPr>
                <w:rFonts w:hint="eastAsia" w:hAnsi="宋体" w:cs="宋体"/>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3CC96814">
            <w:pPr>
              <w:pStyle w:val="25"/>
              <w:adjustRightInd w:val="0"/>
              <w:spacing w:line="360" w:lineRule="exact"/>
              <w:rPr>
                <w:rFonts w:hAnsi="宋体" w:cs="宋体"/>
                <w:color w:val="auto"/>
                <w:sz w:val="21"/>
                <w:highlight w:val="none"/>
              </w:rPr>
            </w:pPr>
            <w:r>
              <w:rPr>
                <w:rFonts w:hint="eastAsia" w:hAnsi="宋体" w:cs="宋体"/>
                <w:color w:val="auto"/>
                <w:sz w:val="21"/>
                <w:highlight w:val="none"/>
              </w:rPr>
              <w:t>5.本招标文件所称的“以上”“以下”“以内”“届满”，包括本数；所称的“不满”“超过”“以外”，不包括本数。</w:t>
            </w:r>
          </w:p>
          <w:p w14:paraId="7BAB909C">
            <w:pPr>
              <w:pStyle w:val="25"/>
              <w:adjustRightInd w:val="0"/>
              <w:spacing w:line="360" w:lineRule="exact"/>
              <w:rPr>
                <w:rFonts w:hAnsi="宋体" w:cs="宋体"/>
                <w:color w:val="auto"/>
                <w:sz w:val="21"/>
                <w:highlight w:val="none"/>
              </w:rPr>
            </w:pPr>
            <w:r>
              <w:rPr>
                <w:rFonts w:hint="eastAsia" w:hAnsi="宋体" w:cs="宋体"/>
                <w:color w:val="auto"/>
                <w:sz w:val="21"/>
                <w:highlight w:val="none"/>
              </w:rPr>
              <w:t>6.如本项目未划分分标的，招标文件中的“分标”是指本项目。</w:t>
            </w:r>
          </w:p>
        </w:tc>
      </w:tr>
    </w:tbl>
    <w:p w14:paraId="3930AACF">
      <w:pPr>
        <w:pStyle w:val="6"/>
        <w:keepNext w:val="0"/>
        <w:keepLines w:val="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投标人须知正文</w:t>
      </w:r>
    </w:p>
    <w:p w14:paraId="3228F766">
      <w:pPr>
        <w:pStyle w:val="6"/>
        <w:keepNext w:val="0"/>
        <w:keepLines w:val="0"/>
        <w:jc w:val="center"/>
        <w:rPr>
          <w:rFonts w:ascii="宋体" w:hAnsi="宋体" w:cs="宋体"/>
          <w:color w:val="auto"/>
          <w:highlight w:val="none"/>
        </w:rPr>
      </w:pPr>
      <w:r>
        <w:rPr>
          <w:rFonts w:hint="eastAsia" w:ascii="宋体" w:hAnsi="宋体" w:cs="宋体"/>
          <w:color w:val="auto"/>
          <w:highlight w:val="none"/>
        </w:rPr>
        <w:t>一、总则</w:t>
      </w:r>
    </w:p>
    <w:p w14:paraId="43DC727F">
      <w:pPr>
        <w:pStyle w:val="7"/>
        <w:keepNext w:val="0"/>
        <w:keepLines w:val="0"/>
        <w:spacing w:before="0" w:after="0" w:line="360" w:lineRule="auto"/>
        <w:ind w:left="420" w:leftChars="200"/>
        <w:rPr>
          <w:rFonts w:ascii="宋体" w:hAnsi="宋体" w:cs="宋体"/>
          <w:color w:val="auto"/>
          <w:sz w:val="24"/>
          <w:highlight w:val="none"/>
        </w:rPr>
      </w:pPr>
      <w:bookmarkStart w:id="76" w:name="_Toc254970527"/>
      <w:bookmarkStart w:id="77" w:name="_Toc254970668"/>
      <w:r>
        <w:rPr>
          <w:rFonts w:hint="eastAsia" w:ascii="宋体" w:hAnsi="宋体" w:cs="宋体"/>
          <w:color w:val="auto"/>
          <w:sz w:val="24"/>
          <w:highlight w:val="none"/>
        </w:rPr>
        <w:t>1.适用范围</w:t>
      </w:r>
      <w:bookmarkEnd w:id="76"/>
      <w:bookmarkEnd w:id="77"/>
    </w:p>
    <w:p w14:paraId="69E49E8B">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600109F">
      <w:pPr>
        <w:snapToGrid w:val="0"/>
        <w:spacing w:line="440" w:lineRule="exact"/>
        <w:ind w:firstLine="420" w:firstLineChars="200"/>
        <w:jc w:val="left"/>
        <w:rPr>
          <w:rFonts w:ascii="宋体" w:hAnsi="宋体" w:cs="宋体"/>
          <w:color w:val="auto"/>
          <w:spacing w:val="-6"/>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28BB44D0">
      <w:pPr>
        <w:pStyle w:val="7"/>
        <w:keepNext w:val="0"/>
        <w:keepLines w:val="0"/>
        <w:spacing w:before="0" w:after="0" w:line="440" w:lineRule="exact"/>
        <w:ind w:left="420" w:leftChars="200"/>
        <w:rPr>
          <w:rFonts w:ascii="宋体" w:hAnsi="宋体" w:cs="宋体"/>
          <w:color w:val="auto"/>
          <w:sz w:val="24"/>
          <w:highlight w:val="none"/>
        </w:rPr>
      </w:pPr>
      <w:bookmarkStart w:id="78" w:name="_Toc254970669"/>
      <w:bookmarkStart w:id="79" w:name="_Toc254970528"/>
      <w:r>
        <w:rPr>
          <w:rFonts w:hint="eastAsia" w:ascii="宋体" w:hAnsi="宋体" w:cs="宋体"/>
          <w:color w:val="auto"/>
          <w:sz w:val="24"/>
          <w:highlight w:val="none"/>
        </w:rPr>
        <w:t>2.定义</w:t>
      </w:r>
      <w:bookmarkEnd w:id="78"/>
      <w:bookmarkEnd w:id="79"/>
    </w:p>
    <w:p w14:paraId="055C6867">
      <w:pPr>
        <w:pStyle w:val="7"/>
        <w:keepNext w:val="0"/>
        <w:keepLines w:val="0"/>
        <w:spacing w:before="0" w:after="0" w:line="4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0887D957">
      <w:pPr>
        <w:pStyle w:val="7"/>
        <w:keepNext w:val="0"/>
        <w:keepLines w:val="0"/>
        <w:spacing w:before="0" w:after="0" w:line="4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14:paraId="3C565F98">
      <w:pPr>
        <w:pStyle w:val="7"/>
        <w:keepNext w:val="0"/>
        <w:keepLines w:val="0"/>
        <w:spacing w:before="0" w:after="0" w:line="4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2.3“供应商”是指向采购人提供货物、工程或者服务的法人、其他组织或者自然人。</w:t>
      </w:r>
    </w:p>
    <w:p w14:paraId="2EE0770C">
      <w:pPr>
        <w:pStyle w:val="8"/>
        <w:spacing w:line="440" w:lineRule="exact"/>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2.4“投标人”是指响应招标、参加投标竞争的法人、其他组织或者自然人。</w:t>
      </w:r>
    </w:p>
    <w:p w14:paraId="7898EC52">
      <w:pPr>
        <w:pStyle w:val="7"/>
        <w:keepNext w:val="0"/>
        <w:keepLines w:val="0"/>
        <w:spacing w:before="0" w:after="0" w:line="44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2.5“货物”是指各种形态和种类的物品，包括原材料、燃料、设备、产品等。</w:t>
      </w:r>
    </w:p>
    <w:p w14:paraId="34DA6C9A">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2.6“售后服务” 是指商品出售以后所提供的各种服务，包含但不限于投标人须承担的备品备件、包装、运输、装卸、保险、货到就位以及安装、调试、培训、质保以及其他各种服务。</w:t>
      </w:r>
    </w:p>
    <w:p w14:paraId="347DAE5B">
      <w:pPr>
        <w:pStyle w:val="7"/>
        <w:keepNext w:val="0"/>
        <w:keepLines w:val="0"/>
        <w:spacing w:before="0" w:after="0"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3FBDA32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2.8“实质性要求”是指招标文件中已经指明不满足则投标无效的条款，或者不能负偏离的条款，或者采购需求中带“▲”的条款。投标人不满足实质性要求的，</w:t>
      </w:r>
      <w:r>
        <w:rPr>
          <w:rFonts w:hint="eastAsia" w:ascii="宋体" w:hAnsi="宋体" w:cs="宋体"/>
          <w:b/>
          <w:bCs/>
          <w:color w:val="auto"/>
          <w:szCs w:val="21"/>
          <w:highlight w:val="none"/>
        </w:rPr>
        <w:t>按投标无效处理。</w:t>
      </w:r>
      <w:r>
        <w:rPr>
          <w:rFonts w:hint="eastAsia" w:ascii="宋体" w:hAnsi="宋体" w:cs="宋体"/>
          <w:color w:val="auto"/>
          <w:szCs w:val="21"/>
          <w:highlight w:val="none"/>
        </w:rPr>
        <w:t xml:space="preserve"> “采购需求”的“技术要求”中未标注“▲”号项的技术参数负偏离≥3项时，</w:t>
      </w:r>
      <w:r>
        <w:rPr>
          <w:rFonts w:hint="eastAsia" w:ascii="宋体" w:hAnsi="宋体" w:cs="宋体"/>
          <w:b/>
          <w:bCs/>
          <w:color w:val="auto"/>
          <w:szCs w:val="21"/>
          <w:highlight w:val="none"/>
        </w:rPr>
        <w:t>按投标无效处理。</w:t>
      </w:r>
    </w:p>
    <w:p w14:paraId="65956979">
      <w:pPr>
        <w:pStyle w:val="7"/>
        <w:keepNext w:val="0"/>
        <w:keepLines w:val="0"/>
        <w:spacing w:before="0" w:after="0"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2.9 “正偏离”是指投标文件对招标文件“采购需求”中有关条款作出的响应优于该条款基本要求的情形，包括：①当某技术指标要求为≥或≤某指标时，则该指标为基本要求，投标响应值＞或＜该基本要求的，为正偏离；②除上述第①种情形外，经评委独立评审后认定该技术指标优于招标文件基本要求的其它情形。</w:t>
      </w:r>
    </w:p>
    <w:p w14:paraId="0FBC867A">
      <w:pPr>
        <w:pStyle w:val="7"/>
        <w:keepNext w:val="0"/>
        <w:keepLines w:val="0"/>
        <w:spacing w:before="0" w:after="0"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2.10“负偏离”，是指投标文件对招标文件“采购需求”中有关条款作出的响应不满足条款要求，导致采购人要求不能得到满足的情形。</w:t>
      </w:r>
    </w:p>
    <w:p w14:paraId="661135F3">
      <w:pPr>
        <w:pStyle w:val="7"/>
        <w:keepNext w:val="0"/>
        <w:keepLines w:val="0"/>
        <w:spacing w:before="0" w:after="0"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2.11“允许负偏离的条款”是指采购需求中的不属于“实质性要求”的条款。</w:t>
      </w:r>
      <w:bookmarkStart w:id="80" w:name="_Toc254970529"/>
      <w:bookmarkStart w:id="81" w:name="_Toc254970670"/>
    </w:p>
    <w:p w14:paraId="6888D388">
      <w:pPr>
        <w:pStyle w:val="7"/>
        <w:keepNext w:val="0"/>
        <w:keepLines w:val="0"/>
        <w:spacing w:before="0" w:after="0" w:line="440" w:lineRule="exact"/>
        <w:rPr>
          <w:rFonts w:ascii="宋体" w:hAnsi="宋体" w:cs="宋体"/>
          <w:color w:val="auto"/>
          <w:szCs w:val="21"/>
          <w:highlight w:val="none"/>
        </w:rPr>
      </w:pPr>
      <w:r>
        <w:rPr>
          <w:rFonts w:hint="eastAsia" w:ascii="宋体" w:hAnsi="宋体" w:cs="宋体"/>
          <w:b w:val="0"/>
          <w:color w:val="auto"/>
          <w:sz w:val="21"/>
          <w:szCs w:val="21"/>
          <w:highlight w:val="none"/>
        </w:rPr>
        <w:t xml:space="preserve">  2.12本项目实行全流程电子化采购，投标人通过“广西政府采购云平台”参与电子投标。“投标文件”是指投标人按本招标文件规定提交的电子投标文件。</w:t>
      </w:r>
    </w:p>
    <w:p w14:paraId="024722A8">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bookmarkEnd w:id="80"/>
      <w:bookmarkEnd w:id="81"/>
      <w:r>
        <w:rPr>
          <w:rFonts w:hint="eastAsia" w:ascii="宋体" w:hAnsi="宋体" w:cs="宋体"/>
          <w:color w:val="auto"/>
          <w:sz w:val="24"/>
          <w:highlight w:val="none"/>
        </w:rPr>
        <w:t>投标人的资格要求</w:t>
      </w:r>
    </w:p>
    <w:p w14:paraId="34A9BC1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180EEDD9">
      <w:pPr>
        <w:pStyle w:val="7"/>
        <w:keepNext w:val="0"/>
        <w:keepLines w:val="0"/>
        <w:spacing w:before="0" w:after="0" w:line="360" w:lineRule="auto"/>
        <w:ind w:left="420" w:leftChars="200"/>
        <w:rPr>
          <w:rFonts w:ascii="宋体" w:hAnsi="宋体" w:cs="宋体"/>
          <w:color w:val="auto"/>
          <w:sz w:val="24"/>
          <w:highlight w:val="none"/>
        </w:rPr>
      </w:pPr>
      <w:bookmarkStart w:id="82" w:name="_Toc254970530"/>
      <w:bookmarkStart w:id="83" w:name="_Toc254970671"/>
      <w:r>
        <w:rPr>
          <w:rFonts w:hint="eastAsia" w:ascii="宋体" w:hAnsi="宋体" w:cs="宋体"/>
          <w:color w:val="auto"/>
          <w:sz w:val="24"/>
          <w:highlight w:val="none"/>
        </w:rPr>
        <w:t>4.投标委托</w:t>
      </w:r>
      <w:bookmarkEnd w:id="82"/>
      <w:bookmarkEnd w:id="83"/>
    </w:p>
    <w:p w14:paraId="31086EA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投标人代表参加投标活动过程中必须携带个人有效身份证件。如投标人代表不是法定代表人，须持有授权委托书（按第六章要求格式填写）。</w:t>
      </w:r>
    </w:p>
    <w:p w14:paraId="699F3205">
      <w:pPr>
        <w:pStyle w:val="7"/>
        <w:keepNext w:val="0"/>
        <w:keepLines w:val="0"/>
        <w:spacing w:before="0" w:after="0" w:line="360" w:lineRule="auto"/>
        <w:ind w:left="420" w:leftChars="200"/>
        <w:rPr>
          <w:rFonts w:ascii="宋体" w:hAnsi="宋体" w:cs="宋体"/>
          <w:color w:val="auto"/>
          <w:sz w:val="24"/>
          <w:highlight w:val="none"/>
        </w:rPr>
      </w:pPr>
      <w:bookmarkStart w:id="84" w:name="_5.投标费用"/>
      <w:bookmarkEnd w:id="84"/>
      <w:bookmarkStart w:id="85" w:name="_Toc254970672"/>
      <w:bookmarkStart w:id="86" w:name="_Toc254970531"/>
      <w:r>
        <w:rPr>
          <w:rFonts w:hint="eastAsia" w:ascii="宋体" w:hAnsi="宋体" w:cs="宋体"/>
          <w:color w:val="auto"/>
          <w:sz w:val="24"/>
          <w:highlight w:val="none"/>
        </w:rPr>
        <w:t>5.投标费用</w:t>
      </w:r>
      <w:bookmarkEnd w:id="85"/>
      <w:bookmarkEnd w:id="86"/>
    </w:p>
    <w:p w14:paraId="54C1CA2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25A587C4">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6.联合体投标</w:t>
      </w:r>
    </w:p>
    <w:p w14:paraId="23D93CF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436B505E">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4AA06C7C">
      <w:pPr>
        <w:pStyle w:val="7"/>
        <w:keepNext w:val="0"/>
        <w:keepLines w:val="0"/>
        <w:spacing w:before="0" w:after="0" w:line="360" w:lineRule="auto"/>
        <w:ind w:firstLine="424" w:firstLineChars="202"/>
        <w:rPr>
          <w:rFonts w:ascii="宋体" w:hAnsi="宋体" w:cs="宋体"/>
          <w:color w:val="auto"/>
          <w:sz w:val="24"/>
          <w:highlight w:val="none"/>
        </w:rPr>
      </w:pPr>
      <w:r>
        <w:rPr>
          <w:rFonts w:hint="eastAsia" w:ascii="宋体" w:hAnsi="宋体" w:cs="宋体"/>
          <w:b w:val="0"/>
          <w:bCs/>
          <w:color w:val="auto"/>
          <w:sz w:val="21"/>
          <w:szCs w:val="21"/>
          <w:highlight w:val="none"/>
        </w:rPr>
        <w:t>6.3</w:t>
      </w:r>
      <w:bookmarkStart w:id="87" w:name="_Hlk65857072"/>
      <w:r>
        <w:rPr>
          <w:rFonts w:hint="eastAsia" w:ascii="宋体" w:hAnsi="宋体" w:cs="宋体"/>
          <w:b w:val="0"/>
          <w:bCs/>
          <w:color w:val="auto"/>
          <w:sz w:val="21"/>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7"/>
    </w:p>
    <w:p w14:paraId="300F5108">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07C85CA3">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14:paraId="1DB3C23B">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01016403">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49CC274">
      <w:pPr>
        <w:pStyle w:val="7"/>
        <w:keepNext w:val="0"/>
        <w:keepLines w:val="0"/>
        <w:spacing w:before="0" w:after="0" w:line="360" w:lineRule="auto"/>
        <w:ind w:left="420" w:leftChars="200"/>
        <w:rPr>
          <w:rFonts w:ascii="宋体" w:hAnsi="宋体" w:cs="宋体"/>
          <w:color w:val="auto"/>
          <w:sz w:val="24"/>
          <w:highlight w:val="none"/>
        </w:rPr>
      </w:pPr>
      <w:bookmarkStart w:id="88" w:name="_Toc254970673"/>
      <w:bookmarkStart w:id="89" w:name="_Toc254970532"/>
      <w:r>
        <w:rPr>
          <w:rFonts w:hint="eastAsia" w:ascii="宋体" w:hAnsi="宋体" w:cs="宋体"/>
          <w:color w:val="auto"/>
          <w:sz w:val="24"/>
          <w:highlight w:val="none"/>
        </w:rPr>
        <w:t>8.特别说明</w:t>
      </w:r>
      <w:bookmarkEnd w:id="88"/>
      <w:bookmarkEnd w:id="89"/>
    </w:p>
    <w:p w14:paraId="5B075AB3">
      <w:pPr>
        <w:pStyle w:val="7"/>
        <w:keepNext w:val="0"/>
        <w:keepLines w:val="0"/>
        <w:spacing w:before="0" w:after="0" w:line="360" w:lineRule="auto"/>
        <w:ind w:firstLine="420" w:firstLineChars="200"/>
        <w:rPr>
          <w:rFonts w:ascii="宋体" w:hAnsi="宋体" w:cs="宋体"/>
          <w:b w:val="0"/>
          <w:color w:val="auto"/>
          <w:sz w:val="21"/>
          <w:szCs w:val="21"/>
          <w:highlight w:val="none"/>
        </w:rPr>
      </w:pPr>
      <w:bookmarkStart w:id="90" w:name="_8.1提供相同品牌产品且通过资格审查、符合性审查的不同投标人参加同一合"/>
      <w:bookmarkEnd w:id="90"/>
      <w:r>
        <w:rPr>
          <w:rFonts w:hint="eastAsia" w:ascii="宋体" w:hAnsi="宋体" w:cs="宋体"/>
          <w:b w:val="0"/>
          <w:color w:val="auto"/>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s="宋体"/>
          <w:color w:val="auto"/>
          <w:sz w:val="22"/>
          <w:szCs w:val="22"/>
          <w:highlight w:val="none"/>
        </w:rPr>
        <w:t>其他投标无效。</w:t>
      </w:r>
    </w:p>
    <w:p w14:paraId="2DDB4E43">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42B1BCDF">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非单一产品采购项目，多家投标人提供的核心产品品牌相同的，</w:t>
      </w:r>
      <w:r>
        <w:rPr>
          <w:rFonts w:hint="eastAsia" w:hAnsi="宋体" w:cs="宋体"/>
          <w:color w:val="auto"/>
          <w:sz w:val="22"/>
          <w:szCs w:val="22"/>
          <w:highlight w:val="none"/>
        </w:rPr>
        <w:t>按前两款规定处理</w:t>
      </w:r>
      <w:r>
        <w:rPr>
          <w:rFonts w:hint="eastAsia" w:hAnsi="宋体" w:cs="宋体"/>
          <w:color w:val="auto"/>
          <w:kern w:val="2"/>
          <w:sz w:val="21"/>
          <w:highlight w:val="none"/>
        </w:rPr>
        <w:t>。</w:t>
      </w:r>
    </w:p>
    <w:p w14:paraId="680CC78F">
      <w:pPr>
        <w:pStyle w:val="7"/>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281FB6A6">
      <w:pPr>
        <w:pStyle w:val="7"/>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1C805A1D">
      <w:pPr>
        <w:pStyle w:val="7"/>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4A0A57D2">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9.回避与串通投标</w:t>
      </w:r>
    </w:p>
    <w:p w14:paraId="0C494D3F">
      <w:pPr>
        <w:pStyle w:val="7"/>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9.1在政府采购活动中，采购人员及相关人员与供应商有下列利害关系之一的，应当回避：</w:t>
      </w:r>
    </w:p>
    <w:p w14:paraId="02EBDA4F">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（1）参加采购活动前3年内与供应商存在劳动关系；</w:t>
      </w:r>
    </w:p>
    <w:p w14:paraId="6A4B43F8">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（2）参加采购活动前3年内担任供应商的董事、监事；</w:t>
      </w:r>
    </w:p>
    <w:p w14:paraId="100E5414">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（3）参加采购活动前3年内是供应商的控股股东或者实际控制人；</w:t>
      </w:r>
    </w:p>
    <w:p w14:paraId="5FE794D9">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（4）与供应商的法定代表人或者负责人有夫妻、直系血亲、三代以内旁系血亲或者近姻亲关系；</w:t>
      </w:r>
    </w:p>
    <w:p w14:paraId="0F18032B">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（5）与供应商有其他可能影响政府采购活动公平、公正进行的关系。</w:t>
      </w:r>
    </w:p>
    <w:p w14:paraId="1675D092">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EB5BDD">
      <w:pPr>
        <w:pStyle w:val="7"/>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9.2有下列情形之一的视为投标人相互串通投标，投标文件将被视为无效：</w:t>
      </w:r>
    </w:p>
    <w:p w14:paraId="38719BAA">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 xml:space="preserve">（1）不同投标人的投标文件由同一单位或者个人编制； </w:t>
      </w:r>
    </w:p>
    <w:p w14:paraId="2EA44691">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（2）不同投标人委托同一单位或者个人办理投标事宜；</w:t>
      </w:r>
    </w:p>
    <w:p w14:paraId="15945FCE">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（3）不同的投标人的投标文件载明的项目管理员为同一个人；</w:t>
      </w:r>
    </w:p>
    <w:p w14:paraId="4D86740C">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（4）不同投标人的投标文件异常一致或者投标报价呈规律性差异；</w:t>
      </w:r>
    </w:p>
    <w:p w14:paraId="08C3B463">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（5）不同投标人的投标文件相互混装；</w:t>
      </w:r>
    </w:p>
    <w:p w14:paraId="2FD689D0">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（6）不同投标人的投标保证金从同一单位或者个人账户转出。</w:t>
      </w:r>
    </w:p>
    <w:p w14:paraId="49FFF259">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9.3供应商有下列情形之一的，属于恶意串通行为，将报同级监督管理部门：</w:t>
      </w:r>
    </w:p>
    <w:p w14:paraId="01A5ED5F">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（1）供应商直接或者间接从采购人或者采购代理机构处获得其他供应商的相关信息并修改其投标文件或者响应文件；</w:t>
      </w:r>
    </w:p>
    <w:p w14:paraId="3239C75C">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（2）供应商按照采购人或者采购代理机构的授意撤换、修改投标文件或者响应文件；</w:t>
      </w:r>
    </w:p>
    <w:p w14:paraId="1D01E9CD">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（3）供应商之间协商报价、技术方案等投标文件或者响应文件的实质性内容；</w:t>
      </w:r>
    </w:p>
    <w:p w14:paraId="1CC22101">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（4）属于同一集团、协会、商会等组织成员的供应商按照该组织要求协同参加政府采购活动；</w:t>
      </w:r>
    </w:p>
    <w:p w14:paraId="30DF453C">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1CEA7E38">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（6）供应商之间商定部分供应商放弃参加政府采购活动或者放弃中标；</w:t>
      </w:r>
    </w:p>
    <w:p w14:paraId="28D00F2E">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（7）供应商与采购人或者采购代理机构之间、供应商相互之间，为谋求特定供应商中标或者排斥其他供应商的其他串通行为。</w:t>
      </w:r>
    </w:p>
    <w:p w14:paraId="36D811C4">
      <w:pPr>
        <w:pStyle w:val="25"/>
        <w:snapToGrid w:val="0"/>
        <w:spacing w:line="360" w:lineRule="auto"/>
        <w:ind w:left="2" w:leftChars="1" w:firstLine="422" w:firstLineChars="200"/>
        <w:rPr>
          <w:rFonts w:hAnsi="宋体" w:cs="宋体"/>
          <w:b/>
          <w:color w:val="auto"/>
          <w:kern w:val="2"/>
          <w:sz w:val="21"/>
          <w:highlight w:val="none"/>
        </w:rPr>
      </w:pPr>
    </w:p>
    <w:p w14:paraId="72C1988E">
      <w:pPr>
        <w:pStyle w:val="6"/>
        <w:keepNext w:val="0"/>
        <w:keepLines w:val="0"/>
        <w:jc w:val="center"/>
        <w:rPr>
          <w:rFonts w:ascii="宋体" w:hAnsi="宋体" w:cs="宋体"/>
          <w:color w:val="auto"/>
          <w:highlight w:val="none"/>
        </w:rPr>
      </w:pPr>
      <w:bookmarkStart w:id="91" w:name="_Toc254970534"/>
      <w:bookmarkStart w:id="92" w:name="_Toc254970675"/>
      <w:r>
        <w:rPr>
          <w:rFonts w:hint="eastAsia" w:ascii="宋体" w:hAnsi="宋体" w:cs="宋体"/>
          <w:color w:val="auto"/>
          <w:highlight w:val="none"/>
        </w:rPr>
        <w:t>二、招标文件</w:t>
      </w:r>
      <w:bookmarkEnd w:id="91"/>
      <w:bookmarkEnd w:id="92"/>
    </w:p>
    <w:p w14:paraId="3A4B6E66">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10.招标文件的组成</w:t>
      </w:r>
    </w:p>
    <w:p w14:paraId="4EF8FDFD">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134A1504">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（2）采购需求； </w:t>
      </w:r>
    </w:p>
    <w:p w14:paraId="1C75D68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2A74CA87">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00C6105F">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14A9C10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74E90530">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711ED5CD">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CC077BA">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B7BBC89">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11.2</w:t>
      </w:r>
      <w:bookmarkStart w:id="93" w:name="_Hlk53134511"/>
      <w:r>
        <w:rPr>
          <w:rFonts w:hint="eastAsia" w:hAnsi="宋体" w:cs="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3"/>
    <w:p w14:paraId="29D744EF">
      <w:pPr>
        <w:pStyle w:val="6"/>
        <w:keepNext w:val="0"/>
        <w:keepLines w:val="0"/>
        <w:jc w:val="center"/>
        <w:rPr>
          <w:rFonts w:ascii="宋体" w:hAnsi="宋体" w:cs="宋体"/>
          <w:color w:val="auto"/>
          <w:highlight w:val="none"/>
        </w:rPr>
      </w:pPr>
      <w:bookmarkStart w:id="94" w:name="_Toc254970676"/>
      <w:bookmarkStart w:id="95" w:name="_Toc254970535"/>
      <w:r>
        <w:rPr>
          <w:rFonts w:hint="eastAsia" w:ascii="宋体" w:hAnsi="宋体" w:cs="宋体"/>
          <w:color w:val="auto"/>
          <w:highlight w:val="none"/>
        </w:rPr>
        <w:t>三、投标文件的编制</w:t>
      </w:r>
      <w:bookmarkEnd w:id="94"/>
      <w:bookmarkEnd w:id="95"/>
    </w:p>
    <w:p w14:paraId="519F6D24">
      <w:pPr>
        <w:pStyle w:val="7"/>
        <w:keepNext w:val="0"/>
        <w:keepLines w:val="0"/>
        <w:spacing w:before="0" w:after="0" w:line="360" w:lineRule="auto"/>
        <w:ind w:left="420" w:leftChars="200"/>
        <w:rPr>
          <w:rFonts w:ascii="宋体" w:hAnsi="宋体" w:cs="宋体"/>
          <w:color w:val="auto"/>
          <w:sz w:val="24"/>
          <w:highlight w:val="none"/>
        </w:rPr>
      </w:pPr>
      <w:bookmarkStart w:id="96" w:name="_Toc254970677"/>
      <w:bookmarkStart w:id="97" w:name="_Toc254970536"/>
      <w:r>
        <w:rPr>
          <w:rFonts w:hint="eastAsia" w:ascii="宋体" w:hAnsi="宋体" w:cs="宋体"/>
          <w:color w:val="auto"/>
          <w:sz w:val="24"/>
          <w:highlight w:val="none"/>
        </w:rPr>
        <w:t>12.投标文件的编制原则</w:t>
      </w:r>
    </w:p>
    <w:p w14:paraId="78CBBCE5">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11B7851E">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96"/>
      <w:bookmarkEnd w:id="97"/>
    </w:p>
    <w:p w14:paraId="49CF970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投标文件由报价文件、资格证明文件、商务文件、技术文件四部分组成。</w:t>
      </w:r>
    </w:p>
    <w:p w14:paraId="31A32143">
      <w:pPr>
        <w:pStyle w:val="7"/>
        <w:keepNext w:val="0"/>
        <w:keepLines w:val="0"/>
        <w:spacing w:before="0" w:after="0" w:line="360" w:lineRule="auto"/>
        <w:ind w:left="420" w:leftChars="200"/>
        <w:rPr>
          <w:rFonts w:ascii="宋体" w:hAnsi="宋体" w:cs="宋体"/>
          <w:b w:val="0"/>
          <w:color w:val="auto"/>
          <w:sz w:val="21"/>
          <w:szCs w:val="21"/>
          <w:highlight w:val="none"/>
        </w:rPr>
      </w:pPr>
      <w:bookmarkStart w:id="98" w:name="_13.1报价文件:_具体材料见“投标人须知前附表”。"/>
      <w:bookmarkEnd w:id="98"/>
      <w:r>
        <w:rPr>
          <w:rFonts w:hint="eastAsia" w:ascii="宋体" w:hAnsi="宋体" w:cs="宋体"/>
          <w:b w:val="0"/>
          <w:color w:val="auto"/>
          <w:sz w:val="21"/>
          <w:szCs w:val="21"/>
          <w:highlight w:val="none"/>
        </w:rPr>
        <w:t>（1）报价文件：具体材料见“投标人须知前附表”。</w:t>
      </w:r>
    </w:p>
    <w:p w14:paraId="3818B7A5">
      <w:pPr>
        <w:pStyle w:val="7"/>
        <w:keepNext w:val="0"/>
        <w:keepLines w:val="0"/>
        <w:spacing w:before="0" w:after="0" w:line="360" w:lineRule="auto"/>
        <w:ind w:left="420" w:leftChars="200"/>
        <w:rPr>
          <w:rFonts w:ascii="宋体" w:hAnsi="宋体" w:cs="宋体"/>
          <w:b w:val="0"/>
          <w:color w:val="auto"/>
          <w:sz w:val="21"/>
          <w:szCs w:val="21"/>
          <w:highlight w:val="none"/>
        </w:rPr>
      </w:pPr>
      <w:bookmarkStart w:id="99" w:name="_13.2资格证明文件：具体材料见“投标人须知前附表”。"/>
      <w:bookmarkEnd w:id="99"/>
      <w:r>
        <w:rPr>
          <w:rFonts w:hint="eastAsia" w:ascii="宋体" w:hAnsi="宋体" w:cs="宋体"/>
          <w:b w:val="0"/>
          <w:color w:val="auto"/>
          <w:sz w:val="21"/>
          <w:szCs w:val="21"/>
          <w:highlight w:val="none"/>
        </w:rPr>
        <w:t>（2）资格证明文件：具体材料见“投标人须知前附表”。</w:t>
      </w:r>
    </w:p>
    <w:p w14:paraId="00688610">
      <w:pPr>
        <w:pStyle w:val="7"/>
        <w:keepNext w:val="0"/>
        <w:keepLines w:val="0"/>
        <w:spacing w:before="0" w:after="0" w:line="360" w:lineRule="auto"/>
        <w:ind w:left="420" w:leftChars="200"/>
        <w:rPr>
          <w:rFonts w:ascii="宋体" w:hAnsi="宋体" w:cs="宋体"/>
          <w:b w:val="0"/>
          <w:color w:val="auto"/>
          <w:sz w:val="21"/>
          <w:szCs w:val="21"/>
          <w:highlight w:val="none"/>
        </w:rPr>
      </w:pPr>
      <w:bookmarkStart w:id="100" w:name="_13.3商务文件:_具体材料见“投标人须知前附表”。"/>
      <w:bookmarkEnd w:id="100"/>
      <w:r>
        <w:rPr>
          <w:rFonts w:hint="eastAsia" w:ascii="宋体" w:hAnsi="宋体" w:cs="宋体"/>
          <w:b w:val="0"/>
          <w:color w:val="auto"/>
          <w:sz w:val="21"/>
          <w:szCs w:val="21"/>
          <w:highlight w:val="none"/>
        </w:rPr>
        <w:t>（3）商务文件：具体材料见“投标人须知前附表”。</w:t>
      </w:r>
    </w:p>
    <w:p w14:paraId="68218874">
      <w:pPr>
        <w:pStyle w:val="7"/>
        <w:keepNext w:val="0"/>
        <w:keepLines w:val="0"/>
        <w:spacing w:before="0" w:after="0" w:line="360" w:lineRule="auto"/>
        <w:ind w:left="420" w:leftChars="200"/>
        <w:rPr>
          <w:rFonts w:ascii="宋体" w:hAnsi="宋体" w:cs="宋体"/>
          <w:b w:val="0"/>
          <w:color w:val="auto"/>
          <w:sz w:val="21"/>
          <w:szCs w:val="21"/>
          <w:highlight w:val="none"/>
        </w:rPr>
      </w:pPr>
      <w:bookmarkStart w:id="101" w:name="_13.4技术文件：具体材料见“投标人须知前附表”。"/>
      <w:bookmarkEnd w:id="101"/>
      <w:r>
        <w:rPr>
          <w:rFonts w:hint="eastAsia" w:ascii="宋体" w:hAnsi="宋体" w:cs="宋体"/>
          <w:b w:val="0"/>
          <w:color w:val="auto"/>
          <w:sz w:val="21"/>
          <w:szCs w:val="21"/>
          <w:highlight w:val="none"/>
        </w:rPr>
        <w:t>（4）技术文件：具体材料见“投标人须知前附表”。</w:t>
      </w:r>
    </w:p>
    <w:p w14:paraId="50885966">
      <w:pPr>
        <w:pStyle w:val="7"/>
        <w:keepNext w:val="0"/>
        <w:keepLines w:val="0"/>
        <w:spacing w:before="0" w:after="0" w:line="360" w:lineRule="auto"/>
        <w:ind w:left="420" w:leftChars="200"/>
        <w:rPr>
          <w:rFonts w:ascii="宋体" w:hAnsi="宋体" w:cs="宋体"/>
          <w:color w:val="auto"/>
          <w:sz w:val="24"/>
          <w:highlight w:val="none"/>
        </w:rPr>
      </w:pPr>
      <w:bookmarkStart w:id="102" w:name="_13.5投标文件电子版：具体材料见“投标人须知前附表”。"/>
      <w:bookmarkEnd w:id="102"/>
      <w:bookmarkStart w:id="103" w:name="_Toc254970678"/>
      <w:bookmarkStart w:id="104" w:name="_Toc254970537"/>
      <w:r>
        <w:rPr>
          <w:rFonts w:hint="eastAsia" w:ascii="宋体" w:hAnsi="宋体" w:cs="宋体"/>
          <w:color w:val="auto"/>
          <w:sz w:val="24"/>
          <w:highlight w:val="none"/>
        </w:rPr>
        <w:t>14.投标文件的语言及计量</w:t>
      </w:r>
      <w:bookmarkEnd w:id="103"/>
      <w:bookmarkEnd w:id="104"/>
    </w:p>
    <w:p w14:paraId="69B655DF">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39480918">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B93E948">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210409F5">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s="宋体"/>
          <w:color w:val="auto"/>
          <w:sz w:val="21"/>
          <w:szCs w:val="21"/>
          <w:highlight w:val="none"/>
        </w:rPr>
        <w:t>否则视同未响应。</w:t>
      </w:r>
    </w:p>
    <w:p w14:paraId="7CD394C2">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15.投标的风险</w:t>
      </w:r>
    </w:p>
    <w:p w14:paraId="07DC3623">
      <w:pPr>
        <w:pStyle w:val="25"/>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投标人没有按照招标文件要求提供全部资料，或者投标人没有对招标文件作出实质性响应是投标人的风险，并可能导致其投标被拒绝。</w:t>
      </w:r>
    </w:p>
    <w:p w14:paraId="2F627410">
      <w:pPr>
        <w:pStyle w:val="7"/>
        <w:keepNext w:val="0"/>
        <w:keepLines w:val="0"/>
        <w:spacing w:before="0" w:after="0" w:line="360" w:lineRule="auto"/>
        <w:ind w:left="420" w:leftChars="200"/>
        <w:rPr>
          <w:rFonts w:ascii="宋体" w:hAnsi="宋体" w:cs="宋体"/>
          <w:color w:val="auto"/>
          <w:sz w:val="24"/>
          <w:highlight w:val="none"/>
        </w:rPr>
      </w:pPr>
      <w:bookmarkStart w:id="105" w:name="_Toc254970679"/>
      <w:bookmarkStart w:id="106" w:name="_Toc254970538"/>
      <w:r>
        <w:rPr>
          <w:rFonts w:hint="eastAsia" w:ascii="宋体" w:hAnsi="宋体" w:cs="宋体"/>
          <w:color w:val="auto"/>
          <w:sz w:val="24"/>
          <w:highlight w:val="none"/>
        </w:rPr>
        <w:t>16.投标报价</w:t>
      </w:r>
      <w:bookmarkEnd w:id="105"/>
      <w:bookmarkEnd w:id="106"/>
    </w:p>
    <w:p w14:paraId="49036EE6">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投标文件格式”中“开标一览表”格式填写。</w:t>
      </w:r>
    </w:p>
    <w:p w14:paraId="0D4B809B">
      <w:pPr>
        <w:pStyle w:val="7"/>
        <w:keepNext w:val="0"/>
        <w:keepLines w:val="0"/>
        <w:spacing w:before="0" w:after="0" w:line="360" w:lineRule="auto"/>
        <w:ind w:left="420" w:leftChars="200"/>
        <w:rPr>
          <w:rFonts w:ascii="宋体" w:hAnsi="宋体" w:cs="宋体"/>
          <w:b w:val="0"/>
          <w:color w:val="auto"/>
          <w:sz w:val="21"/>
          <w:szCs w:val="21"/>
          <w:highlight w:val="none"/>
        </w:rPr>
      </w:pPr>
      <w:bookmarkStart w:id="107" w:name="_16.2投标报价具体定义见投标人须知前附表。"/>
      <w:bookmarkEnd w:id="107"/>
      <w:r>
        <w:rPr>
          <w:rFonts w:hint="eastAsia" w:ascii="宋体" w:hAnsi="宋体" w:cs="宋体"/>
          <w:b w:val="0"/>
          <w:color w:val="auto"/>
          <w:sz w:val="21"/>
          <w:szCs w:val="21"/>
          <w:highlight w:val="none"/>
        </w:rPr>
        <w:t>16.2投标报价具体包括内容详见“投标人须知前附表”。</w:t>
      </w:r>
    </w:p>
    <w:p w14:paraId="23C6464C">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16.3投标人必须就所投全部内容分别作完整唯一总价报价，不得存在漏项报价；投标人必须就所投的单项内容作唯一报价。</w:t>
      </w:r>
    </w:p>
    <w:p w14:paraId="40B3C04B">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17.投标有效期</w:t>
      </w:r>
    </w:p>
    <w:p w14:paraId="09BEAE65">
      <w:pPr>
        <w:pStyle w:val="7"/>
        <w:keepNext w:val="0"/>
        <w:keepLines w:val="0"/>
        <w:spacing w:before="0" w:after="0" w:line="360" w:lineRule="auto"/>
        <w:ind w:firstLine="420" w:firstLineChars="200"/>
        <w:rPr>
          <w:rFonts w:ascii="宋体" w:hAnsi="宋体" w:cs="宋体"/>
          <w:b w:val="0"/>
          <w:color w:val="auto"/>
          <w:sz w:val="21"/>
          <w:szCs w:val="21"/>
          <w:highlight w:val="none"/>
        </w:rPr>
      </w:pPr>
      <w:bookmarkStart w:id="108" w:name="_17.1投标有效期应按“投标人须知中的前附表”规定的期限。"/>
      <w:bookmarkEnd w:id="108"/>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56B60352">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09" w:name="_Toc254970681"/>
      <w:bookmarkStart w:id="110" w:name="_Toc254970540"/>
      <w:r>
        <w:rPr>
          <w:rFonts w:hint="eastAsia" w:ascii="宋体" w:hAnsi="宋体" w:cs="宋体"/>
          <w:b w:val="0"/>
          <w:color w:val="auto"/>
          <w:sz w:val="21"/>
          <w:szCs w:val="21"/>
          <w:highlight w:val="none"/>
        </w:rPr>
        <w:t xml:space="preserve"> 投标有效期应按招标文件规定的期限作出承诺，具体详见“投标人须知前附表”。</w:t>
      </w:r>
      <w:r>
        <w:rPr>
          <w:rFonts w:hint="eastAsia" w:ascii="宋体" w:hAnsi="宋体" w:cs="宋体"/>
          <w:color w:val="auto"/>
          <w:sz w:val="21"/>
          <w:szCs w:val="21"/>
          <w:highlight w:val="none"/>
        </w:rPr>
        <w:t>承诺的投标有效期低于招标文件规定期限的，按无效投标处理</w:t>
      </w:r>
      <w:r>
        <w:rPr>
          <w:rFonts w:hint="eastAsia" w:ascii="宋体" w:hAnsi="宋体" w:cs="宋体"/>
          <w:b w:val="0"/>
          <w:color w:val="auto"/>
          <w:sz w:val="21"/>
          <w:szCs w:val="21"/>
          <w:highlight w:val="none"/>
        </w:rPr>
        <w:t>。</w:t>
      </w:r>
    </w:p>
    <w:p w14:paraId="2D004C3F">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09"/>
      <w:bookmarkEnd w:id="110"/>
    </w:p>
    <w:p w14:paraId="5094B06C">
      <w:pPr>
        <w:pStyle w:val="7"/>
        <w:keepNext w:val="0"/>
        <w:keepLines w:val="0"/>
        <w:spacing w:before="0" w:after="0" w:line="360" w:lineRule="auto"/>
        <w:ind w:left="420" w:leftChars="200"/>
        <w:rPr>
          <w:rFonts w:ascii="宋体" w:hAnsi="宋体" w:cs="宋体"/>
          <w:color w:val="auto"/>
          <w:sz w:val="24"/>
          <w:highlight w:val="none"/>
        </w:rPr>
      </w:pPr>
      <w:bookmarkStart w:id="111" w:name="_18.投标保证金"/>
      <w:bookmarkEnd w:id="111"/>
      <w:bookmarkStart w:id="112" w:name="_Toc254970682"/>
      <w:bookmarkStart w:id="113" w:name="_Toc254970541"/>
      <w:r>
        <w:rPr>
          <w:rFonts w:hint="eastAsia" w:ascii="宋体" w:hAnsi="宋体" w:cs="宋体"/>
          <w:color w:val="auto"/>
          <w:sz w:val="24"/>
          <w:highlight w:val="none"/>
        </w:rPr>
        <w:t>18.投标保证金</w:t>
      </w:r>
      <w:bookmarkEnd w:id="112"/>
      <w:bookmarkEnd w:id="113"/>
    </w:p>
    <w:p w14:paraId="0D483844">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 的规定提交投标保证金。</w:t>
      </w:r>
    </w:p>
    <w:p w14:paraId="286430CF">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27B6FC2E">
      <w:pPr>
        <w:pStyle w:val="7"/>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未中标人的投标保证金自中标通知书发出之日起4个工作日内退还；中标人的投标保证金自政府采购合同签订之日起4个工作日内退还。 </w:t>
      </w:r>
    </w:p>
    <w:p w14:paraId="6A6DBAFF">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086721F8">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09837A72">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5E9BC8E1">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73EA6EB7">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24D76804">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5271093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74E938A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62732A4D">
      <w:pPr>
        <w:pStyle w:val="7"/>
        <w:keepNext w:val="0"/>
        <w:keepLines w:val="0"/>
        <w:spacing w:before="0" w:after="0" w:line="360" w:lineRule="auto"/>
        <w:ind w:left="420" w:leftChars="200"/>
        <w:rPr>
          <w:rFonts w:ascii="宋体" w:hAnsi="宋体" w:cs="宋体"/>
          <w:color w:val="auto"/>
          <w:sz w:val="24"/>
          <w:highlight w:val="none"/>
        </w:rPr>
      </w:pPr>
      <w:bookmarkStart w:id="114" w:name="_Toc254970683"/>
      <w:bookmarkStart w:id="115" w:name="_Toc254970542"/>
      <w:r>
        <w:rPr>
          <w:rFonts w:hint="eastAsia" w:ascii="宋体" w:hAnsi="宋体" w:cs="宋体"/>
          <w:color w:val="auto"/>
          <w:sz w:val="24"/>
          <w:highlight w:val="none"/>
        </w:rPr>
        <w:t>19.投标文件的</w:t>
      </w:r>
      <w:bookmarkEnd w:id="114"/>
      <w:bookmarkEnd w:id="115"/>
      <w:r>
        <w:rPr>
          <w:rFonts w:hint="eastAsia" w:ascii="宋体" w:hAnsi="宋体" w:cs="宋体"/>
          <w:color w:val="auto"/>
          <w:sz w:val="24"/>
          <w:highlight w:val="none"/>
        </w:rPr>
        <w:t>编制</w:t>
      </w:r>
    </w:p>
    <w:p w14:paraId="6B0BAE17">
      <w:pPr>
        <w:pStyle w:val="7"/>
        <w:keepNext w:val="0"/>
        <w:keepLines w:val="0"/>
        <w:numPr>
          <w:ilvl w:val="4"/>
          <w:numId w:val="4"/>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295FA9B2">
      <w:pPr>
        <w:pStyle w:val="7"/>
        <w:keepNext w:val="0"/>
        <w:keepLines w:val="0"/>
        <w:numPr>
          <w:ilvl w:val="4"/>
          <w:numId w:val="4"/>
        </w:numPr>
        <w:spacing w:before="0" w:after="0" w:line="360" w:lineRule="auto"/>
        <w:ind w:firstLine="315" w:firstLineChars="150"/>
        <w:rPr>
          <w:rFonts w:ascii="宋体" w:hAnsi="宋体" w:cs="宋体"/>
          <w:b w:val="0"/>
          <w:color w:val="auto"/>
          <w:sz w:val="21"/>
          <w:szCs w:val="21"/>
          <w:highlight w:val="none"/>
        </w:rPr>
      </w:pPr>
      <w:bookmarkStart w:id="116" w:name="_19.2投标文件应按报价文件、资格证明文件、商务文件、技术文件分别编制"/>
      <w:bookmarkEnd w:id="116"/>
      <w:r>
        <w:rPr>
          <w:rFonts w:hint="eastAsia" w:ascii="宋体" w:hAnsi="宋体" w:cs="宋体"/>
          <w:b w:val="0"/>
          <w:color w:val="auto"/>
          <w:sz w:val="21"/>
          <w:szCs w:val="21"/>
          <w:highlight w:val="none"/>
        </w:rPr>
        <w:t xml:space="preserve"> 19.2为确保网上操作合法、有效和安全，投标人应当在投标截止时间前完成在广西政府采购云平台的身份认证，确保在电子投标过程中能够对相关数据电文进行加密和使用电子签章。</w:t>
      </w:r>
    </w:p>
    <w:p w14:paraId="7AA7BE48">
      <w:pPr>
        <w:pStyle w:val="7"/>
        <w:keepNext w:val="0"/>
        <w:keepLines w:val="0"/>
        <w:numPr>
          <w:ilvl w:val="4"/>
          <w:numId w:val="4"/>
        </w:numPr>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cs="宋体"/>
          <w:bCs/>
          <w:color w:val="auto"/>
          <w:sz w:val="21"/>
          <w:szCs w:val="21"/>
          <w:highlight w:val="none"/>
        </w:rPr>
        <w:t>否则按无效投标处理</w:t>
      </w:r>
      <w:r>
        <w:rPr>
          <w:rFonts w:hint="eastAsia" w:ascii="宋体" w:hAnsi="宋体" w:cs="宋体"/>
          <w:b w:val="0"/>
          <w:color w:val="auto"/>
          <w:sz w:val="21"/>
          <w:szCs w:val="21"/>
          <w:highlight w:val="none"/>
        </w:rPr>
        <w:t>。</w:t>
      </w:r>
    </w:p>
    <w:p w14:paraId="5906B6AB">
      <w:pPr>
        <w:pStyle w:val="7"/>
        <w:keepNext w:val="0"/>
        <w:keepLines w:val="0"/>
        <w:numPr>
          <w:ilvl w:val="4"/>
          <w:numId w:val="4"/>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14:paraId="3C095791">
      <w:pPr>
        <w:pStyle w:val="7"/>
        <w:keepNext w:val="0"/>
        <w:keepLines w:val="0"/>
        <w:numPr>
          <w:ilvl w:val="4"/>
          <w:numId w:val="4"/>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61D3E0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20.电子备份投标文件</w:t>
      </w:r>
    </w:p>
    <w:p w14:paraId="068B4220">
      <w:pPr>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电子备份投标文件是指通过在线编制生成且后缀名为“bfbs”的文件，是否接受电子备份投标文件</w:t>
      </w:r>
      <w:r>
        <w:rPr>
          <w:rFonts w:hint="eastAsia" w:ascii="宋体" w:hAnsi="宋体" w:cs="宋体"/>
          <w:bCs/>
          <w:color w:val="auto"/>
          <w:szCs w:val="21"/>
          <w:highlight w:val="none"/>
        </w:rPr>
        <w:t>详见在“投标人须知前附表”。</w:t>
      </w:r>
    </w:p>
    <w:p w14:paraId="7278CDED">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21.投标文件的提交</w:t>
      </w:r>
    </w:p>
    <w:p w14:paraId="496A36A5">
      <w:pPr>
        <w:spacing w:line="360" w:lineRule="auto"/>
        <w:ind w:firstLine="420" w:firstLineChars="200"/>
        <w:rPr>
          <w:rFonts w:ascii="宋体" w:hAnsi="宋体" w:cs="宋体"/>
          <w:b/>
          <w:color w:val="auto"/>
          <w:highlight w:val="none"/>
        </w:rPr>
      </w:pPr>
      <w:r>
        <w:rPr>
          <w:rFonts w:hint="eastAsia" w:ascii="宋体" w:hAnsi="宋体" w:cs="宋体"/>
          <w:bCs/>
          <w:color w:val="auto"/>
          <w:szCs w:val="21"/>
          <w:highlight w:val="none"/>
        </w:rPr>
        <w:t>21.1投标人必须在“投标人须知前附表”规定的</w:t>
      </w:r>
      <w:r>
        <w:rPr>
          <w:rFonts w:hint="eastAsia" w:ascii="宋体" w:hAnsi="宋体" w:cs="宋体"/>
          <w:color w:val="auto"/>
          <w:szCs w:val="21"/>
          <w:highlight w:val="none"/>
        </w:rPr>
        <w:t>投标文件提交截止时间前将</w:t>
      </w:r>
      <w:r>
        <w:rPr>
          <w:rFonts w:hint="eastAsia" w:ascii="宋体" w:hAnsi="宋体" w:cs="宋体"/>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w:t>
      </w:r>
    </w:p>
    <w:p w14:paraId="76DD096E">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21.2未在规定时间内提交或者未按照招标文件要求加密的电子投标文件，“广西政府采购云平台”将拒收。</w:t>
      </w:r>
    </w:p>
    <w:p w14:paraId="0B2181C5">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p>
    <w:p w14:paraId="67E20782">
      <w:pPr>
        <w:snapToGrid w:val="0"/>
        <w:spacing w:line="360" w:lineRule="auto"/>
        <w:ind w:firstLine="420"/>
        <w:jc w:val="left"/>
        <w:rPr>
          <w:rFonts w:ascii="宋体" w:hAnsi="宋体" w:cs="宋体"/>
          <w:color w:val="auto"/>
          <w:szCs w:val="21"/>
          <w:highlight w:val="none"/>
        </w:rPr>
      </w:pPr>
      <w:bookmarkStart w:id="117" w:name="_Toc254970684"/>
      <w:bookmarkStart w:id="118" w:name="_Toc254970543"/>
      <w:r>
        <w:rPr>
          <w:rFonts w:hint="eastAsia" w:ascii="宋体" w:hAnsi="宋体" w:cs="宋体"/>
          <w:color w:val="auto"/>
          <w:szCs w:val="21"/>
          <w:highlight w:val="none"/>
        </w:rPr>
        <w:t>22.1</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将予以拒收。</w:t>
      </w:r>
      <w:r>
        <w:rPr>
          <w:rFonts w:hint="eastAsia" w:ascii="宋体" w:hAnsi="宋体" w:cs="宋体"/>
          <w:color w:val="auto"/>
          <w:szCs w:val="21"/>
          <w:highlight w:val="none"/>
        </w:rPr>
        <w:t>（补充、修改或者撤回方式可登录“广西政府采购云平台”</w:t>
      </w:r>
      <w:r>
        <w:rPr>
          <w:rFonts w:hint="eastAsia" w:ascii="宋体" w:hAnsi="宋体" w:cs="宋体"/>
          <w:color w:val="auto"/>
          <w:kern w:val="0"/>
          <w:szCs w:val="21"/>
          <w:highlight w:val="none"/>
        </w:rPr>
        <w:t>，</w:t>
      </w:r>
      <w:r>
        <w:rPr>
          <w:rFonts w:hint="eastAsia" w:ascii="宋体" w:hAnsi="宋体" w:cs="宋体"/>
          <w:color w:val="auto"/>
          <w:szCs w:val="21"/>
          <w:highlight w:val="none"/>
        </w:rPr>
        <w:t>进入“服务中心”中查看 “电子投标文件制作与投送教程”）</w:t>
      </w:r>
    </w:p>
    <w:p w14:paraId="29E95840">
      <w:pPr>
        <w:pStyle w:val="112"/>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5B36AE83">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22.3在投标截止时间后，采购人和采购代理机构对已提交的投标文件概不退回。</w:t>
      </w:r>
    </w:p>
    <w:bookmarkEnd w:id="117"/>
    <w:bookmarkEnd w:id="118"/>
    <w:p w14:paraId="40ABC654">
      <w:pPr>
        <w:spacing w:line="360" w:lineRule="auto"/>
        <w:ind w:firstLine="420" w:firstLineChars="200"/>
        <w:rPr>
          <w:rFonts w:ascii="宋体" w:hAnsi="宋体" w:cs="宋体"/>
          <w:color w:val="auto"/>
          <w:szCs w:val="21"/>
          <w:highlight w:val="none"/>
        </w:rPr>
      </w:pPr>
    </w:p>
    <w:p w14:paraId="12C678A2">
      <w:pPr>
        <w:pStyle w:val="6"/>
        <w:keepNext w:val="0"/>
        <w:keepLines w:val="0"/>
        <w:jc w:val="center"/>
        <w:rPr>
          <w:rFonts w:ascii="宋体" w:hAnsi="宋体" w:cs="宋体"/>
          <w:color w:val="auto"/>
          <w:highlight w:val="none"/>
        </w:rPr>
      </w:pPr>
      <w:bookmarkStart w:id="119" w:name="_Toc254970685"/>
      <w:bookmarkStart w:id="120" w:name="_Toc254970544"/>
      <w:r>
        <w:rPr>
          <w:rFonts w:hint="eastAsia" w:ascii="宋体" w:hAnsi="宋体" w:cs="宋体"/>
          <w:color w:val="auto"/>
          <w:highlight w:val="none"/>
        </w:rPr>
        <w:t>四、开标</w:t>
      </w:r>
      <w:bookmarkEnd w:id="119"/>
      <w:bookmarkEnd w:id="120"/>
    </w:p>
    <w:p w14:paraId="0B7A63BF">
      <w:pPr>
        <w:pStyle w:val="7"/>
        <w:keepNext w:val="0"/>
        <w:keepLines w:val="0"/>
        <w:spacing w:before="0" w:after="0" w:line="360" w:lineRule="auto"/>
        <w:ind w:left="420" w:leftChars="200"/>
        <w:rPr>
          <w:rFonts w:ascii="宋体" w:hAnsi="宋体" w:cs="宋体"/>
          <w:color w:val="auto"/>
          <w:sz w:val="24"/>
          <w:highlight w:val="none"/>
        </w:rPr>
      </w:pPr>
      <w:bookmarkStart w:id="121" w:name="_23.开标时间和地点"/>
      <w:bookmarkEnd w:id="121"/>
      <w:r>
        <w:rPr>
          <w:rFonts w:hint="eastAsia" w:ascii="宋体" w:hAnsi="宋体" w:cs="宋体"/>
          <w:color w:val="auto"/>
          <w:sz w:val="24"/>
          <w:highlight w:val="none"/>
        </w:rPr>
        <w:t>23.开标时间和地点</w:t>
      </w:r>
    </w:p>
    <w:p w14:paraId="09A24C73">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开标时间及地点详见“投标人须知前附表”</w:t>
      </w:r>
    </w:p>
    <w:p w14:paraId="50F9D3EF">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24.开标程序</w:t>
      </w:r>
    </w:p>
    <w:p w14:paraId="06990AA4">
      <w:pPr>
        <w:pStyle w:val="8"/>
        <w:spacing w:line="360" w:lineRule="auto"/>
        <w:rPr>
          <w:rFonts w:ascii="宋体" w:hAnsi="宋体" w:cs="宋体"/>
          <w:color w:val="auto"/>
          <w:highlight w:val="none"/>
        </w:rPr>
      </w:pPr>
      <w:r>
        <w:rPr>
          <w:rFonts w:hint="eastAsia" w:ascii="宋体" w:hAnsi="宋体" w:cs="宋体"/>
          <w:color w:val="auto"/>
          <w:highlight w:val="none"/>
        </w:rPr>
        <w:t>24.1提交投标文件截止时间止，投标人不足3家的，不得开标。</w:t>
      </w:r>
    </w:p>
    <w:p w14:paraId="5CAE7D44">
      <w:pPr>
        <w:pStyle w:val="8"/>
        <w:spacing w:line="360" w:lineRule="auto"/>
        <w:rPr>
          <w:rFonts w:ascii="宋体" w:hAnsi="宋体" w:cs="宋体"/>
          <w:color w:val="auto"/>
          <w:highlight w:val="none"/>
        </w:rPr>
      </w:pPr>
      <w:r>
        <w:rPr>
          <w:rFonts w:hint="eastAsia" w:ascii="宋体" w:hAnsi="宋体" w:cs="宋体"/>
          <w:color w:val="auto"/>
          <w:highlight w:val="none"/>
        </w:rPr>
        <w:t>24.2采购代理机构将按照招标文件规定的时间通过</w:t>
      </w:r>
      <w:r>
        <w:rPr>
          <w:rFonts w:hint="eastAsia" w:ascii="宋体" w:hAnsi="宋体" w:cs="宋体"/>
          <w:color w:val="auto"/>
          <w:szCs w:val="21"/>
          <w:highlight w:val="none"/>
        </w:rPr>
        <w:t>“广西政府采购云平台”</w:t>
      </w:r>
      <w:r>
        <w:rPr>
          <w:rFonts w:hint="eastAsia" w:ascii="宋体" w:hAnsi="宋体" w:cs="宋体"/>
          <w:color w:val="auto"/>
          <w:highlight w:val="none"/>
        </w:rPr>
        <w:t>组织线上开标活动，所有供应商均应当准时在线参加，投标人因未在线参加开标而导致投标文件无法按时解密等一切后果由投标人自己承担。</w:t>
      </w:r>
    </w:p>
    <w:p w14:paraId="47FBC812">
      <w:pPr>
        <w:pStyle w:val="8"/>
        <w:spacing w:line="360" w:lineRule="auto"/>
        <w:rPr>
          <w:rFonts w:ascii="宋体" w:hAnsi="宋体" w:cs="宋体"/>
          <w:color w:val="auto"/>
          <w:highlight w:val="none"/>
        </w:rPr>
      </w:pPr>
      <w:r>
        <w:rPr>
          <w:rFonts w:hint="eastAsia" w:ascii="宋体" w:hAnsi="宋体" w:cs="宋体"/>
          <w:color w:val="auto"/>
          <w:highlight w:val="none"/>
        </w:rPr>
        <w:t>24.3开标程序</w:t>
      </w:r>
    </w:p>
    <w:p w14:paraId="70381F93">
      <w:pPr>
        <w:pStyle w:val="8"/>
        <w:spacing w:line="360" w:lineRule="auto"/>
        <w:rPr>
          <w:rFonts w:ascii="宋体" w:hAnsi="宋体" w:cs="宋体"/>
          <w:color w:val="auto"/>
          <w:highlight w:val="none"/>
        </w:rPr>
      </w:pPr>
      <w:r>
        <w:rPr>
          <w:rFonts w:hint="eastAsia" w:ascii="宋体" w:hAnsi="宋体" w:cs="宋体"/>
          <w:color w:val="auto"/>
          <w:highlight w:val="none"/>
        </w:rPr>
        <w:t>（1）解密电子投标文件。</w:t>
      </w:r>
      <w:r>
        <w:rPr>
          <w:rFonts w:hint="eastAsia" w:ascii="宋体" w:hAnsi="宋体" w:cs="宋体"/>
          <w:color w:val="auto"/>
          <w:szCs w:val="21"/>
          <w:highlight w:val="none"/>
        </w:rPr>
        <w:t>“广西政府采购云平台”</w:t>
      </w:r>
      <w:r>
        <w:rPr>
          <w:rFonts w:hint="eastAsia" w:ascii="宋体" w:hAnsi="宋体" w:cs="宋体"/>
          <w:color w:val="auto"/>
          <w:highlight w:val="none"/>
        </w:rPr>
        <w:t>按开标时间自动提取所有投标文件。采购代理机构依托</w:t>
      </w:r>
      <w:r>
        <w:rPr>
          <w:rFonts w:hint="eastAsia" w:ascii="宋体" w:hAnsi="宋体" w:cs="宋体"/>
          <w:color w:val="auto"/>
          <w:szCs w:val="21"/>
          <w:highlight w:val="none"/>
        </w:rPr>
        <w:t>“广西政府采购云平台”</w:t>
      </w:r>
      <w:r>
        <w:rPr>
          <w:rFonts w:hint="eastAsia" w:ascii="宋体" w:hAnsi="宋体" w:cs="宋体"/>
          <w:color w:val="auto"/>
          <w:highlight w:val="none"/>
        </w:rPr>
        <w:t>向各投标人发出电子加密投标文件【开始解密】通知，由投标人按</w:t>
      </w:r>
      <w:r>
        <w:rPr>
          <w:rFonts w:hint="eastAsia" w:ascii="宋体" w:hAnsi="宋体" w:cs="宋体"/>
          <w:bCs/>
          <w:color w:val="auto"/>
          <w:szCs w:val="21"/>
          <w:highlight w:val="none"/>
        </w:rPr>
        <w:t>“投标人须知前附表”</w:t>
      </w:r>
      <w:r>
        <w:rPr>
          <w:rFonts w:hint="eastAsia" w:ascii="宋体" w:hAnsi="宋体" w:cs="宋体"/>
          <w:color w:val="auto"/>
          <w:highlight w:val="none"/>
        </w:rPr>
        <w:t>规定的时间内自行进行投标文件解密。投标人的法定代表人或其委托代理人须凭加密时所用的CA锁准时登录到</w:t>
      </w:r>
      <w:r>
        <w:rPr>
          <w:rFonts w:hint="eastAsia" w:ascii="宋体" w:hAnsi="宋体" w:cs="宋体"/>
          <w:color w:val="auto"/>
          <w:szCs w:val="21"/>
          <w:highlight w:val="none"/>
        </w:rPr>
        <w:t>“广西政府采购云平台”</w:t>
      </w:r>
      <w:r>
        <w:rPr>
          <w:rFonts w:hint="eastAsia" w:ascii="宋体" w:hAnsi="宋体" w:cs="宋体"/>
          <w:color w:val="auto"/>
          <w:highlight w:val="none"/>
        </w:rPr>
        <w:t>电子开标大厅签到并对电子投标文件解密。</w:t>
      </w:r>
      <w:r>
        <w:rPr>
          <w:rFonts w:hint="eastAsia" w:ascii="宋体" w:hAnsi="宋体" w:cs="宋体"/>
          <w:b/>
          <w:color w:val="auto"/>
          <w:highlight w:val="none"/>
        </w:rPr>
        <w:t>投标人未在规定的时间内解密投标文件或者解密失败的，</w:t>
      </w:r>
      <w:r>
        <w:rPr>
          <w:rFonts w:hint="eastAsia" w:ascii="宋体" w:hAnsi="宋体" w:cs="宋体"/>
          <w:b/>
          <w:color w:val="auto"/>
          <w:szCs w:val="21"/>
          <w:highlight w:val="none"/>
        </w:rPr>
        <w:t>投标人的投标文件作无效处理。</w:t>
      </w:r>
    </w:p>
    <w:p w14:paraId="3C2BF778">
      <w:pPr>
        <w:pStyle w:val="8"/>
        <w:spacing w:line="360" w:lineRule="auto"/>
        <w:rPr>
          <w:rFonts w:ascii="宋体" w:hAnsi="宋体" w:cs="宋体"/>
          <w:color w:val="auto"/>
          <w:highlight w:val="none"/>
        </w:rPr>
      </w:pPr>
      <w:r>
        <w:rPr>
          <w:rFonts w:hint="eastAsia" w:ascii="宋体" w:hAnsi="宋体" w:cs="宋体"/>
          <w:color w:val="auto"/>
          <w:highlight w:val="none"/>
        </w:rPr>
        <w:t>（2）电子唱标。投标文件解密结束，宣布的内容均在</w:t>
      </w:r>
      <w:r>
        <w:rPr>
          <w:rFonts w:hint="eastAsia" w:ascii="宋体" w:hAnsi="宋体" w:cs="宋体"/>
          <w:color w:val="auto"/>
          <w:szCs w:val="21"/>
          <w:highlight w:val="none"/>
        </w:rPr>
        <w:t>“广西政府采购云平台”</w:t>
      </w:r>
      <w:r>
        <w:rPr>
          <w:rFonts w:hint="eastAsia" w:ascii="宋体" w:hAnsi="宋体" w:cs="宋体"/>
          <w:color w:val="auto"/>
          <w:highlight w:val="none"/>
        </w:rPr>
        <w:t>远程开标大厅展示，具体详见</w:t>
      </w:r>
      <w:r>
        <w:rPr>
          <w:rFonts w:hint="eastAsia" w:ascii="宋体" w:hAnsi="宋体" w:cs="宋体"/>
          <w:bCs/>
          <w:color w:val="auto"/>
          <w:highlight w:val="none"/>
        </w:rPr>
        <w:t>“投标人须知前附表”</w:t>
      </w:r>
      <w:r>
        <w:rPr>
          <w:rFonts w:hint="eastAsia" w:ascii="宋体" w:hAnsi="宋体" w:cs="宋体"/>
          <w:color w:val="auto"/>
          <w:highlight w:val="none"/>
        </w:rPr>
        <w:t>；</w:t>
      </w:r>
    </w:p>
    <w:p w14:paraId="2D640CA6">
      <w:pPr>
        <w:pStyle w:val="8"/>
        <w:spacing w:line="360" w:lineRule="auto"/>
        <w:rPr>
          <w:rFonts w:ascii="宋体" w:hAnsi="宋体" w:cs="宋体"/>
          <w:color w:val="auto"/>
          <w:szCs w:val="21"/>
          <w:highlight w:val="none"/>
        </w:rPr>
      </w:pPr>
      <w:r>
        <w:rPr>
          <w:rFonts w:hint="eastAsia" w:ascii="宋体" w:hAnsi="宋体" w:cs="宋体"/>
          <w:color w:val="auto"/>
          <w:highlight w:val="none"/>
        </w:rPr>
        <w:t>（3）开标过程由采购代理机构如实记录，并电子留痕，由参加电子开标的各投标人代表对电子开标记录在开标记录公布后15分钟内进行当</w:t>
      </w:r>
      <w:r>
        <w:rPr>
          <w:rFonts w:hint="eastAsia" w:ascii="宋体" w:hAnsi="宋体" w:cs="宋体"/>
          <w:color w:val="auto"/>
          <w:szCs w:val="21"/>
          <w:highlight w:val="none"/>
        </w:rPr>
        <w:t>场校核及勘误，并线上确认是否有异议，未确认的视同认可开标结果。</w:t>
      </w:r>
    </w:p>
    <w:p w14:paraId="5909ED9A">
      <w:pPr>
        <w:pStyle w:val="8"/>
        <w:spacing w:line="360" w:lineRule="auto"/>
        <w:rPr>
          <w:rFonts w:ascii="宋体" w:hAnsi="宋体" w:cs="宋体"/>
          <w:color w:val="auto"/>
          <w:szCs w:val="21"/>
          <w:highlight w:val="none"/>
        </w:rPr>
      </w:pPr>
      <w:r>
        <w:rPr>
          <w:rFonts w:hint="eastAsia" w:ascii="宋体" w:hAnsi="宋体" w:cs="宋体"/>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E0CCCB7">
      <w:pPr>
        <w:pStyle w:val="8"/>
        <w:spacing w:line="360" w:lineRule="auto"/>
        <w:rPr>
          <w:rFonts w:ascii="宋体" w:hAnsi="宋体" w:cs="宋体"/>
          <w:color w:val="auto"/>
          <w:szCs w:val="21"/>
          <w:highlight w:val="none"/>
        </w:rPr>
      </w:pPr>
      <w:r>
        <w:rPr>
          <w:rFonts w:hint="eastAsia" w:ascii="宋体" w:hAnsi="宋体" w:cs="宋体"/>
          <w:color w:val="auto"/>
          <w:szCs w:val="21"/>
          <w:highlight w:val="none"/>
        </w:rPr>
        <w:t>（5）开标结束。</w:t>
      </w:r>
    </w:p>
    <w:p w14:paraId="3AAA8B39">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1"/>
          <w:highlight w:val="none"/>
        </w:rPr>
        <w:t>特别说明：如遇“广西政府采购云平台”电子化开标或评审程序调整的，按调整后执行。</w:t>
      </w:r>
    </w:p>
    <w:p w14:paraId="5082EC96">
      <w:pPr>
        <w:pStyle w:val="8"/>
        <w:spacing w:line="360" w:lineRule="auto"/>
        <w:rPr>
          <w:rFonts w:ascii="宋体" w:hAnsi="宋体" w:cs="宋体"/>
          <w:color w:val="auto"/>
          <w:highlight w:val="none"/>
        </w:rPr>
      </w:pPr>
    </w:p>
    <w:p w14:paraId="38EE9AFC">
      <w:pPr>
        <w:pStyle w:val="25"/>
        <w:snapToGrid w:val="0"/>
        <w:spacing w:line="360" w:lineRule="auto"/>
        <w:ind w:left="689" w:leftChars="228" w:hanging="210" w:hangingChars="100"/>
        <w:rPr>
          <w:rFonts w:hAnsi="宋体" w:cs="宋体"/>
          <w:color w:val="auto"/>
          <w:sz w:val="21"/>
          <w:highlight w:val="none"/>
        </w:rPr>
      </w:pPr>
    </w:p>
    <w:p w14:paraId="39E012A2">
      <w:pPr>
        <w:pStyle w:val="6"/>
        <w:keepNext w:val="0"/>
        <w:keepLines w:val="0"/>
        <w:jc w:val="center"/>
        <w:rPr>
          <w:rFonts w:ascii="宋体" w:hAnsi="宋体" w:cs="宋体"/>
          <w:color w:val="auto"/>
          <w:highlight w:val="none"/>
        </w:rPr>
      </w:pPr>
      <w:r>
        <w:rPr>
          <w:rFonts w:hint="eastAsia" w:ascii="宋体" w:hAnsi="宋体" w:cs="宋体"/>
          <w:color w:val="auto"/>
          <w:highlight w:val="none"/>
        </w:rPr>
        <w:t>五、资格审查</w:t>
      </w:r>
    </w:p>
    <w:p w14:paraId="0B2D5548">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25.资格审查</w:t>
      </w:r>
    </w:p>
    <w:p w14:paraId="054CF3B5">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25.1开标结束后，采购人或者采购代理机构通过电子开评标系统依据招标文件对电子投标文件进行线上资格审查。</w:t>
      </w:r>
    </w:p>
    <w:p w14:paraId="06933D91">
      <w:pPr>
        <w:pStyle w:val="7"/>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5527C654">
      <w:pPr>
        <w:pStyle w:val="7"/>
        <w:keepNext w:val="0"/>
        <w:keepLines w:val="0"/>
        <w:numPr>
          <w:ilvl w:val="0"/>
          <w:numId w:val="0"/>
        </w:numPr>
        <w:spacing w:before="0" w:after="0" w:line="360" w:lineRule="auto"/>
        <w:ind w:firstLine="422" w:firstLineChars="200"/>
        <w:rPr>
          <w:rFonts w:ascii="宋体" w:hAnsi="宋体" w:cs="宋体"/>
          <w:color w:val="auto"/>
          <w:sz w:val="21"/>
          <w:szCs w:val="21"/>
          <w:highlight w:val="none"/>
        </w:rPr>
      </w:pPr>
      <w:bookmarkStart w:id="122" w:name="_25.3_投标人有下列情形之一的，资格审查不通过而导致其投标无效："/>
      <w:bookmarkEnd w:id="122"/>
      <w:r>
        <w:rPr>
          <w:rFonts w:hint="eastAsia" w:ascii="宋体" w:hAnsi="宋体" w:cs="宋体"/>
          <w:color w:val="auto"/>
          <w:sz w:val="21"/>
          <w:szCs w:val="21"/>
          <w:highlight w:val="none"/>
        </w:rPr>
        <w:t>25.3 投标人有下列情形之一的，资格审查不通过，作无效投标处理：</w:t>
      </w:r>
    </w:p>
    <w:p w14:paraId="7D68DD92">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（1）不具备招标文件中规定的资格要求的；</w:t>
      </w:r>
    </w:p>
    <w:p w14:paraId="30AD0D90">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68D84D23">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75198057">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（4）投标文件中的资格证明文件缺少任一项“投标人须知前附表”资格证明文件规定“必须提供”的文件资料的；</w:t>
      </w:r>
    </w:p>
    <w:p w14:paraId="03A9092E">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（5）投标文件中的资格证明文件出现任一项不符合“投标人须知前附表”资格证明文件规定“必须提供”的文件资料要求或者无效的。</w:t>
      </w:r>
    </w:p>
    <w:p w14:paraId="46B736AA">
      <w:pPr>
        <w:pStyle w:val="7"/>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25.4合格投标人不足3家的，不得评标。</w:t>
      </w:r>
    </w:p>
    <w:p w14:paraId="12B5B3AC">
      <w:pPr>
        <w:pStyle w:val="25"/>
        <w:snapToGrid w:val="0"/>
        <w:spacing w:line="360" w:lineRule="auto"/>
        <w:ind w:left="689" w:leftChars="228" w:hanging="210" w:hangingChars="100"/>
        <w:rPr>
          <w:rFonts w:hAnsi="宋体" w:cs="宋体"/>
          <w:color w:val="auto"/>
          <w:sz w:val="21"/>
          <w:highlight w:val="none"/>
        </w:rPr>
      </w:pPr>
    </w:p>
    <w:p w14:paraId="438CCB39">
      <w:pPr>
        <w:pStyle w:val="6"/>
        <w:keepNext w:val="0"/>
        <w:keepLines w:val="0"/>
        <w:jc w:val="center"/>
        <w:rPr>
          <w:rFonts w:ascii="宋体" w:hAnsi="宋体" w:cs="宋体"/>
          <w:color w:val="auto"/>
          <w:highlight w:val="none"/>
        </w:rPr>
      </w:pPr>
      <w:r>
        <w:rPr>
          <w:rFonts w:hint="eastAsia" w:ascii="宋体" w:hAnsi="宋体" w:cs="宋体"/>
          <w:color w:val="auto"/>
          <w:highlight w:val="none"/>
        </w:rPr>
        <w:t>六、评标</w:t>
      </w:r>
    </w:p>
    <w:p w14:paraId="2821B8CA">
      <w:pPr>
        <w:pStyle w:val="7"/>
        <w:keepNext w:val="0"/>
        <w:keepLines w:val="0"/>
        <w:spacing w:before="0" w:after="0" w:line="360" w:lineRule="auto"/>
        <w:ind w:left="420" w:leftChars="200"/>
        <w:rPr>
          <w:rFonts w:ascii="宋体" w:hAnsi="宋体" w:cs="宋体"/>
          <w:color w:val="auto"/>
          <w:sz w:val="24"/>
          <w:highlight w:val="none"/>
        </w:rPr>
      </w:pPr>
      <w:bookmarkStart w:id="123" w:name="_26.组建评标委员会"/>
      <w:bookmarkEnd w:id="123"/>
      <w:r>
        <w:rPr>
          <w:rFonts w:hint="eastAsia" w:ascii="宋体" w:hAnsi="宋体" w:cs="宋体"/>
          <w:color w:val="auto"/>
          <w:sz w:val="24"/>
          <w:highlight w:val="none"/>
        </w:rPr>
        <w:t>26.组建评标委员会</w:t>
      </w:r>
    </w:p>
    <w:p w14:paraId="48AFD838">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26.1评标委员会由采购人代表和评审专家组成，具体人数详见“投标人须知前附表”，其中评审专家不得少于成员总数的三分之二。</w:t>
      </w:r>
    </w:p>
    <w:p w14:paraId="5BF0373B">
      <w:pPr>
        <w:pStyle w:val="25"/>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26.2参加过采购项目前期咨询论证的专家，不得参加该采购项目的评审活动。</w:t>
      </w:r>
    </w:p>
    <w:p w14:paraId="2288D536">
      <w:pPr>
        <w:pStyle w:val="25"/>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26.3采购代理机构应当基于</w:t>
      </w:r>
      <w:r>
        <w:rPr>
          <w:rFonts w:hint="eastAsia" w:hAnsi="宋体" w:cs="宋体"/>
          <w:color w:val="auto"/>
          <w:highlight w:val="none"/>
        </w:rPr>
        <w:t>“广西政府采购云平台”</w:t>
      </w:r>
      <w:r>
        <w:rPr>
          <w:rFonts w:hint="eastAsia" w:hAnsi="宋体" w:cs="宋体"/>
          <w:color w:val="auto"/>
          <w:sz w:val="21"/>
          <w:highlight w:val="none"/>
        </w:rPr>
        <w:t>抽（选）取评审专家。</w:t>
      </w:r>
    </w:p>
    <w:p w14:paraId="36951949">
      <w:pPr>
        <w:pStyle w:val="25"/>
        <w:snapToGrid w:val="0"/>
        <w:spacing w:line="360" w:lineRule="auto"/>
        <w:ind w:left="2" w:leftChars="1" w:firstLine="420" w:firstLineChars="200"/>
        <w:rPr>
          <w:rFonts w:hAnsi="宋体" w:cs="宋体"/>
          <w:color w:val="auto"/>
          <w:sz w:val="21"/>
          <w:highlight w:val="none"/>
        </w:rPr>
      </w:pPr>
    </w:p>
    <w:p w14:paraId="7D17E3FA">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27.评标的依据</w:t>
      </w:r>
    </w:p>
    <w:p w14:paraId="13105F5D">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评标委员会以“第四章 评标方法和评标标准”为依据对投标文件进行评审，没有规定的方法、评审因素和标准，不作为评标依据。</w:t>
      </w:r>
    </w:p>
    <w:p w14:paraId="7F49D4DB">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28.评标原则</w:t>
      </w:r>
    </w:p>
    <w:p w14:paraId="21AFFBCF">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B8805ED">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28.2</w:t>
      </w:r>
      <w:bookmarkStart w:id="124" w:name="_28.3评标方法。本项目将按须知前附表规定的评标办法进行评标，具体评标"/>
      <w:bookmarkEnd w:id="124"/>
      <w:r>
        <w:rPr>
          <w:rFonts w:hint="eastAsia" w:hAnsi="宋体" w:cs="宋体"/>
          <w:color w:val="auto"/>
          <w:sz w:val="21"/>
          <w:highlight w:val="none"/>
        </w:rPr>
        <w:t>评委表决。评标委员会成员对需要共同认定的事项存在争议的，应当按照少数服从多数的原则作出结论。</w:t>
      </w:r>
    </w:p>
    <w:p w14:paraId="766BD6F2">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589A6FB">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28.4评标过程的监控。本项目电子评标过程实行网上留痕、全程录音、录像监控，</w:t>
      </w:r>
      <w:r>
        <w:rPr>
          <w:rFonts w:hint="eastAsia" w:hAnsi="宋体" w:cs="宋体"/>
          <w:b/>
          <w:color w:val="auto"/>
          <w:sz w:val="21"/>
          <w:highlight w:val="none"/>
        </w:rPr>
        <w:t>投标人在评标过程中所进行的试图影响评标结果的不公正活动，可能导致其投标按无效处理。</w:t>
      </w:r>
    </w:p>
    <w:p w14:paraId="548964CD">
      <w:pPr>
        <w:pStyle w:val="7"/>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29.评标方法及中标候选人推荐</w:t>
      </w:r>
    </w:p>
    <w:p w14:paraId="4DAB451F">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29.1本项目的评标方法详见“投标人须知前附表”。</w:t>
      </w:r>
    </w:p>
    <w:p w14:paraId="0941D32C">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29.2 商务/技术要求允许负偏离的条款数详见“投标人须知前附表”。</w:t>
      </w:r>
    </w:p>
    <w:p w14:paraId="12F6562C">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29.3中标候选人推荐数量详见“投标人须知前附表”。</w:t>
      </w:r>
    </w:p>
    <w:p w14:paraId="329E5F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 电子交易活动的中止。采购过程中出现以下情形，导致电子交易平台无法正常运行，或者无法保证电子交易的公平、公正和安全时，采购代理机构可以中止电子交易活动：</w:t>
      </w:r>
    </w:p>
    <w:p w14:paraId="56E29E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45F49E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313D44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601EA3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57D735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14:paraId="6736AD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1C983B0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29.5出现下列情形之一的，应予废标：</w:t>
      </w:r>
    </w:p>
    <w:p w14:paraId="7C6B4B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77F292D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01FAFF3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7E23CD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1D9D417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6E496C42">
      <w:pPr>
        <w:pStyle w:val="6"/>
        <w:keepNext w:val="0"/>
        <w:keepLines w:val="0"/>
        <w:jc w:val="center"/>
        <w:rPr>
          <w:rFonts w:ascii="宋体" w:hAnsi="宋体" w:cs="宋体"/>
          <w:color w:val="auto"/>
          <w:highlight w:val="none"/>
        </w:rPr>
      </w:pPr>
      <w:bookmarkStart w:id="125" w:name="_Toc254970687"/>
      <w:bookmarkStart w:id="126" w:name="_Toc254970546"/>
      <w:r>
        <w:rPr>
          <w:rFonts w:hint="eastAsia" w:ascii="宋体" w:hAnsi="宋体" w:cs="宋体"/>
          <w:color w:val="auto"/>
          <w:highlight w:val="none"/>
        </w:rPr>
        <w:t>七、</w:t>
      </w:r>
      <w:bookmarkEnd w:id="125"/>
      <w:bookmarkEnd w:id="126"/>
      <w:r>
        <w:rPr>
          <w:rFonts w:hint="eastAsia" w:ascii="宋体" w:hAnsi="宋体" w:cs="宋体"/>
          <w:color w:val="auto"/>
          <w:highlight w:val="none"/>
        </w:rPr>
        <w:t>中标和合同</w:t>
      </w:r>
    </w:p>
    <w:p w14:paraId="5EB470C5">
      <w:pPr>
        <w:pStyle w:val="7"/>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30.确定中标人</w:t>
      </w:r>
    </w:p>
    <w:p w14:paraId="0025FB7F">
      <w:pPr>
        <w:pStyle w:val="7"/>
        <w:keepNext w:val="0"/>
        <w:keepLines w:val="0"/>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C6B978C">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6114094A">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30.3出现下列情形之一的，应予废标：</w:t>
      </w:r>
    </w:p>
    <w:p w14:paraId="12429AC0">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0FC67B2D">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17311203">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0161993E">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1554C46F">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0EB92496">
      <w:pPr>
        <w:pStyle w:val="7"/>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31.结果公告</w:t>
      </w:r>
    </w:p>
    <w:p w14:paraId="5645254A">
      <w:pPr>
        <w:pStyle w:val="7"/>
        <w:keepNext w:val="0"/>
        <w:keepLines w:val="0"/>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77C5E17D">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5124DFA3">
      <w:pPr>
        <w:pStyle w:val="7"/>
        <w:keepNext w:val="0"/>
        <w:keepLines w:val="0"/>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31.2中标人享受《政府采购促进中小企业发展管理办法》（财库〔2020〕46号）规定的中小企业扶持政策的，采购人、采购代理机构应当随中标结果公开中标人的《中小企业声明函》。</w:t>
      </w:r>
    </w:p>
    <w:p w14:paraId="00D93400">
      <w:pPr>
        <w:pStyle w:val="7"/>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32.发出中标通知书</w:t>
      </w:r>
    </w:p>
    <w:p w14:paraId="2DA79683">
      <w:pPr>
        <w:pStyle w:val="7"/>
        <w:keepNext w:val="0"/>
        <w:keepLines w:val="0"/>
        <w:spacing w:before="0" w:after="0" w:line="38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590DB1A2">
      <w:pPr>
        <w:pStyle w:val="7"/>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723D5C7C">
      <w:pPr>
        <w:pStyle w:val="7"/>
        <w:keepNext w:val="0"/>
        <w:keepLines w:val="0"/>
        <w:spacing w:before="0" w:after="0" w:line="38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w:t>
      </w:r>
    </w:p>
    <w:p w14:paraId="27BF6412">
      <w:pPr>
        <w:pStyle w:val="7"/>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34.合同授予标准</w:t>
      </w:r>
    </w:p>
    <w:p w14:paraId="72246B5C">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w:t>
      </w:r>
    </w:p>
    <w:p w14:paraId="30E093A5">
      <w:pPr>
        <w:pStyle w:val="7"/>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35.履约保证金</w:t>
      </w:r>
    </w:p>
    <w:p w14:paraId="155245E2">
      <w:pPr>
        <w:pStyle w:val="7"/>
        <w:keepNext w:val="0"/>
        <w:keepLines w:val="0"/>
        <w:spacing w:before="0" w:after="0" w:line="380" w:lineRule="exact"/>
        <w:ind w:firstLine="315" w:firstLineChars="150"/>
        <w:rPr>
          <w:rFonts w:ascii="宋体" w:hAnsi="宋体" w:cs="宋体"/>
          <w:b w:val="0"/>
          <w:color w:val="auto"/>
          <w:sz w:val="21"/>
          <w:szCs w:val="21"/>
          <w:highlight w:val="none"/>
        </w:rPr>
      </w:pPr>
      <w:bookmarkStart w:id="127" w:name="_39.1中标人须于签订合同前按本须知前附表规定的金额转账或电汇到指定账"/>
      <w:bookmarkEnd w:id="127"/>
      <w:r>
        <w:rPr>
          <w:rFonts w:hint="eastAsia" w:ascii="宋体" w:hAnsi="宋体" w:cs="宋体"/>
          <w:b w:val="0"/>
          <w:color w:val="auto"/>
          <w:sz w:val="21"/>
          <w:szCs w:val="21"/>
          <w:highlight w:val="none"/>
        </w:rPr>
        <w:t>35.1 履约保证金的金额、提交方式、退付的时间和条件详见 “投标人须知前附表”。中标人未按规定提交履约保证金的，视为拒绝与采购人签订合同。</w:t>
      </w:r>
    </w:p>
    <w:p w14:paraId="209B65DC">
      <w:pPr>
        <w:pStyle w:val="7"/>
        <w:keepNext w:val="0"/>
        <w:keepLines w:val="0"/>
        <w:spacing w:before="0" w:after="0" w:line="380" w:lineRule="exact"/>
        <w:ind w:firstLine="315" w:firstLineChars="150"/>
        <w:rPr>
          <w:rFonts w:ascii="宋体" w:hAnsi="宋体" w:cs="宋体"/>
          <w:color w:val="auto"/>
          <w:sz w:val="21"/>
          <w:szCs w:val="21"/>
          <w:highlight w:val="none"/>
        </w:rPr>
      </w:pPr>
      <w:r>
        <w:rPr>
          <w:rFonts w:hint="eastAsia" w:ascii="宋体" w:hAnsi="宋体" w:cs="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433D3394">
      <w:pPr>
        <w:pStyle w:val="7"/>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36.签订合同</w:t>
      </w:r>
    </w:p>
    <w:p w14:paraId="6BD0F975">
      <w:pPr>
        <w:pStyle w:val="7"/>
        <w:keepNext w:val="0"/>
        <w:keepLines w:val="0"/>
        <w:spacing w:before="0" w:after="0" w:line="380" w:lineRule="exact"/>
        <w:ind w:firstLine="316" w:firstLineChars="150"/>
        <w:rPr>
          <w:rFonts w:ascii="宋体" w:hAnsi="宋体" w:cs="宋体"/>
          <w:b w:val="0"/>
          <w:color w:val="auto"/>
          <w:sz w:val="21"/>
          <w:szCs w:val="21"/>
          <w:highlight w:val="none"/>
        </w:rPr>
      </w:pPr>
      <w:bookmarkStart w:id="128" w:name="_40.1投标人接到中标通知书后，按须知前附表规定向采购人出示相关资格证"/>
      <w:bookmarkEnd w:id="128"/>
      <w:r>
        <w:rPr>
          <w:rFonts w:hint="eastAsia" w:ascii="宋体" w:hAnsi="宋体" w:cs="宋体"/>
          <w:color w:val="auto"/>
          <w:sz w:val="21"/>
          <w:szCs w:val="21"/>
          <w:highlight w:val="none"/>
        </w:rPr>
        <w:t>36.1签订电子采购合同：中标人领取电子中标通知书后，</w:t>
      </w:r>
      <w:r>
        <w:rPr>
          <w:rFonts w:hint="eastAsia" w:ascii="宋体" w:hAnsi="宋体" w:cs="宋体"/>
          <w:color w:val="auto"/>
          <w:kern w:val="0"/>
          <w:sz w:val="21"/>
          <w:szCs w:val="21"/>
          <w:highlight w:val="none"/>
        </w:rPr>
        <w:t>在</w:t>
      </w:r>
      <w:r>
        <w:rPr>
          <w:rFonts w:hint="eastAsia" w:ascii="宋体" w:hAnsi="宋体" w:cs="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42E06883">
      <w:pPr>
        <w:pStyle w:val="7"/>
        <w:keepNext w:val="0"/>
        <w:keepLines w:val="0"/>
        <w:spacing w:before="0" w:after="0" w:line="38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69854DF0">
      <w:pPr>
        <w:pStyle w:val="7"/>
        <w:keepNext w:val="0"/>
        <w:keepLines w:val="0"/>
        <w:numPr>
          <w:ilvl w:val="0"/>
          <w:numId w:val="0"/>
        </w:numPr>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w:t>
      </w:r>
    </w:p>
    <w:p w14:paraId="36C5335C">
      <w:pPr>
        <w:pStyle w:val="7"/>
        <w:keepNext w:val="0"/>
        <w:keepLines w:val="0"/>
        <w:spacing w:before="0" w:after="0" w:line="38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66CFC1AA">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E8BD7A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36.5采购人或中标人不得单方面向合同另一方提出任何招标文件没有约定的条件或不合理的要求，作为签订合同的条件；也不得协商另行订立背离招标文件和合同实质性内容的协议。</w:t>
      </w:r>
    </w:p>
    <w:p w14:paraId="2C15710F">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36.6如签订合同并生效后，供应商无故拒绝或延期，除按照合同条款处理外，将承担相应的法律责任。</w:t>
      </w:r>
    </w:p>
    <w:p w14:paraId="2B74D0C8">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36.7政府采购合同履行中，采购人需追加与合同标的相同的货物、工程或者服务的，在不改变合同其他条款的前提下，可以与供应商协商签订补充合同。</w:t>
      </w:r>
    </w:p>
    <w:p w14:paraId="1832A06B">
      <w:pPr>
        <w:pStyle w:val="7"/>
        <w:keepNext w:val="0"/>
        <w:keepLines w:val="0"/>
        <w:spacing w:before="0" w:after="0" w:line="380" w:lineRule="exact"/>
        <w:ind w:left="420" w:leftChars="200"/>
        <w:rPr>
          <w:rFonts w:ascii="宋体" w:hAnsi="宋体" w:cs="宋体"/>
          <w:color w:val="auto"/>
          <w:sz w:val="24"/>
          <w:highlight w:val="none"/>
        </w:rPr>
      </w:pPr>
      <w:bookmarkStart w:id="129" w:name="_41.政府采购合同公告"/>
      <w:bookmarkEnd w:id="129"/>
      <w:r>
        <w:rPr>
          <w:rFonts w:hint="eastAsia" w:ascii="宋体" w:hAnsi="宋体" w:cs="宋体"/>
          <w:color w:val="auto"/>
          <w:sz w:val="24"/>
          <w:highlight w:val="none"/>
        </w:rPr>
        <w:t>37.政府采购合同公告</w:t>
      </w:r>
    </w:p>
    <w:p w14:paraId="6168A845">
      <w:pPr>
        <w:pStyle w:val="25"/>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61A46072">
      <w:pPr>
        <w:pStyle w:val="7"/>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7E9C8284">
      <w:pPr>
        <w:pStyle w:val="8"/>
        <w:spacing w:line="340" w:lineRule="exact"/>
        <w:rPr>
          <w:rFonts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5C81BA65">
      <w:pPr>
        <w:pStyle w:val="7"/>
        <w:keepNext w:val="0"/>
        <w:keepLines w:val="0"/>
        <w:spacing w:before="0" w:after="0" w:line="34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6EE85B99">
      <w:pPr>
        <w:pStyle w:val="25"/>
        <w:snapToGrid w:val="0"/>
        <w:spacing w:line="340" w:lineRule="exact"/>
        <w:ind w:firstLine="420" w:firstLineChars="200"/>
        <w:rPr>
          <w:rFonts w:hAnsi="宋体" w:cs="宋体"/>
          <w:color w:val="auto"/>
          <w:sz w:val="21"/>
          <w:highlight w:val="none"/>
        </w:rPr>
      </w:pPr>
      <w:r>
        <w:rPr>
          <w:rFonts w:hint="eastAsia" w:hAnsi="宋体" w:cs="宋体"/>
          <w:color w:val="auto"/>
          <w:sz w:val="21"/>
          <w:highlight w:val="none"/>
        </w:rPr>
        <w:t>（1）对可以质疑的招标文件提出质疑的，为收到招标文件之日或者招标文件公告期限届满之日；</w:t>
      </w:r>
    </w:p>
    <w:p w14:paraId="1D0ADD43">
      <w:pPr>
        <w:pStyle w:val="25"/>
        <w:snapToGrid w:val="0"/>
        <w:spacing w:line="340" w:lineRule="exact"/>
        <w:ind w:firstLine="420" w:firstLineChars="200"/>
        <w:rPr>
          <w:rFonts w:hAnsi="宋体" w:cs="宋体"/>
          <w:color w:val="auto"/>
          <w:sz w:val="21"/>
          <w:highlight w:val="none"/>
        </w:rPr>
      </w:pPr>
      <w:r>
        <w:rPr>
          <w:rFonts w:hint="eastAsia" w:hAnsi="宋体" w:cs="宋体"/>
          <w:color w:val="auto"/>
          <w:sz w:val="21"/>
          <w:highlight w:val="none"/>
        </w:rPr>
        <w:t>（2）对采购过程提出质疑的，为各采购程序环节结束之日；</w:t>
      </w:r>
    </w:p>
    <w:p w14:paraId="35D7DFB6">
      <w:pPr>
        <w:pStyle w:val="25"/>
        <w:snapToGrid w:val="0"/>
        <w:spacing w:line="340" w:lineRule="exact"/>
        <w:ind w:firstLine="420" w:firstLineChars="200"/>
        <w:rPr>
          <w:rFonts w:hAnsi="宋体" w:cs="宋体"/>
          <w:bCs/>
          <w:color w:val="auto"/>
          <w:sz w:val="21"/>
          <w:highlight w:val="none"/>
        </w:rPr>
      </w:pPr>
      <w:r>
        <w:rPr>
          <w:rFonts w:hint="eastAsia" w:hAnsi="宋体" w:cs="宋体"/>
          <w:color w:val="auto"/>
          <w:sz w:val="21"/>
          <w:highlight w:val="none"/>
        </w:rPr>
        <w:t>（3）对中标结果提出质疑的，为中标结果公告期限届满之日。</w:t>
      </w:r>
    </w:p>
    <w:p w14:paraId="14DE183D">
      <w:pPr>
        <w:pStyle w:val="7"/>
        <w:keepNext w:val="0"/>
        <w:keepLines w:val="0"/>
        <w:spacing w:before="0" w:after="0" w:line="34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38.3</w:t>
      </w:r>
      <w:r>
        <w:rPr>
          <w:rFonts w:hint="eastAsia" w:ascii="宋体" w:hAnsi="宋体" w:cs="宋体"/>
          <w:b w:val="0"/>
          <w:bCs/>
          <w:color w:val="auto"/>
          <w:sz w:val="21"/>
          <w:highlight w:val="none"/>
        </w:rPr>
        <w:t>供应商提出质疑应当提交质疑函和必要的证明材料，针对同一采购程序环节的质疑必须在法定质疑期内一次性提出。质疑函应当包括下列内容（质疑函格式后附）：</w:t>
      </w:r>
    </w:p>
    <w:p w14:paraId="67630A01">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（1）供应商的姓名或者名称、地址、邮编、联系人及联系电话；</w:t>
      </w:r>
    </w:p>
    <w:p w14:paraId="63E2AF77">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（2）质疑项目的名称、编号；</w:t>
      </w:r>
    </w:p>
    <w:p w14:paraId="7A76E666">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（3）具体、明确的质疑事项和与质疑事项相关的请求；</w:t>
      </w:r>
    </w:p>
    <w:p w14:paraId="405C99BE">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（4）事实依据；</w:t>
      </w:r>
    </w:p>
    <w:p w14:paraId="7F82BB59">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（5）必要的法律依据；</w:t>
      </w:r>
    </w:p>
    <w:p w14:paraId="4D8ACBBE">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（6）提出质疑的日期。</w:t>
      </w:r>
    </w:p>
    <w:p w14:paraId="5679EA1F">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供应商为自然人的，应当由本人签字；供应商为法人或者其他组织的，应当由法定代表人、主要负责人，或者其委托代理人签字或者盖章，并加盖公章。</w:t>
      </w:r>
    </w:p>
    <w:p w14:paraId="3029FF0A">
      <w:pPr>
        <w:pStyle w:val="7"/>
        <w:keepNext w:val="0"/>
        <w:keepLines w:val="0"/>
        <w:snapToGrid w:val="0"/>
        <w:spacing w:before="0" w:after="0" w:line="340" w:lineRule="exact"/>
        <w:ind w:firstLine="420" w:firstLineChars="200"/>
        <w:rPr>
          <w:rFonts w:ascii="宋体" w:hAnsi="宋体" w:cs="宋体"/>
          <w:b w:val="0"/>
          <w:bCs/>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3D487B9D">
      <w:pPr>
        <w:pStyle w:val="25"/>
        <w:snapToGrid w:val="0"/>
        <w:spacing w:line="340" w:lineRule="exact"/>
        <w:rPr>
          <w:rFonts w:hAnsi="宋体" w:cs="宋体"/>
          <w:bCs/>
          <w:color w:val="auto"/>
          <w:sz w:val="21"/>
          <w:highlight w:val="none"/>
        </w:rPr>
      </w:pPr>
      <w:r>
        <w:rPr>
          <w:rFonts w:hint="eastAsia" w:hAnsi="宋体" w:cs="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71802124">
      <w:pPr>
        <w:pStyle w:val="25"/>
        <w:snapToGrid w:val="0"/>
        <w:spacing w:line="340" w:lineRule="exact"/>
        <w:rPr>
          <w:rFonts w:hAnsi="宋体" w:cs="宋体"/>
          <w:bCs/>
          <w:color w:val="auto"/>
          <w:sz w:val="21"/>
          <w:highlight w:val="none"/>
        </w:rPr>
      </w:pPr>
      <w:r>
        <w:rPr>
          <w:rFonts w:hint="eastAsia" w:hAnsi="宋体" w:cs="宋体"/>
          <w:bCs/>
          <w:color w:val="auto"/>
          <w:sz w:val="21"/>
          <w:highlight w:val="none"/>
        </w:rPr>
        <w:t>　　（二）对采购过程、中标结果提出的质疑，合格供应商符合法定数量时，可以从合格的中标候选人中另行确定中标人的，应当依法另行确定中标人；否则应当重新开展采购活动。</w:t>
      </w:r>
    </w:p>
    <w:p w14:paraId="1A0CD195">
      <w:pPr>
        <w:pStyle w:val="25"/>
        <w:snapToGrid w:val="0"/>
        <w:spacing w:line="340" w:lineRule="exact"/>
        <w:ind w:firstLine="420"/>
        <w:rPr>
          <w:rFonts w:hAnsi="宋体" w:cs="宋体"/>
          <w:bCs/>
          <w:color w:val="auto"/>
          <w:sz w:val="21"/>
          <w:highlight w:val="none"/>
        </w:rPr>
      </w:pPr>
      <w:r>
        <w:rPr>
          <w:rFonts w:hint="eastAsia" w:hAnsi="宋体" w:cs="宋体"/>
          <w:bCs/>
          <w:color w:val="auto"/>
          <w:sz w:val="21"/>
          <w:highlight w:val="none"/>
        </w:rPr>
        <w:t>质疑答复导致中标结果改变的，采购人或者采购代理机构应当将有关情况书面报告本级财政部门。</w:t>
      </w:r>
    </w:p>
    <w:p w14:paraId="0493CBB8">
      <w:pPr>
        <w:pStyle w:val="25"/>
        <w:snapToGrid w:val="0"/>
        <w:spacing w:line="340" w:lineRule="exact"/>
        <w:ind w:firstLine="420" w:firstLineChars="200"/>
        <w:rPr>
          <w:rFonts w:hAnsi="宋体" w:cs="宋体"/>
          <w:color w:val="auto"/>
          <w:sz w:val="21"/>
          <w:highlight w:val="none"/>
        </w:rPr>
      </w:pPr>
      <w:r>
        <w:rPr>
          <w:rFonts w:hint="eastAsia" w:hAnsi="宋体" w:cs="宋体"/>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EB1A28C">
      <w:pPr>
        <w:pStyle w:val="6"/>
        <w:keepNext w:val="0"/>
        <w:keepLines w:val="0"/>
        <w:spacing w:line="340" w:lineRule="exact"/>
        <w:jc w:val="center"/>
        <w:rPr>
          <w:rFonts w:ascii="宋体" w:hAnsi="宋体" w:cs="宋体"/>
          <w:color w:val="auto"/>
          <w:highlight w:val="none"/>
        </w:rPr>
      </w:pPr>
      <w:r>
        <w:rPr>
          <w:rFonts w:hint="eastAsia" w:ascii="宋体" w:hAnsi="宋体" w:cs="宋体"/>
          <w:color w:val="auto"/>
          <w:highlight w:val="none"/>
        </w:rPr>
        <w:t>八、其他事项</w:t>
      </w:r>
    </w:p>
    <w:p w14:paraId="75D099F9">
      <w:pPr>
        <w:pStyle w:val="7"/>
        <w:keepNext w:val="0"/>
        <w:keepLines w:val="0"/>
        <w:spacing w:before="0" w:after="0" w:line="340" w:lineRule="exact"/>
        <w:ind w:left="420" w:leftChars="200"/>
        <w:rPr>
          <w:rFonts w:ascii="宋体" w:hAnsi="宋体" w:cs="宋体"/>
          <w:color w:val="auto"/>
          <w:sz w:val="24"/>
          <w:highlight w:val="none"/>
        </w:rPr>
      </w:pPr>
      <w:bookmarkStart w:id="130" w:name="_42.代理服务费"/>
      <w:bookmarkEnd w:id="130"/>
      <w:r>
        <w:rPr>
          <w:rFonts w:hint="eastAsia" w:ascii="宋体" w:hAnsi="宋体" w:cs="宋体"/>
          <w:color w:val="auto"/>
          <w:sz w:val="24"/>
          <w:highlight w:val="none"/>
        </w:rPr>
        <w:t>39.代理服务费</w:t>
      </w:r>
    </w:p>
    <w:p w14:paraId="3DC13B2C">
      <w:pPr>
        <w:pStyle w:val="7"/>
        <w:keepNext w:val="0"/>
        <w:keepLines w:val="0"/>
        <w:spacing w:before="0" w:after="0" w:line="3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代理服务收取标准及缴费账户详见“投标人须知前附表”，投标人为联合体的，可以由联合体中的一方或者多方共同交纳代理服务费。</w:t>
      </w:r>
    </w:p>
    <w:p w14:paraId="2677FE25">
      <w:pPr>
        <w:pStyle w:val="7"/>
        <w:keepNext w:val="0"/>
        <w:keepLines w:val="0"/>
        <w:spacing w:before="0" w:after="0" w:line="340" w:lineRule="exact"/>
        <w:ind w:left="420" w:leftChars="200"/>
        <w:rPr>
          <w:rFonts w:ascii="宋体" w:hAnsi="宋体" w:cs="宋体"/>
          <w:color w:val="auto"/>
          <w:sz w:val="24"/>
          <w:highlight w:val="none"/>
        </w:rPr>
      </w:pPr>
      <w:r>
        <w:rPr>
          <w:rFonts w:hint="eastAsia" w:ascii="宋体" w:hAnsi="宋体" w:cs="宋体"/>
          <w:color w:val="auto"/>
          <w:sz w:val="24"/>
          <w:highlight w:val="none"/>
        </w:rPr>
        <w:t>40. 需要补充的其他内容</w:t>
      </w:r>
    </w:p>
    <w:p w14:paraId="387F848B">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5958BDB3">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40.2 其他事项详见“投标人须知前附表”。</w:t>
      </w:r>
    </w:p>
    <w:p w14:paraId="6E7BAF7E">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40.3</w:t>
      </w:r>
      <w:bookmarkStart w:id="131"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1A44F84">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07551D93">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6917EFEC">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46F8594">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BD73CD6">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31"/>
    </w:p>
    <w:p w14:paraId="150A7633">
      <w:pPr>
        <w:pStyle w:val="7"/>
        <w:keepNext w:val="0"/>
        <w:keepLines w:val="0"/>
        <w:spacing w:before="0" w:after="0" w:line="400" w:lineRule="exact"/>
        <w:ind w:left="420" w:leftChars="200"/>
        <w:rPr>
          <w:rFonts w:ascii="宋体" w:hAnsi="宋体" w:cs="宋体"/>
          <w:color w:val="auto"/>
          <w:sz w:val="24"/>
          <w:highlight w:val="none"/>
        </w:rPr>
      </w:pPr>
      <w:r>
        <w:rPr>
          <w:rFonts w:hint="eastAsia" w:ascii="宋体" w:hAnsi="宋体" w:cs="宋体"/>
          <w:color w:val="auto"/>
          <w:sz w:val="24"/>
          <w:highlight w:val="none"/>
        </w:rPr>
        <w:t>41.广西线上“政采贷”政策详见附表2。</w:t>
      </w:r>
    </w:p>
    <w:p w14:paraId="70E3D2C3">
      <w:pPr>
        <w:widowControl/>
        <w:jc w:val="left"/>
        <w:rPr>
          <w:rFonts w:ascii="宋体" w:hAnsi="宋体" w:cs="宋体"/>
          <w:b/>
          <w:bCs/>
          <w:color w:val="auto"/>
          <w:sz w:val="24"/>
          <w:highlight w:val="none"/>
        </w:rPr>
      </w:pPr>
      <w:r>
        <w:rPr>
          <w:rFonts w:hint="eastAsia" w:ascii="宋体" w:hAnsi="宋体" w:cs="宋体"/>
          <w:b/>
          <w:bCs/>
          <w:color w:val="auto"/>
          <w:sz w:val="24"/>
          <w:highlight w:val="none"/>
        </w:rPr>
        <w:br w:type="page"/>
      </w:r>
    </w:p>
    <w:p w14:paraId="27821BD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附表1：</w:t>
      </w:r>
    </w:p>
    <w:p w14:paraId="226E15E5">
      <w:pPr>
        <w:spacing w:line="360" w:lineRule="auto"/>
        <w:ind w:left="25" w:leftChars="12" w:firstLine="472" w:firstLineChars="147"/>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6C51D34B">
      <w:pPr>
        <w:spacing w:after="120"/>
        <w:rPr>
          <w:rFonts w:ascii="宋体" w:hAnsi="宋体" w:cs="宋体"/>
          <w:color w:val="auto"/>
          <w:highlight w:val="none"/>
        </w:rPr>
      </w:pPr>
    </w:p>
    <w:p w14:paraId="0CD5908B">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47"/>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6F7F3CF5">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1B01EA9">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22E6DF49">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3DD8ED13">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7D0947E7">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1F729D21">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50D82EBB">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2BB4C37B">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2A292944">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38B7180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DF474B6">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EAA9AAF">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9F743AB">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115BF3C">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BF0BF62">
            <w:pPr>
              <w:widowControl/>
              <w:spacing w:before="100" w:beforeAutospacing="1" w:after="100" w:afterAutospacing="1" w:line="240" w:lineRule="atLeast"/>
              <w:jc w:val="center"/>
              <w:rPr>
                <w:rFonts w:ascii="宋体" w:hAnsi="宋体" w:cs="宋体"/>
                <w:color w:val="auto"/>
                <w:kern w:val="0"/>
                <w:szCs w:val="21"/>
                <w:highlight w:val="none"/>
              </w:rPr>
            </w:pPr>
          </w:p>
        </w:tc>
      </w:tr>
      <w:tr w14:paraId="02571282">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E3E7CBC">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350F27C">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1AAF3A40">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B206EC7">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EB1F01C">
            <w:pPr>
              <w:widowControl/>
              <w:spacing w:before="100" w:beforeAutospacing="1" w:after="100" w:afterAutospacing="1" w:line="240" w:lineRule="atLeast"/>
              <w:jc w:val="center"/>
              <w:rPr>
                <w:rFonts w:ascii="宋体" w:hAnsi="宋体" w:cs="宋体"/>
                <w:color w:val="auto"/>
                <w:kern w:val="0"/>
                <w:szCs w:val="21"/>
                <w:highlight w:val="none"/>
              </w:rPr>
            </w:pPr>
          </w:p>
        </w:tc>
      </w:tr>
      <w:tr w14:paraId="020321C9">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209A470B">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14:paraId="5B755D0C">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2A9A5F0F">
            <w:pPr>
              <w:widowControl/>
              <w:spacing w:before="100" w:beforeAutospacing="1" w:after="100" w:afterAutospacing="1" w:line="240" w:lineRule="atLeast"/>
              <w:jc w:val="center"/>
              <w:rPr>
                <w:rFonts w:ascii="宋体" w:hAnsi="宋体" w:cs="宋体"/>
                <w:color w:val="auto"/>
                <w:kern w:val="0"/>
                <w:szCs w:val="21"/>
                <w:highlight w:val="none"/>
              </w:rPr>
            </w:pPr>
          </w:p>
        </w:tc>
      </w:tr>
      <w:tr w14:paraId="781ADB14">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73C935C1">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合计大写金额：仟佰拾万仟佰拾元</w:t>
            </w:r>
          </w:p>
        </w:tc>
      </w:tr>
      <w:tr w14:paraId="72E6B326">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3102CCF">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42B8B534">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159357D4">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0EC8AE98">
            <w:pPr>
              <w:widowControl/>
              <w:spacing w:before="100" w:beforeAutospacing="1" w:after="100" w:afterAutospacing="1" w:line="240" w:lineRule="atLeast"/>
              <w:jc w:val="center"/>
              <w:rPr>
                <w:rFonts w:ascii="宋体" w:hAnsi="宋体" w:cs="宋体"/>
                <w:color w:val="auto"/>
                <w:kern w:val="0"/>
                <w:szCs w:val="21"/>
                <w:highlight w:val="none"/>
              </w:rPr>
            </w:pPr>
          </w:p>
        </w:tc>
      </w:tr>
      <w:tr w14:paraId="313C22E7">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3EAFAE2B">
            <w:pPr>
              <w:widowControl/>
              <w:spacing w:before="100" w:beforeAutospacing="1" w:after="100" w:afterAutospacing="1" w:line="240" w:lineRule="atLeast"/>
              <w:jc w:val="center"/>
              <w:rPr>
                <w:rFonts w:ascii="宋体" w:hAnsi="宋体"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47BFF75A">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E21A99D">
            <w:pPr>
              <w:widowControl/>
              <w:spacing w:before="100" w:beforeAutospacing="1" w:after="100" w:afterAutospacing="1" w:line="240" w:lineRule="atLeast"/>
              <w:jc w:val="center"/>
              <w:rPr>
                <w:rFonts w:ascii="宋体" w:hAnsi="宋体"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06166D61">
            <w:pPr>
              <w:widowControl/>
              <w:spacing w:before="100" w:beforeAutospacing="1" w:after="100" w:afterAutospacing="1" w:line="240" w:lineRule="atLeast"/>
              <w:jc w:val="center"/>
              <w:rPr>
                <w:rFonts w:ascii="宋体" w:hAnsi="宋体" w:cs="宋体"/>
                <w:color w:val="auto"/>
                <w:kern w:val="0"/>
                <w:szCs w:val="21"/>
                <w:highlight w:val="none"/>
              </w:rPr>
            </w:pPr>
          </w:p>
        </w:tc>
      </w:tr>
      <w:tr w14:paraId="3581D88F">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0DCDC5">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0BA11EE1">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招标文件、投标文件及验收方案等进行验收；并核对中标人在安装调试等方面是否违反合同约定或者服务规范要求、提供的质量保证证明材料是否齐全、应有的配件及附件是否达到合同约定等。可附件)</w:t>
            </w:r>
          </w:p>
        </w:tc>
      </w:tr>
      <w:tr w14:paraId="63F46B04">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812439">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212EDB8F">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33CED95E">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1C581774">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304610E4">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2D1ADD2A">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532E9226">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10645D">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5740514A">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AAF1A8">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5348D92B">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46EABC76">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12BB3DFC">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中标人负责人签字或者盖章：</w:t>
            </w:r>
          </w:p>
          <w:p w14:paraId="057A6110">
            <w:pPr>
              <w:widowControl/>
              <w:spacing w:before="100" w:beforeAutospacing="1" w:after="100" w:afterAutospacing="1" w:line="320" w:lineRule="atLeast"/>
              <w:jc w:val="left"/>
              <w:rPr>
                <w:rFonts w:ascii="宋体" w:hAnsi="宋体" w:cs="宋体"/>
                <w:color w:val="auto"/>
                <w:kern w:val="0"/>
                <w:szCs w:val="21"/>
                <w:highlight w:val="none"/>
              </w:rPr>
            </w:pPr>
          </w:p>
          <w:p w14:paraId="64C8E72E">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6C860BC6">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2AA0FE69">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14:paraId="618AA276">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5772EB0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br w:type="page"/>
      </w:r>
    </w:p>
    <w:p w14:paraId="43D6B9F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附表2：</w:t>
      </w:r>
    </w:p>
    <w:p w14:paraId="6944979D">
      <w:pPr>
        <w:rPr>
          <w:rFonts w:ascii="宋体" w:hAnsi="宋体" w:cs="宋体"/>
          <w:b/>
          <w:color w:val="auto"/>
          <w:sz w:val="24"/>
          <w:highlight w:val="none"/>
        </w:rPr>
      </w:pPr>
      <w:r>
        <w:rPr>
          <w:rFonts w:hint="eastAsia" w:ascii="宋体" w:hAnsi="宋体" w:cs="宋体"/>
          <w:b/>
          <w:color w:val="auto"/>
          <w:kern w:val="0"/>
          <w:sz w:val="24"/>
          <w:szCs w:val="21"/>
          <w:highlight w:val="none"/>
        </w:rPr>
        <w:drawing>
          <wp:inline distT="0" distB="0" distL="0" distR="0">
            <wp:extent cx="5287010" cy="5821045"/>
            <wp:effectExtent l="19050" t="0" r="8890" b="0"/>
            <wp:docPr id="2" name="图片 2" descr="C:\Users\Administrator\AppData\Roaming\Tencent\Users\84332323\QQ\WinTemp\RichOle\IBTSMDNQID2EUB%25252525252525252525257b1%25252525252525252525255d6~P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84332323\QQ\WinTemp\RichOle\IBTSMDNQID2EUB%25252525252525252525257b1%25252525252525252525255d6~PD(5.png"/>
                    <pic:cNvPicPr>
                      <a:picLocks noChangeAspect="1" noChangeArrowheads="1"/>
                    </pic:cNvPicPr>
                  </pic:nvPicPr>
                  <pic:blipFill>
                    <a:blip r:embed="rId16" r:link="rId17" cstate="print"/>
                    <a:srcRect/>
                    <a:stretch>
                      <a:fillRect/>
                    </a:stretch>
                  </pic:blipFill>
                  <pic:spPr>
                    <a:xfrm>
                      <a:off x="0" y="0"/>
                      <a:ext cx="5287010" cy="5821045"/>
                    </a:xfrm>
                    <a:prstGeom prst="rect">
                      <a:avLst/>
                    </a:prstGeom>
                    <a:noFill/>
                    <a:ln w="9525">
                      <a:noFill/>
                      <a:miter lim="800000"/>
                      <a:headEnd/>
                      <a:tailEnd/>
                    </a:ln>
                  </pic:spPr>
                </pic:pic>
              </a:graphicData>
            </a:graphic>
          </wp:inline>
        </w:drawing>
      </w:r>
    </w:p>
    <w:p w14:paraId="1C35B171">
      <w:pPr>
        <w:rPr>
          <w:rFonts w:ascii="宋体" w:hAnsi="宋体" w:cs="宋体"/>
          <w:b/>
          <w:color w:val="auto"/>
          <w:sz w:val="24"/>
          <w:highlight w:val="none"/>
        </w:rPr>
      </w:pPr>
    </w:p>
    <w:p w14:paraId="69CE5512">
      <w:pPr>
        <w:pStyle w:val="25"/>
        <w:spacing w:before="120" w:after="120" w:line="400" w:lineRule="exact"/>
        <w:ind w:firstLine="420" w:firstLineChars="200"/>
        <w:contextualSpacing/>
        <w:rPr>
          <w:rFonts w:hAnsi="宋体" w:cs="宋体"/>
          <w:color w:val="auto"/>
          <w:sz w:val="21"/>
          <w:highlight w:val="none"/>
        </w:rPr>
      </w:pPr>
    </w:p>
    <w:p w14:paraId="3B601D0A">
      <w:pPr>
        <w:widowControl/>
        <w:jc w:val="left"/>
        <w:rPr>
          <w:rFonts w:ascii="宋体" w:hAnsi="宋体" w:cs="宋体"/>
          <w:color w:val="auto"/>
          <w:kern w:val="0"/>
          <w:szCs w:val="21"/>
          <w:highlight w:val="none"/>
        </w:rPr>
      </w:pPr>
      <w:r>
        <w:rPr>
          <w:rFonts w:hint="eastAsia" w:ascii="宋体" w:hAnsi="宋体" w:cs="宋体"/>
          <w:color w:val="auto"/>
          <w:highlight w:val="none"/>
        </w:rPr>
        <w:br w:type="page"/>
      </w:r>
    </w:p>
    <w:p w14:paraId="03080FC1">
      <w:pPr>
        <w:pStyle w:val="25"/>
        <w:spacing w:before="120" w:after="120" w:line="400" w:lineRule="exact"/>
        <w:ind w:firstLine="420" w:firstLineChars="200"/>
        <w:contextualSpacing/>
        <w:rPr>
          <w:rFonts w:hAnsi="宋体" w:cs="宋体"/>
          <w:color w:val="auto"/>
          <w:sz w:val="21"/>
          <w:highlight w:val="none"/>
        </w:rPr>
      </w:pPr>
    </w:p>
    <w:p w14:paraId="03880534">
      <w:pPr>
        <w:pStyle w:val="20"/>
        <w:ind w:left="479" w:leftChars="114" w:hanging="240" w:hangingChars="100"/>
        <w:rPr>
          <w:rFonts w:ascii="宋体" w:hAnsi="宋体" w:cs="宋体"/>
          <w:color w:val="auto"/>
          <w:highlight w:val="none"/>
        </w:rPr>
      </w:pPr>
    </w:p>
    <w:p w14:paraId="47724E14">
      <w:pPr>
        <w:pStyle w:val="25"/>
        <w:snapToGrid w:val="0"/>
        <w:spacing w:before="120" w:after="120"/>
        <w:rPr>
          <w:rFonts w:hAnsi="宋体" w:cs="宋体"/>
          <w:color w:val="auto"/>
          <w:highlight w:val="none"/>
        </w:rPr>
      </w:pPr>
    </w:p>
    <w:p w14:paraId="7A735C03">
      <w:pPr>
        <w:pStyle w:val="25"/>
        <w:snapToGrid w:val="0"/>
        <w:spacing w:before="120" w:after="120"/>
        <w:rPr>
          <w:rFonts w:hAnsi="宋体" w:cs="宋体"/>
          <w:color w:val="auto"/>
          <w:highlight w:val="none"/>
        </w:rPr>
      </w:pPr>
    </w:p>
    <w:p w14:paraId="6D91C3E7">
      <w:pPr>
        <w:pStyle w:val="25"/>
        <w:snapToGrid w:val="0"/>
        <w:spacing w:before="120" w:after="120"/>
        <w:rPr>
          <w:rFonts w:hAnsi="宋体" w:cs="宋体"/>
          <w:color w:val="auto"/>
          <w:highlight w:val="none"/>
        </w:rPr>
      </w:pPr>
    </w:p>
    <w:p w14:paraId="23126861">
      <w:pPr>
        <w:pStyle w:val="25"/>
        <w:snapToGrid w:val="0"/>
        <w:spacing w:before="120" w:after="120"/>
        <w:rPr>
          <w:rFonts w:hAnsi="宋体" w:cs="宋体"/>
          <w:color w:val="auto"/>
          <w:highlight w:val="none"/>
        </w:rPr>
      </w:pPr>
    </w:p>
    <w:p w14:paraId="7DC382F7">
      <w:pPr>
        <w:pStyle w:val="25"/>
        <w:snapToGrid w:val="0"/>
        <w:spacing w:before="120" w:after="120"/>
        <w:rPr>
          <w:rFonts w:hAnsi="宋体" w:cs="宋体"/>
          <w:color w:val="auto"/>
          <w:highlight w:val="none"/>
        </w:rPr>
      </w:pPr>
    </w:p>
    <w:p w14:paraId="66B880F4">
      <w:pPr>
        <w:pStyle w:val="25"/>
        <w:snapToGrid w:val="0"/>
        <w:spacing w:before="120" w:after="120"/>
        <w:rPr>
          <w:rFonts w:hAnsi="宋体" w:cs="宋体"/>
          <w:color w:val="auto"/>
          <w:highlight w:val="none"/>
        </w:rPr>
      </w:pPr>
    </w:p>
    <w:p w14:paraId="750AC858">
      <w:pPr>
        <w:pStyle w:val="25"/>
        <w:snapToGrid w:val="0"/>
        <w:spacing w:before="120" w:after="120"/>
        <w:rPr>
          <w:rFonts w:hAnsi="宋体" w:cs="宋体"/>
          <w:color w:val="auto"/>
          <w:highlight w:val="none"/>
        </w:rPr>
      </w:pPr>
    </w:p>
    <w:p w14:paraId="7BFB7D9D">
      <w:pPr>
        <w:pStyle w:val="4"/>
        <w:jc w:val="center"/>
        <w:rPr>
          <w:rFonts w:ascii="宋体" w:hAnsi="宋体" w:cs="宋体"/>
          <w:color w:val="auto"/>
          <w:highlight w:val="none"/>
        </w:rPr>
      </w:pPr>
      <w:bookmarkStart w:id="132" w:name="_Toc254970548"/>
      <w:bookmarkStart w:id="133" w:name="_Toc330456896"/>
      <w:bookmarkStart w:id="134" w:name="_Toc74320803"/>
      <w:bookmarkStart w:id="135" w:name="_Toc254970689"/>
    </w:p>
    <w:p w14:paraId="3F51CB37">
      <w:pPr>
        <w:rPr>
          <w:rFonts w:ascii="宋体" w:hAnsi="宋体" w:cs="宋体"/>
          <w:color w:val="auto"/>
          <w:highlight w:val="none"/>
        </w:rPr>
      </w:pPr>
    </w:p>
    <w:p w14:paraId="64FBE80D">
      <w:pPr>
        <w:pStyle w:val="4"/>
        <w:jc w:val="center"/>
        <w:rPr>
          <w:rFonts w:ascii="宋体" w:hAnsi="宋体" w:cs="宋体"/>
          <w:color w:val="auto"/>
          <w:highlight w:val="none"/>
        </w:rPr>
      </w:pPr>
      <w:bookmarkStart w:id="136" w:name="_Toc143259164"/>
      <w:r>
        <w:rPr>
          <w:rFonts w:hint="eastAsia" w:ascii="宋体" w:hAnsi="宋体" w:cs="宋体"/>
          <w:color w:val="auto"/>
          <w:highlight w:val="none"/>
        </w:rPr>
        <w:t>第四章 评标方法及评标标准</w:t>
      </w:r>
      <w:bookmarkEnd w:id="132"/>
      <w:bookmarkEnd w:id="133"/>
      <w:bookmarkEnd w:id="134"/>
      <w:bookmarkEnd w:id="135"/>
      <w:bookmarkEnd w:id="136"/>
    </w:p>
    <w:p w14:paraId="53017DD2">
      <w:pPr>
        <w:pStyle w:val="25"/>
        <w:spacing w:before="120" w:after="120"/>
        <w:outlineLvl w:val="0"/>
        <w:rPr>
          <w:rFonts w:hAnsi="宋体" w:cs="宋体"/>
          <w:b/>
          <w:color w:val="auto"/>
          <w:highlight w:val="none"/>
        </w:rPr>
      </w:pPr>
      <w:bookmarkStart w:id="137" w:name="_Toc254970549"/>
      <w:bookmarkStart w:id="138" w:name="_Toc254970690"/>
    </w:p>
    <w:bookmarkEnd w:id="137"/>
    <w:bookmarkEnd w:id="138"/>
    <w:p w14:paraId="4FBC0213">
      <w:pPr>
        <w:pStyle w:val="25"/>
        <w:spacing w:before="120" w:after="120"/>
        <w:outlineLvl w:val="0"/>
        <w:rPr>
          <w:rFonts w:hAnsi="宋体" w:cs="宋体"/>
          <w:bCs/>
          <w:color w:val="auto"/>
          <w:sz w:val="32"/>
          <w:szCs w:val="32"/>
          <w:highlight w:val="none"/>
        </w:rPr>
      </w:pPr>
    </w:p>
    <w:p w14:paraId="7782C698">
      <w:pPr>
        <w:pStyle w:val="25"/>
        <w:spacing w:before="120" w:after="120"/>
        <w:outlineLvl w:val="0"/>
        <w:rPr>
          <w:rFonts w:hAnsi="宋体" w:cs="宋体"/>
          <w:bCs/>
          <w:color w:val="auto"/>
          <w:sz w:val="32"/>
          <w:szCs w:val="32"/>
          <w:highlight w:val="none"/>
        </w:rPr>
      </w:pPr>
    </w:p>
    <w:p w14:paraId="4D496252">
      <w:pPr>
        <w:pStyle w:val="25"/>
        <w:spacing w:before="120" w:after="120"/>
        <w:outlineLvl w:val="0"/>
        <w:rPr>
          <w:rFonts w:hAnsi="宋体" w:cs="宋体"/>
          <w:bCs/>
          <w:color w:val="auto"/>
          <w:sz w:val="32"/>
          <w:szCs w:val="32"/>
          <w:highlight w:val="none"/>
        </w:rPr>
      </w:pPr>
    </w:p>
    <w:p w14:paraId="03A569DD">
      <w:pPr>
        <w:pStyle w:val="25"/>
        <w:spacing w:before="120" w:after="120"/>
        <w:outlineLvl w:val="0"/>
        <w:rPr>
          <w:rFonts w:hAnsi="宋体" w:cs="宋体"/>
          <w:bCs/>
          <w:color w:val="auto"/>
          <w:sz w:val="32"/>
          <w:szCs w:val="32"/>
          <w:highlight w:val="none"/>
        </w:rPr>
      </w:pPr>
    </w:p>
    <w:p w14:paraId="708C6905">
      <w:pPr>
        <w:pStyle w:val="25"/>
        <w:spacing w:before="120" w:after="120"/>
        <w:outlineLvl w:val="0"/>
        <w:rPr>
          <w:rFonts w:hAnsi="宋体" w:cs="宋体"/>
          <w:bCs/>
          <w:color w:val="auto"/>
          <w:sz w:val="32"/>
          <w:szCs w:val="32"/>
          <w:highlight w:val="none"/>
        </w:rPr>
      </w:pPr>
    </w:p>
    <w:p w14:paraId="67B32BFC">
      <w:pPr>
        <w:widowControl/>
        <w:jc w:val="left"/>
        <w:rPr>
          <w:rFonts w:ascii="宋体" w:hAnsi="宋体" w:cs="宋体"/>
          <w:b/>
          <w:bCs/>
          <w:color w:val="auto"/>
          <w:kern w:val="0"/>
          <w:sz w:val="30"/>
          <w:szCs w:val="30"/>
          <w:highlight w:val="none"/>
        </w:rPr>
      </w:pPr>
      <w:r>
        <w:rPr>
          <w:rFonts w:hint="eastAsia" w:ascii="宋体" w:hAnsi="宋体" w:cs="宋体"/>
          <w:color w:val="auto"/>
          <w:sz w:val="30"/>
          <w:szCs w:val="30"/>
          <w:highlight w:val="none"/>
        </w:rPr>
        <w:br w:type="page"/>
      </w:r>
    </w:p>
    <w:p w14:paraId="026FCC69">
      <w:pPr>
        <w:pStyle w:val="6"/>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一、评标方法</w:t>
      </w:r>
    </w:p>
    <w:p w14:paraId="65EC1651">
      <w:pPr>
        <w:pStyle w:val="25"/>
        <w:spacing w:line="360" w:lineRule="auto"/>
        <w:ind w:firstLine="420"/>
        <w:rPr>
          <w:rFonts w:hAnsi="宋体" w:cs="宋体"/>
          <w:color w:val="auto"/>
          <w:sz w:val="21"/>
          <w:highlight w:val="none"/>
        </w:rPr>
      </w:pPr>
      <w:r>
        <w:rPr>
          <w:rFonts w:hint="eastAsia" w:hAnsi="宋体" w:cs="宋体"/>
          <w:color w:val="auto"/>
          <w:sz w:val="21"/>
          <w:highlight w:val="none"/>
        </w:rPr>
        <w:t>综合评分法，是指投标文件满足招标文件全部实质性要求，且按照评审因素的量化指标评审得分最高的投标人为中标候选人的评标方法。</w:t>
      </w:r>
    </w:p>
    <w:p w14:paraId="127B57C3">
      <w:pPr>
        <w:pStyle w:val="25"/>
        <w:spacing w:line="360" w:lineRule="auto"/>
        <w:ind w:firstLine="420"/>
        <w:rPr>
          <w:rFonts w:hAnsi="宋体" w:cs="宋体"/>
          <w:color w:val="auto"/>
          <w:sz w:val="21"/>
          <w:highlight w:val="none"/>
        </w:rPr>
      </w:pPr>
      <w:r>
        <w:rPr>
          <w:rFonts w:hint="eastAsia" w:hAnsi="宋体" w:cs="宋体"/>
          <w:color w:val="auto"/>
          <w:sz w:val="21"/>
          <w:highlight w:val="none"/>
        </w:rPr>
        <w:t>最低评标价法，是指投标文件满足招标文件全部实质性要求，且投标报价最低的投标人为中标候选人的评标方法。</w:t>
      </w:r>
    </w:p>
    <w:p w14:paraId="06DAAD30">
      <w:pPr>
        <w:pStyle w:val="6"/>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二、评标程序</w:t>
      </w:r>
    </w:p>
    <w:p w14:paraId="0E6D49E2">
      <w:pPr>
        <w:pStyle w:val="7"/>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1.符合性审查</w:t>
      </w:r>
    </w:p>
    <w:p w14:paraId="522A808F">
      <w:pPr>
        <w:pStyle w:val="25"/>
        <w:snapToGrid w:val="0"/>
        <w:spacing w:line="380" w:lineRule="exact"/>
        <w:ind w:left="1" w:firstLine="420"/>
        <w:rPr>
          <w:rFonts w:hAnsi="宋体" w:cs="宋体"/>
          <w:b/>
          <w:color w:val="auto"/>
          <w:kern w:val="2"/>
          <w:sz w:val="21"/>
          <w:highlight w:val="none"/>
        </w:rPr>
      </w:pPr>
      <w:r>
        <w:rPr>
          <w:rFonts w:hint="eastAsia" w:hAnsi="宋体" w:cs="宋体"/>
          <w:b/>
          <w:color w:val="auto"/>
          <w:kern w:val="2"/>
          <w:sz w:val="21"/>
          <w:highlight w:val="none"/>
        </w:rPr>
        <w:t>评标委员会应当对符合资格的投标人的投标文件进行投标报价、商务、技术等实质性内容符合性审查，以确定其是否满足招标文件的实质性要求。</w:t>
      </w:r>
    </w:p>
    <w:p w14:paraId="018EC881">
      <w:pPr>
        <w:pStyle w:val="7"/>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14:paraId="0FC14FC9">
      <w:p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14:paraId="78616744">
      <w:pPr>
        <w:pStyle w:val="7"/>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14:paraId="363D0338">
      <w:pPr>
        <w:pStyle w:val="8"/>
        <w:numPr>
          <w:ilvl w:val="0"/>
          <w:numId w:val="5"/>
        </w:numPr>
        <w:spacing w:line="380" w:lineRule="exact"/>
        <w:ind w:firstLine="422"/>
        <w:rPr>
          <w:rFonts w:ascii="宋体" w:hAnsi="宋体" w:cs="宋体"/>
          <w:b/>
          <w:color w:val="auto"/>
          <w:szCs w:val="21"/>
          <w:highlight w:val="none"/>
        </w:rPr>
      </w:pPr>
      <w:r>
        <w:rPr>
          <w:rFonts w:hint="eastAsia" w:ascii="宋体" w:hAnsi="宋体" w:cs="宋体"/>
          <w:b/>
          <w:color w:val="auto"/>
          <w:spacing w:val="-6"/>
          <w:szCs w:val="21"/>
          <w:highlight w:val="none"/>
        </w:rPr>
        <w:t>报价文件</w:t>
      </w:r>
      <w:r>
        <w:rPr>
          <w:rFonts w:hint="eastAsia" w:ascii="宋体" w:hAnsi="宋体" w:cs="宋体"/>
          <w:b/>
          <w:color w:val="auto"/>
          <w:szCs w:val="21"/>
          <w:highlight w:val="none"/>
        </w:rPr>
        <w:t>未提供“投标人须知前附表”第13条“报价文件”规定中“必须提供”的文件资料的；</w:t>
      </w:r>
    </w:p>
    <w:p w14:paraId="404EBFCE">
      <w:pPr>
        <w:pStyle w:val="8"/>
        <w:numPr>
          <w:ilvl w:val="0"/>
          <w:numId w:val="5"/>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14:paraId="07777E0E">
      <w:pPr>
        <w:pStyle w:val="8"/>
        <w:numPr>
          <w:ilvl w:val="0"/>
          <w:numId w:val="5"/>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所投报价超出招标文件规定的相应最高限价，或者采购预算金额的；</w:t>
      </w:r>
    </w:p>
    <w:p w14:paraId="1FE95045">
      <w:pPr>
        <w:pStyle w:val="8"/>
        <w:numPr>
          <w:ilvl w:val="0"/>
          <w:numId w:val="5"/>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投标人未就本项目所有内容进行报价或者存在漏项报价；投标人未就所投单项内容作唯一报价；投标人未就所投全部内容作完整唯一总价报价；存在有选择、有条件报价的（招标文件允许有备选方案或者其他约定的除外）；</w:t>
      </w:r>
    </w:p>
    <w:p w14:paraId="17F1871A">
      <w:pPr>
        <w:pStyle w:val="8"/>
        <w:numPr>
          <w:ilvl w:val="0"/>
          <w:numId w:val="5"/>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修正后的报价，投标人不确认的；</w:t>
      </w:r>
    </w:p>
    <w:p w14:paraId="315906DA">
      <w:pPr>
        <w:pStyle w:val="8"/>
        <w:numPr>
          <w:ilvl w:val="0"/>
          <w:numId w:val="5"/>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投标人属于本章第5.1条（2）项或者第5.2条（2）项情形的；</w:t>
      </w:r>
    </w:p>
    <w:p w14:paraId="6A240FB4">
      <w:pPr>
        <w:pStyle w:val="8"/>
        <w:numPr>
          <w:ilvl w:val="0"/>
          <w:numId w:val="5"/>
        </w:numPr>
        <w:spacing w:line="380" w:lineRule="exact"/>
        <w:ind w:firstLine="422"/>
        <w:rPr>
          <w:rFonts w:ascii="宋体" w:hAnsi="宋体" w:cs="宋体"/>
          <w:b/>
          <w:color w:val="auto"/>
          <w:szCs w:val="21"/>
          <w:highlight w:val="none"/>
        </w:rPr>
      </w:pPr>
      <w:r>
        <w:rPr>
          <w:rFonts w:hint="eastAsia" w:ascii="宋体" w:hAnsi="宋体" w:cs="宋体"/>
          <w:b/>
          <w:color w:val="auto"/>
          <w:spacing w:val="-6"/>
          <w:szCs w:val="21"/>
          <w:highlight w:val="none"/>
        </w:rPr>
        <w:t>报价文件</w:t>
      </w:r>
      <w:r>
        <w:rPr>
          <w:rFonts w:hint="eastAsia" w:ascii="宋体" w:hAnsi="宋体" w:cs="宋体"/>
          <w:b/>
          <w:color w:val="auto"/>
          <w:szCs w:val="21"/>
          <w:highlight w:val="none"/>
        </w:rPr>
        <w:t>响应的标的数量及单位与招标文件要求实质性不一致的。</w:t>
      </w:r>
    </w:p>
    <w:p w14:paraId="05C9F6A2">
      <w:pPr>
        <w:pStyle w:val="7"/>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2.2在商务评审时，如发现下列情形之一的，将被视为投标无效：</w:t>
      </w:r>
    </w:p>
    <w:p w14:paraId="0D4C3604">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14:paraId="23C62503">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委托代理人未能出具有效身份证或者出具的身份证与授权委托书中的信息不符的；</w:t>
      </w:r>
    </w:p>
    <w:p w14:paraId="7DD2A4D9">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14:paraId="029C2972">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投标文件未提供“投标人须知前附表”第13条“商务文件”规定中“必须提供”或者“委托时必须提供”的文件资料的；</w:t>
      </w:r>
    </w:p>
    <w:p w14:paraId="1F120767">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商务要求评审允许负偏离的条款数超过“投标人须知前附表”规定项数的；</w:t>
      </w:r>
    </w:p>
    <w:p w14:paraId="67509537">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14:paraId="32390385">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14:paraId="7E40C008">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14:paraId="76E764C7">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14:paraId="140F5B7F">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招标文件明确不允许分包，投标文件拟分包的；</w:t>
      </w:r>
    </w:p>
    <w:p w14:paraId="2AD6149B">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未响应招标文件实质性要求的；</w:t>
      </w:r>
    </w:p>
    <w:p w14:paraId="60736740">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投标文件中承诺的投标有效期低于招标文件要求的期限的；</w:t>
      </w:r>
    </w:p>
    <w:p w14:paraId="0CD38D93">
      <w:pPr>
        <w:numPr>
          <w:ilvl w:val="0"/>
          <w:numId w:val="6"/>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法律、法规和招标文件规定的其他无效情形。</w:t>
      </w:r>
    </w:p>
    <w:p w14:paraId="59D1F976">
      <w:pPr>
        <w:pStyle w:val="7"/>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2.3在技术评审时，如发现下列情形之一的，将被视为投标无效：</w:t>
      </w:r>
    </w:p>
    <w:p w14:paraId="01ECEA25">
      <w:pPr>
        <w:pStyle w:val="3"/>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（1）技术要求评审允许负偏离的条款数超过“投标人须知前附表”规定项数的；</w:t>
      </w:r>
    </w:p>
    <w:p w14:paraId="52EC6A7D">
      <w:pPr>
        <w:pStyle w:val="3"/>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（2）投标文件未提供“投标人须知前附表”第13条“技术文件”规定中“必须提供”的文件资料的；</w:t>
      </w:r>
    </w:p>
    <w:p w14:paraId="3EF58CD3">
      <w:pPr>
        <w:pStyle w:val="3"/>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（3）虚假投标，或者出现其他情形而导致被评标委员会认定无效的；</w:t>
      </w:r>
    </w:p>
    <w:p w14:paraId="3C460DB7">
      <w:pPr>
        <w:pStyle w:val="3"/>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w:t>
      </w:r>
      <w:bookmarkStart w:id="139" w:name="_Hlk71706244"/>
      <w:r>
        <w:rPr>
          <w:rFonts w:hint="eastAsia" w:ascii="宋体" w:hAnsi="宋体" w:eastAsia="宋体" w:cs="宋体"/>
          <w:b/>
          <w:color w:val="auto"/>
          <w:kern w:val="2"/>
          <w:sz w:val="21"/>
          <w:szCs w:val="21"/>
          <w:highlight w:val="none"/>
        </w:rPr>
        <w:t>招标文件未载明允许提供备选（替代）投标方案或明确不允许提供备选（替代）投标方案时，投标人提供了备选（替代）投标方案的；</w:t>
      </w:r>
      <w:bookmarkEnd w:id="139"/>
    </w:p>
    <w:p w14:paraId="2D88AEB4">
      <w:pPr>
        <w:pStyle w:val="3"/>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（5）未响应招标文件实质性要求的。</w:t>
      </w:r>
    </w:p>
    <w:p w14:paraId="3328F7D3">
      <w:pPr>
        <w:pStyle w:val="7"/>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3.澄清补正</w:t>
      </w:r>
    </w:p>
    <w:p w14:paraId="200405A1">
      <w:pPr>
        <w:spacing w:line="38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240382C2">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A126C4E">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未按评标委员会的要求作出明确澄清、说明或者更正的投标人的投标文件将按照有利于采购人的原则由评标委员会进行判定。</w:t>
      </w:r>
    </w:p>
    <w:p w14:paraId="79C9520E">
      <w:pPr>
        <w:pStyle w:val="7"/>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4.投标文件修正</w:t>
      </w:r>
    </w:p>
    <w:p w14:paraId="73269420">
      <w:pPr>
        <w:pStyle w:val="7"/>
        <w:keepNext w:val="0"/>
        <w:keepLines w:val="0"/>
        <w:spacing w:before="0" w:after="0" w:line="38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14:paraId="79C33FAB">
      <w:pPr>
        <w:pStyle w:val="25"/>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（1）投标文件中开标一览表（报价表）内容与投标文件中相应内容不一致的，以开标一览表（报价表）为准；</w:t>
      </w:r>
    </w:p>
    <w:p w14:paraId="01A7B4E1">
      <w:pPr>
        <w:pStyle w:val="25"/>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（2）大写金额和小写金额不一致的，以大写金额为准；</w:t>
      </w:r>
    </w:p>
    <w:p w14:paraId="55152DB9">
      <w:pPr>
        <w:pStyle w:val="25"/>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（3）单价金额小数点或者百分比有明显错位的，以开标一览表的总价为准，并修改单价；</w:t>
      </w:r>
    </w:p>
    <w:p w14:paraId="611E705F">
      <w:pPr>
        <w:pStyle w:val="25"/>
        <w:snapToGrid w:val="0"/>
        <w:spacing w:line="360" w:lineRule="exact"/>
        <w:ind w:firstLine="420" w:firstLineChars="200"/>
        <w:rPr>
          <w:rFonts w:hAnsi="宋体" w:cs="宋体"/>
          <w:color w:val="auto"/>
          <w:sz w:val="21"/>
          <w:highlight w:val="none"/>
        </w:rPr>
      </w:pPr>
      <w:r>
        <w:rPr>
          <w:rFonts w:hint="eastAsia" w:hAnsi="宋体" w:cs="宋体"/>
          <w:color w:val="auto"/>
          <w:sz w:val="21"/>
          <w:highlight w:val="none"/>
        </w:rPr>
        <w:t>（4）总价金额与按单价汇总金额不一致的，以单价金额计算结果为准。</w:t>
      </w:r>
    </w:p>
    <w:p w14:paraId="7286F594">
      <w:pPr>
        <w:pStyle w:val="25"/>
        <w:snapToGrid w:val="0"/>
        <w:spacing w:line="360" w:lineRule="exact"/>
        <w:ind w:firstLine="420" w:firstLineChars="200"/>
        <w:rPr>
          <w:rFonts w:hAnsi="宋体" w:cs="宋体"/>
          <w:color w:val="auto"/>
          <w:sz w:val="21"/>
          <w:highlight w:val="none"/>
        </w:rPr>
      </w:pPr>
      <w:r>
        <w:rPr>
          <w:rFonts w:hint="eastAsia" w:hAnsi="宋体" w:cs="宋体"/>
          <w:color w:val="auto"/>
          <w:sz w:val="21"/>
          <w:highlight w:val="none"/>
        </w:rPr>
        <w:t>同时出现两种以上不一致的，按照以上（1）-（4）规定的顺序修正。修正后的报价经投标人确认后产生约束力，投标人不确认的，</w:t>
      </w:r>
      <w:r>
        <w:rPr>
          <w:rFonts w:hint="eastAsia" w:hAnsi="宋体" w:cs="宋体"/>
          <w:b/>
          <w:color w:val="auto"/>
          <w:kern w:val="2"/>
          <w:sz w:val="21"/>
          <w:highlight w:val="none"/>
        </w:rPr>
        <w:t>其投标无效</w:t>
      </w:r>
      <w:r>
        <w:rPr>
          <w:rFonts w:hint="eastAsia" w:hAnsi="宋体" w:cs="宋体"/>
          <w:color w:val="auto"/>
          <w:sz w:val="21"/>
          <w:highlight w:val="none"/>
        </w:rPr>
        <w:t>。</w:t>
      </w:r>
    </w:p>
    <w:p w14:paraId="6D39C862">
      <w:pPr>
        <w:pStyle w:val="7"/>
        <w:keepNext w:val="0"/>
        <w:keepLines w:val="0"/>
        <w:spacing w:before="0" w:after="0" w:line="36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4.2经投标人确认修正后的报价若超过采购预算金额或者最高限价，</w:t>
      </w:r>
      <w:r>
        <w:rPr>
          <w:rFonts w:hint="eastAsia" w:ascii="宋体" w:hAnsi="宋体" w:cs="宋体"/>
          <w:color w:val="auto"/>
          <w:sz w:val="21"/>
          <w:szCs w:val="21"/>
          <w:highlight w:val="none"/>
        </w:rPr>
        <w:t>投标人的投标文件作无效投标处理</w:t>
      </w:r>
      <w:r>
        <w:rPr>
          <w:rFonts w:hint="eastAsia" w:ascii="宋体" w:hAnsi="宋体" w:cs="宋体"/>
          <w:b w:val="0"/>
          <w:color w:val="auto"/>
          <w:sz w:val="21"/>
          <w:szCs w:val="21"/>
          <w:highlight w:val="none"/>
        </w:rPr>
        <w:t>。</w:t>
      </w:r>
    </w:p>
    <w:p w14:paraId="6BD327EA">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214AEFB4">
      <w:pPr>
        <w:pStyle w:val="7"/>
        <w:keepNext w:val="0"/>
        <w:keepLines w:val="0"/>
        <w:spacing w:before="0" w:after="0" w:line="36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5.比较与评价</w:t>
      </w:r>
    </w:p>
    <w:p w14:paraId="717A48D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5.1采用综合评分法的</w:t>
      </w:r>
    </w:p>
    <w:p w14:paraId="37AAEA88">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（1）评标委员会按照招标文件中规定的评标方法及评标标准，对符合性审查合格的投标文件进行商务和技术评估，综合比较与评价。</w:t>
      </w:r>
    </w:p>
    <w:p w14:paraId="067B053B">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（2）评标委员会独立对每个投标人的投标文件进行评价，并汇总每个投标人的得分。</w:t>
      </w:r>
    </w:p>
    <w:p w14:paraId="2CDDA2E0">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Cs w:val="21"/>
          <w:highlight w:val="none"/>
        </w:rPr>
        <w:t>投标人不能证明其报价合理性的，评标委员会将其作为无效投标处理</w:t>
      </w:r>
      <w:r>
        <w:rPr>
          <w:rFonts w:hint="eastAsia" w:ascii="宋体" w:hAnsi="宋体" w:cs="宋体"/>
          <w:color w:val="auto"/>
          <w:szCs w:val="21"/>
          <w:highlight w:val="none"/>
        </w:rPr>
        <w:t>。</w:t>
      </w:r>
    </w:p>
    <w:p w14:paraId="58CAFE6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（3）评标委员会按照招标文件中规定的评标方法和标准计算各投标人的报价得分。在计算过程中，不得去掉最高报价或者最低报价。</w:t>
      </w:r>
    </w:p>
    <w:p w14:paraId="1E7C3EE0">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（4）各投标人的得分为所有评委的有效评分的算术平均数。</w:t>
      </w:r>
    </w:p>
    <w:p w14:paraId="67E0D2F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（5）评标委员会按照招标文件中的规定推荐中标候选人。</w:t>
      </w:r>
    </w:p>
    <w:p w14:paraId="6161343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366C407">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5.2采用</w:t>
      </w:r>
      <w:r>
        <w:rPr>
          <w:rFonts w:hint="eastAsia" w:ascii="宋体" w:hAnsi="宋体" w:cs="宋体"/>
          <w:color w:val="auto"/>
          <w:highlight w:val="none"/>
        </w:rPr>
        <w:t>最低评标价法</w:t>
      </w:r>
      <w:r>
        <w:rPr>
          <w:rFonts w:hint="eastAsia" w:ascii="宋体" w:hAnsi="宋体" w:cs="宋体"/>
          <w:color w:val="auto"/>
          <w:szCs w:val="21"/>
          <w:highlight w:val="none"/>
        </w:rPr>
        <w:t>的</w:t>
      </w:r>
    </w:p>
    <w:p w14:paraId="488AE198">
      <w:pPr>
        <w:snapToGrid w:val="0"/>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（1）评标委员会按照招标文件中规定的评标方法及评标标准，对符合性审查合格的投标文件报价进行比较。</w:t>
      </w:r>
    </w:p>
    <w:p w14:paraId="0C536325">
      <w:pPr>
        <w:snapToGrid w:val="0"/>
        <w:spacing w:line="360" w:lineRule="exact"/>
        <w:ind w:firstLine="399" w:firstLineChars="202"/>
        <w:jc w:val="left"/>
        <w:rPr>
          <w:rFonts w:ascii="宋体" w:hAnsi="宋体" w:cs="宋体"/>
          <w:color w:val="auto"/>
          <w:spacing w:val="-6"/>
          <w:szCs w:val="21"/>
          <w:highlight w:val="none"/>
        </w:rPr>
      </w:pPr>
      <w:r>
        <w:rPr>
          <w:rFonts w:hint="eastAsia" w:ascii="宋体" w:hAnsi="宋体" w:cs="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pacing w:val="-6"/>
          <w:szCs w:val="21"/>
          <w:highlight w:val="none"/>
        </w:rPr>
        <w:t>投标人不能证明其报价合理性的，评标委员会将其作为无效投标处理</w:t>
      </w:r>
      <w:r>
        <w:rPr>
          <w:rFonts w:hint="eastAsia" w:ascii="宋体" w:hAnsi="宋体" w:cs="宋体"/>
          <w:color w:val="auto"/>
          <w:spacing w:val="-6"/>
          <w:szCs w:val="21"/>
          <w:highlight w:val="none"/>
        </w:rPr>
        <w:t>。</w:t>
      </w:r>
    </w:p>
    <w:p w14:paraId="47963371">
      <w:pPr>
        <w:snapToGrid w:val="0"/>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（3）评标委员会按照招标文件中的规定推荐中标候选人。</w:t>
      </w:r>
    </w:p>
    <w:p w14:paraId="0F613DE1">
      <w:pPr>
        <w:snapToGrid w:val="0"/>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2A54C2A">
      <w:pPr>
        <w:snapToGrid w:val="0"/>
        <w:spacing w:line="400" w:lineRule="exact"/>
        <w:ind w:firstLine="424" w:firstLineChars="202"/>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32"/>
          <w:szCs w:val="32"/>
          <w:highlight w:val="none"/>
        </w:rPr>
        <w:t>三、评标标准</w:t>
      </w:r>
    </w:p>
    <w:p w14:paraId="4BFEB4FF">
      <w:pPr>
        <w:pStyle w:val="6"/>
        <w:keepNext w:val="0"/>
        <w:keepLines w:val="0"/>
        <w:spacing w:line="400" w:lineRule="exact"/>
        <w:jc w:val="center"/>
        <w:rPr>
          <w:rFonts w:ascii="宋体" w:hAnsi="宋体" w:cs="宋体"/>
          <w:color w:val="auto"/>
          <w:highlight w:val="none"/>
        </w:rPr>
      </w:pPr>
      <w:r>
        <w:rPr>
          <w:rFonts w:hint="eastAsia" w:ascii="宋体" w:hAnsi="宋体" w:cs="宋体"/>
          <w:color w:val="auto"/>
          <w:highlight w:val="none"/>
        </w:rPr>
        <w:t>综合评分法</w:t>
      </w:r>
    </w:p>
    <w:p w14:paraId="6EFEB80B">
      <w:pPr>
        <w:spacing w:line="360" w:lineRule="exact"/>
        <w:ind w:firstLine="422" w:firstLineChars="200"/>
        <w:rPr>
          <w:rFonts w:hAnsi="宋体"/>
          <w:b/>
          <w:color w:val="auto"/>
          <w:sz w:val="21"/>
          <w:szCs w:val="21"/>
          <w:highlight w:val="none"/>
        </w:rPr>
      </w:pPr>
      <w:r>
        <w:rPr>
          <w:rFonts w:hint="eastAsia" w:ascii="宋体" w:hAnsi="宋体"/>
          <w:b/>
          <w:color w:val="auto"/>
          <w:sz w:val="21"/>
          <w:szCs w:val="21"/>
          <w:highlight w:val="none"/>
        </w:rPr>
        <w:t>（一）</w:t>
      </w:r>
      <w:r>
        <w:rPr>
          <w:rFonts w:hint="eastAsia" w:ascii="宋体" w:hAnsi="宋体" w:cs="宋体"/>
          <w:b/>
          <w:color w:val="auto"/>
          <w:sz w:val="21"/>
          <w:szCs w:val="21"/>
          <w:highlight w:val="none"/>
        </w:rPr>
        <w:t>“正偏离”是指投标文件对招标文件“采购需求”中有关条款作出的响应优于该条款基本要求的情形，包括：①当某技术指标要求为≥或≤某指标时，则该指标为基本要求，投标响应值＞或＜该基本要求的，为正偏离；②除上述第①种情形外，经评委独立评审后认定该技术指标优于招标文件基本要求的其它情形。</w:t>
      </w:r>
    </w:p>
    <w:p w14:paraId="118A8F36">
      <w:pPr>
        <w:pStyle w:val="25"/>
        <w:spacing w:line="400" w:lineRule="exact"/>
        <w:ind w:firstLine="422" w:firstLineChars="200"/>
        <w:rPr>
          <w:rFonts w:hAnsi="宋体" w:cs="宋体"/>
          <w:bCs/>
          <w:color w:val="auto"/>
          <w:sz w:val="21"/>
          <w:szCs w:val="21"/>
          <w:highlight w:val="none"/>
        </w:rPr>
      </w:pPr>
      <w:r>
        <w:rPr>
          <w:rFonts w:hint="eastAsia" w:hAnsi="宋体" w:cs="宋体"/>
          <w:b/>
          <w:color w:val="auto"/>
          <w:sz w:val="21"/>
          <w:szCs w:val="21"/>
          <w:highlight w:val="none"/>
        </w:rPr>
        <w:t>（二）“负偏离”是指投标文件对招标文件“采购需求”中有关条款作出的响应不满足条款要求，导致采购人要求不能得到满足的情形。</w:t>
      </w:r>
    </w:p>
    <w:p w14:paraId="38263139">
      <w:pPr>
        <w:pStyle w:val="25"/>
        <w:spacing w:line="400" w:lineRule="exact"/>
        <w:rPr>
          <w:rFonts w:hAnsi="宋体" w:cs="宋体"/>
          <w:bCs/>
          <w:color w:val="auto"/>
          <w:sz w:val="21"/>
          <w:highlight w:val="none"/>
        </w:rPr>
      </w:pPr>
      <w:r>
        <w:rPr>
          <w:rFonts w:hint="eastAsia" w:hAnsi="宋体" w:cs="宋体"/>
          <w:bCs/>
          <w:color w:val="auto"/>
          <w:sz w:val="21"/>
          <w:highlight w:val="none"/>
        </w:rPr>
        <w:t>注：计分方法按四舍五入取至百分位</w:t>
      </w:r>
    </w:p>
    <w:tbl>
      <w:tblPr>
        <w:tblStyle w:val="4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24"/>
        <w:gridCol w:w="1701"/>
        <w:gridCol w:w="6000"/>
      </w:tblGrid>
      <w:tr w14:paraId="2358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gridSpan w:val="2"/>
            <w:tcBorders>
              <w:top w:val="single" w:color="auto" w:sz="4" w:space="0"/>
              <w:left w:val="single" w:color="auto" w:sz="4" w:space="0"/>
              <w:bottom w:val="single" w:color="auto" w:sz="4" w:space="0"/>
              <w:right w:val="single" w:color="auto" w:sz="4" w:space="0"/>
            </w:tcBorders>
            <w:vAlign w:val="center"/>
          </w:tcPr>
          <w:p w14:paraId="6F7CA90A">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0BA7364F">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6000" w:type="dxa"/>
            <w:tcBorders>
              <w:top w:val="single" w:color="auto" w:sz="4" w:space="0"/>
              <w:left w:val="single" w:color="auto" w:sz="4" w:space="0"/>
              <w:bottom w:val="single" w:color="auto" w:sz="4" w:space="0"/>
              <w:right w:val="single" w:color="auto" w:sz="4" w:space="0"/>
            </w:tcBorders>
            <w:vAlign w:val="center"/>
          </w:tcPr>
          <w:p w14:paraId="49F94660">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4DCB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vAlign w:val="center"/>
          </w:tcPr>
          <w:p w14:paraId="3349B83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24" w:type="dxa"/>
            <w:tcBorders>
              <w:top w:val="single" w:color="auto" w:sz="4" w:space="0"/>
              <w:left w:val="single" w:color="auto" w:sz="4" w:space="0"/>
              <w:bottom w:val="single" w:color="auto" w:sz="4" w:space="0"/>
              <w:right w:val="single" w:color="auto" w:sz="4" w:space="0"/>
            </w:tcBorders>
            <w:vAlign w:val="center"/>
          </w:tcPr>
          <w:p w14:paraId="5C5F30F4">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价格分</w:t>
            </w:r>
          </w:p>
          <w:p w14:paraId="45B1A504">
            <w:pPr>
              <w:adjustRightInd w:val="0"/>
              <w:spacing w:line="360" w:lineRule="auto"/>
              <w:jc w:val="center"/>
              <w:textAlignment w:val="baseline"/>
              <w:rPr>
                <w:rFonts w:ascii="宋体" w:hAnsi="宋体" w:cs="宋体"/>
                <w:color w:val="auto"/>
                <w:szCs w:val="21"/>
                <w:highlight w:val="none"/>
              </w:rPr>
            </w:pPr>
            <w:r>
              <w:rPr>
                <w:rFonts w:hint="eastAsia" w:ascii="宋体" w:hAnsi="宋体" w:cs="宋体"/>
                <w:b/>
                <w:color w:val="auto"/>
                <w:szCs w:val="21"/>
                <w:highlight w:val="none"/>
              </w:rPr>
              <w:t>（30分）</w:t>
            </w:r>
          </w:p>
        </w:tc>
        <w:tc>
          <w:tcPr>
            <w:tcW w:w="1701" w:type="dxa"/>
            <w:tcBorders>
              <w:top w:val="single" w:color="auto" w:sz="4" w:space="0"/>
              <w:left w:val="single" w:color="auto" w:sz="4" w:space="0"/>
              <w:bottom w:val="single" w:color="auto" w:sz="4" w:space="0"/>
              <w:right w:val="single" w:color="auto" w:sz="4" w:space="0"/>
            </w:tcBorders>
            <w:vAlign w:val="center"/>
          </w:tcPr>
          <w:p w14:paraId="784CA291">
            <w:pPr>
              <w:adjustRightInd w:val="0"/>
              <w:spacing w:line="40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投标报价（30分）</w:t>
            </w:r>
          </w:p>
        </w:tc>
        <w:tc>
          <w:tcPr>
            <w:tcW w:w="6000" w:type="dxa"/>
            <w:tcBorders>
              <w:top w:val="single" w:color="auto" w:sz="4" w:space="0"/>
              <w:left w:val="single" w:color="auto" w:sz="4" w:space="0"/>
              <w:bottom w:val="single" w:color="auto" w:sz="4" w:space="0"/>
              <w:right w:val="single" w:color="auto" w:sz="4" w:space="0"/>
            </w:tcBorders>
            <w:vAlign w:val="center"/>
          </w:tcPr>
          <w:p w14:paraId="59A6B7A1">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（1）评标报价为投标人的投标报价进行政策性扣除后的价格，评标报价只是作为评标时使用。最终中标人的中标金额等于投标报价。</w:t>
            </w:r>
          </w:p>
          <w:p w14:paraId="4CAFC803">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（2）政策性扣除计算方法。</w:t>
            </w:r>
          </w:p>
          <w:p w14:paraId="274EEF3C">
            <w:pPr>
              <w:snapToGrid w:val="0"/>
              <w:spacing w:line="400" w:lineRule="exact"/>
              <w:rPr>
                <w:rFonts w:ascii="宋体" w:hAnsi="宋体" w:cs="宋体"/>
                <w:color w:val="auto"/>
                <w:szCs w:val="21"/>
                <w:highlight w:val="none"/>
              </w:rPr>
            </w:pPr>
            <w:bookmarkStart w:id="140" w:name="_Hlk65858438"/>
            <w:r>
              <w:rPr>
                <w:rFonts w:hint="eastAsia" w:ascii="宋体" w:hAnsi="宋体" w:cs="宋体"/>
                <w:bCs/>
                <w:color w:val="auto"/>
                <w:szCs w:val="21"/>
                <w:highlight w:val="none"/>
              </w:rPr>
              <w:t>根据《政府采购促进中小企业发展管理办法》（财库〔2020〕46号）及</w:t>
            </w:r>
            <w:r>
              <w:rPr>
                <w:rFonts w:hint="eastAsia"/>
                <w:color w:val="auto"/>
                <w:highlight w:val="none"/>
              </w:rPr>
              <w:t>《广西壮族自治区财政厅关于持续优化政府采购营商环境推动高质量发展的通知》（桂财采〔2024〕55号）</w:t>
            </w:r>
            <w:r>
              <w:rPr>
                <w:rFonts w:hint="eastAsia" w:ascii="宋体" w:hAnsi="宋体" w:cs="宋体"/>
                <w:bCs/>
                <w:color w:val="auto"/>
                <w:szCs w:val="21"/>
                <w:highlight w:val="none"/>
              </w:rPr>
              <w:t>的规定，投标人在其投标文件中提供《中小企业声明函》，且其投标全部货物由小微企业制造的，对其投标报价给予20%的扣除，扣除后的价格为评标报价，即评标报价=投标报价×（1-20%）。除上述情况外，评标报价=投标报价。</w:t>
            </w:r>
            <w:bookmarkEnd w:id="140"/>
          </w:p>
          <w:p w14:paraId="1D8139CF">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监狱企业参加政府采购活动时，应当提供由省级以上监狱管理局、戒毒管理局(含新疆生产建设兵团)出具的属于监狱企业的证明文件。监狱企业</w:t>
            </w:r>
            <w:r>
              <w:rPr>
                <w:rFonts w:hint="eastAsia" w:ascii="宋体" w:hAnsi="宋体" w:cs="宋体"/>
                <w:bCs/>
                <w:color w:val="auto"/>
                <w:szCs w:val="21"/>
                <w:highlight w:val="none"/>
              </w:rPr>
              <w:t>属于小型、微型企业的，不重复享受政策。</w:t>
            </w:r>
          </w:p>
          <w:p w14:paraId="67278210">
            <w:pPr>
              <w:snapToGrid w:val="0"/>
              <w:spacing w:line="400" w:lineRule="exact"/>
              <w:rPr>
                <w:rFonts w:ascii="宋体" w:hAnsi="宋体" w:cs="宋体"/>
                <w:bCs/>
                <w:color w:val="auto"/>
                <w:szCs w:val="21"/>
                <w:highlight w:val="none"/>
              </w:rPr>
            </w:pPr>
            <w:r>
              <w:rPr>
                <w:rFonts w:hint="eastAsia" w:ascii="宋体" w:hAnsi="宋体" w:cs="宋体"/>
                <w:color w:val="auto"/>
                <w:szCs w:val="21"/>
                <w:highlight w:val="none"/>
              </w:rPr>
              <w:t>（4）按照</w:t>
            </w:r>
            <w:r>
              <w:rPr>
                <w:rFonts w:hint="eastAsia" w:ascii="宋体" w:hAnsi="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cs="宋体"/>
                <w:bCs/>
                <w:color w:val="auto"/>
                <w:szCs w:val="21"/>
                <w:highlight w:val="none"/>
              </w:rPr>
              <w:t>残疾人福利性单位属于小型、微型企业的，不重复享受政策。</w:t>
            </w:r>
          </w:p>
          <w:p w14:paraId="545EB7ED">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（5）满足招标文件要求且评标报价最低的评标报价为评标基准价，其价格分为满分。</w:t>
            </w:r>
          </w:p>
          <w:p w14:paraId="3A1995DA">
            <w:pPr>
              <w:spacing w:line="400" w:lineRule="exact"/>
              <w:rPr>
                <w:rFonts w:ascii="宋体" w:hAnsi="宋体" w:cs="宋体"/>
                <w:bCs/>
                <w:color w:val="auto"/>
                <w:szCs w:val="21"/>
                <w:highlight w:val="none"/>
              </w:rPr>
            </w:pPr>
            <w:r>
              <w:rPr>
                <w:rFonts w:hint="eastAsia" w:ascii="宋体" w:hAnsi="宋体" w:cs="宋体"/>
                <w:bCs/>
                <w:color w:val="auto"/>
                <w:szCs w:val="21"/>
                <w:highlight w:val="none"/>
              </w:rPr>
              <w:t xml:space="preserve">（6）价格分计算公式：        </w:t>
            </w:r>
          </w:p>
          <w:p w14:paraId="2DAC739F">
            <w:pPr>
              <w:pStyle w:val="25"/>
              <w:spacing w:line="400" w:lineRule="exact"/>
              <w:rPr>
                <w:rFonts w:hAnsi="宋体" w:cs="宋体"/>
                <w:color w:val="auto"/>
                <w:kern w:val="2"/>
                <w:sz w:val="21"/>
                <w:highlight w:val="none"/>
              </w:rPr>
            </w:pPr>
            <w:r>
              <w:rPr>
                <w:rFonts w:hint="eastAsia" w:hAnsi="宋体" w:cs="宋体"/>
                <w:color w:val="auto"/>
                <w:sz w:val="21"/>
                <w:highlight w:val="none"/>
              </w:rPr>
              <w:t>价格分</w:t>
            </w:r>
            <w:r>
              <w:rPr>
                <w:rFonts w:hint="eastAsia" w:hAnsi="宋体" w:cs="宋体"/>
                <w:color w:val="auto"/>
                <w:kern w:val="2"/>
                <w:sz w:val="21"/>
                <w:highlight w:val="none"/>
              </w:rPr>
              <w:t>=(评标基准价／评标报价)×</w:t>
            </w:r>
            <w:r>
              <w:rPr>
                <w:rFonts w:hint="eastAsia" w:hAnsi="宋体" w:cs="宋体"/>
                <w:color w:val="auto"/>
                <w:sz w:val="21"/>
                <w:highlight w:val="none"/>
              </w:rPr>
              <w:t>30</w:t>
            </w:r>
            <w:r>
              <w:rPr>
                <w:rFonts w:hint="eastAsia" w:hAnsi="宋体" w:cs="宋体"/>
                <w:color w:val="auto"/>
                <w:kern w:val="2"/>
                <w:sz w:val="21"/>
                <w:highlight w:val="none"/>
              </w:rPr>
              <w:t>分</w:t>
            </w:r>
          </w:p>
        </w:tc>
      </w:tr>
      <w:tr w14:paraId="3002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525" w:type="dxa"/>
            <w:tcBorders>
              <w:top w:val="single" w:color="auto" w:sz="4" w:space="0"/>
              <w:left w:val="single" w:color="auto" w:sz="4" w:space="0"/>
              <w:right w:val="single" w:color="auto" w:sz="4" w:space="0"/>
            </w:tcBorders>
            <w:vAlign w:val="center"/>
          </w:tcPr>
          <w:p w14:paraId="48CD7BF9">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224" w:type="dxa"/>
            <w:tcBorders>
              <w:top w:val="single" w:color="auto" w:sz="4" w:space="0"/>
              <w:left w:val="single" w:color="auto" w:sz="4" w:space="0"/>
              <w:right w:val="single" w:color="auto" w:sz="4" w:space="0"/>
            </w:tcBorders>
            <w:vAlign w:val="center"/>
          </w:tcPr>
          <w:p w14:paraId="4DEB9A18">
            <w:pPr>
              <w:adjustRightInd w:val="0"/>
              <w:spacing w:line="360" w:lineRule="auto"/>
              <w:ind w:left="-105" w:leftChars="-50" w:right="-105" w:rightChars="-50"/>
              <w:jc w:val="center"/>
              <w:textAlignment w:val="baseline"/>
              <w:rPr>
                <w:rFonts w:ascii="宋体" w:hAnsi="宋体" w:cs="宋体"/>
                <w:b/>
                <w:color w:val="auto"/>
                <w:highlight w:val="none"/>
              </w:rPr>
            </w:pPr>
            <w:r>
              <w:rPr>
                <w:rFonts w:hint="eastAsia" w:ascii="宋体" w:hAnsi="宋体" w:cs="宋体"/>
                <w:b/>
                <w:color w:val="auto"/>
                <w:highlight w:val="none"/>
              </w:rPr>
              <w:t>技术分</w:t>
            </w:r>
          </w:p>
          <w:p w14:paraId="7B375A1A">
            <w:pPr>
              <w:adjustRightInd w:val="0"/>
              <w:spacing w:line="360" w:lineRule="auto"/>
              <w:ind w:left="-105" w:leftChars="-50" w:right="-105" w:rightChars="-50"/>
              <w:jc w:val="center"/>
              <w:textAlignment w:val="baseline"/>
              <w:rPr>
                <w:rFonts w:ascii="宋体" w:hAnsi="宋体" w:cs="宋体"/>
                <w:b/>
                <w:color w:val="auto"/>
                <w:highlight w:val="none"/>
              </w:rPr>
            </w:pPr>
            <w:r>
              <w:rPr>
                <w:rFonts w:hint="eastAsia" w:ascii="宋体" w:hAnsi="宋体" w:cs="宋体"/>
                <w:b/>
                <w:color w:val="auto"/>
                <w:highlight w:val="none"/>
              </w:rPr>
              <w:t>（40分）</w:t>
            </w:r>
          </w:p>
        </w:tc>
        <w:tc>
          <w:tcPr>
            <w:tcW w:w="1701" w:type="dxa"/>
            <w:tcBorders>
              <w:top w:val="single" w:color="auto" w:sz="4" w:space="0"/>
              <w:left w:val="single" w:color="auto" w:sz="4" w:space="0"/>
              <w:right w:val="single" w:color="auto" w:sz="4" w:space="0"/>
            </w:tcBorders>
            <w:vAlign w:val="center"/>
          </w:tcPr>
          <w:p w14:paraId="083D195E">
            <w:pPr>
              <w:adjustRightInd w:val="0"/>
              <w:spacing w:line="400" w:lineRule="exact"/>
              <w:ind w:left="-105" w:leftChars="-50" w:right="-105" w:rightChars="-50"/>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技术响应分</w:t>
            </w:r>
          </w:p>
          <w:p w14:paraId="78A6015D">
            <w:pPr>
              <w:adjustRightInd w:val="0"/>
              <w:spacing w:line="400" w:lineRule="exact"/>
              <w:ind w:left="-105" w:leftChars="-50" w:right="-105" w:rightChars="-50"/>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（40分）</w:t>
            </w:r>
          </w:p>
        </w:tc>
        <w:tc>
          <w:tcPr>
            <w:tcW w:w="6000" w:type="dxa"/>
            <w:tcBorders>
              <w:top w:val="single" w:color="auto" w:sz="4" w:space="0"/>
              <w:left w:val="single" w:color="auto" w:sz="4" w:space="0"/>
              <w:right w:val="single" w:color="auto" w:sz="4" w:space="0"/>
            </w:tcBorders>
            <w:vAlign w:val="center"/>
          </w:tcPr>
          <w:p w14:paraId="2924A472">
            <w:pPr>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2.1投标人的投标文件满足招标文件全部实质性要求的，得基本分2</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57B85AFE">
            <w:pPr>
              <w:snapToGrid w:val="0"/>
              <w:spacing w:line="400" w:lineRule="exact"/>
              <w:rPr>
                <w:rFonts w:ascii="宋体" w:hAnsi="宋体" w:cs="宋体"/>
                <w:color w:val="auto"/>
                <w:highlight w:val="none"/>
              </w:rPr>
            </w:pPr>
            <w:r>
              <w:rPr>
                <w:rFonts w:hint="eastAsia" w:ascii="宋体" w:hAnsi="宋体" w:cs="宋体"/>
                <w:bCs/>
                <w:color w:val="auto"/>
                <w:szCs w:val="21"/>
                <w:highlight w:val="none"/>
              </w:rPr>
              <w:t>2.2投标人所投产品在满足招标文件“技术要求”中标注“▲”符号的实质性技术要求基础上存在正偏离，并于投标文件中同时提供相关有效证明材料予以佐证（证明材料可以是产品功能截图及其说明、由国家认可的第三方检测机构出具的检测报告、彩页、技术说明书等，并加盖投标人电子签章，否则不予认可），且经评委独立评审确定的，每有1项加5分，本项目最多得</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w:t>
            </w:r>
          </w:p>
        </w:tc>
      </w:tr>
      <w:tr w14:paraId="1F4E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525" w:type="dxa"/>
            <w:tcBorders>
              <w:top w:val="single" w:color="auto" w:sz="4" w:space="0"/>
              <w:left w:val="single" w:color="auto" w:sz="4" w:space="0"/>
              <w:right w:val="single" w:color="auto" w:sz="4" w:space="0"/>
            </w:tcBorders>
            <w:vAlign w:val="center"/>
          </w:tcPr>
          <w:p w14:paraId="1C50F9E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1224" w:type="dxa"/>
            <w:tcBorders>
              <w:top w:val="single" w:color="auto" w:sz="4" w:space="0"/>
              <w:left w:val="single" w:color="auto" w:sz="4" w:space="0"/>
              <w:right w:val="single" w:color="auto" w:sz="4" w:space="0"/>
            </w:tcBorders>
            <w:vAlign w:val="center"/>
          </w:tcPr>
          <w:p w14:paraId="5555C783">
            <w:pPr>
              <w:adjustRightInd w:val="0"/>
              <w:spacing w:line="470" w:lineRule="exact"/>
              <w:jc w:val="center"/>
              <w:textAlignment w:val="baseline"/>
              <w:rPr>
                <w:rFonts w:ascii="宋体" w:hAnsi="宋体" w:cs="宋体"/>
                <w:b/>
                <w:color w:val="auto"/>
                <w:highlight w:val="none"/>
              </w:rPr>
            </w:pPr>
            <w:r>
              <w:rPr>
                <w:rFonts w:hint="eastAsia" w:ascii="宋体" w:hAnsi="宋体" w:cs="宋体"/>
                <w:b/>
                <w:bCs/>
                <w:color w:val="auto"/>
                <w:highlight w:val="none"/>
              </w:rPr>
              <w:t>安装实施方案分（10分）</w:t>
            </w:r>
          </w:p>
        </w:tc>
        <w:tc>
          <w:tcPr>
            <w:tcW w:w="7701" w:type="dxa"/>
            <w:gridSpan w:val="2"/>
            <w:tcBorders>
              <w:top w:val="single" w:color="auto" w:sz="4" w:space="0"/>
              <w:left w:val="single" w:color="auto" w:sz="4" w:space="0"/>
              <w:right w:val="single" w:color="auto" w:sz="4" w:space="0"/>
            </w:tcBorders>
            <w:vAlign w:val="center"/>
          </w:tcPr>
          <w:p w14:paraId="77851518">
            <w:pPr>
              <w:pStyle w:val="25"/>
              <w:spacing w:line="400" w:lineRule="exact"/>
              <w:rPr>
                <w:rFonts w:hAnsi="宋体" w:cs="宋体"/>
                <w:color w:val="auto"/>
                <w:kern w:val="2"/>
                <w:sz w:val="21"/>
                <w:highlight w:val="none"/>
              </w:rPr>
            </w:pPr>
            <w:r>
              <w:rPr>
                <w:rFonts w:hint="eastAsia" w:hAnsi="宋体" w:cs="宋体"/>
                <w:color w:val="auto"/>
                <w:kern w:val="2"/>
                <w:sz w:val="21"/>
                <w:highlight w:val="none"/>
              </w:rPr>
              <w:t>评委对投标人提供的安装实施方案（包括但不仅限于：①安装方案；②设备调试方案；③设备试运行方案等）内容进行独立评审并按以下规则独立打分：</w:t>
            </w:r>
          </w:p>
          <w:p w14:paraId="71CBFEEE">
            <w:pPr>
              <w:pStyle w:val="25"/>
              <w:spacing w:line="400" w:lineRule="exact"/>
              <w:rPr>
                <w:rFonts w:hAnsi="宋体" w:cs="宋体"/>
                <w:color w:val="auto"/>
                <w:kern w:val="2"/>
                <w:sz w:val="21"/>
                <w:highlight w:val="none"/>
              </w:rPr>
            </w:pPr>
            <w:r>
              <w:rPr>
                <w:rFonts w:hint="eastAsia" w:hAnsi="宋体" w:cs="宋体"/>
                <w:color w:val="auto"/>
                <w:kern w:val="2"/>
                <w:sz w:val="21"/>
                <w:highlight w:val="none"/>
              </w:rPr>
              <w:t>一档（4分）：三项评审内容有一项经评审具有针对性、可操作性、且内容科学合理的；</w:t>
            </w:r>
          </w:p>
          <w:p w14:paraId="4F41B17F">
            <w:pPr>
              <w:pStyle w:val="25"/>
              <w:spacing w:line="400" w:lineRule="exact"/>
              <w:rPr>
                <w:rFonts w:hAnsi="宋体" w:cs="宋体"/>
                <w:color w:val="auto"/>
                <w:kern w:val="2"/>
                <w:sz w:val="21"/>
                <w:highlight w:val="none"/>
              </w:rPr>
            </w:pPr>
            <w:r>
              <w:rPr>
                <w:rFonts w:hint="eastAsia" w:hAnsi="宋体" w:cs="宋体"/>
                <w:color w:val="auto"/>
                <w:kern w:val="2"/>
                <w:sz w:val="21"/>
                <w:highlight w:val="none"/>
              </w:rPr>
              <w:t>二档（7分）：三项评审内容有二项经评审具有针对性、可操作性、且内容科学合理的；</w:t>
            </w:r>
          </w:p>
          <w:p w14:paraId="1DED547A">
            <w:pPr>
              <w:pStyle w:val="25"/>
              <w:spacing w:line="400" w:lineRule="exact"/>
              <w:rPr>
                <w:rFonts w:hAnsi="宋体" w:cs="宋体"/>
                <w:color w:val="auto"/>
                <w:sz w:val="21"/>
                <w:highlight w:val="none"/>
              </w:rPr>
            </w:pPr>
            <w:r>
              <w:rPr>
                <w:rFonts w:hint="eastAsia" w:hAnsi="宋体" w:cs="宋体"/>
                <w:color w:val="auto"/>
                <w:kern w:val="2"/>
                <w:sz w:val="21"/>
                <w:highlight w:val="none"/>
              </w:rPr>
              <w:t>三档（10分）：三项评审内容经评审均具有针对性、可操作性、且内容科学合理的。</w:t>
            </w:r>
          </w:p>
        </w:tc>
      </w:tr>
      <w:tr w14:paraId="6208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525" w:type="dxa"/>
            <w:tcBorders>
              <w:top w:val="single" w:color="auto" w:sz="4" w:space="0"/>
              <w:left w:val="single" w:color="auto" w:sz="4" w:space="0"/>
              <w:right w:val="single" w:color="auto" w:sz="4" w:space="0"/>
            </w:tcBorders>
            <w:vAlign w:val="center"/>
          </w:tcPr>
          <w:p w14:paraId="2618A96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4</w:t>
            </w:r>
          </w:p>
        </w:tc>
        <w:tc>
          <w:tcPr>
            <w:tcW w:w="1224" w:type="dxa"/>
            <w:tcBorders>
              <w:top w:val="single" w:color="auto" w:sz="4" w:space="0"/>
              <w:left w:val="single" w:color="auto" w:sz="4" w:space="0"/>
              <w:right w:val="single" w:color="auto" w:sz="4" w:space="0"/>
            </w:tcBorders>
            <w:shd w:val="clear" w:color="auto" w:fill="auto"/>
            <w:vAlign w:val="center"/>
          </w:tcPr>
          <w:p w14:paraId="762FBB0C">
            <w:pPr>
              <w:adjustRightInd w:val="0"/>
              <w:spacing w:line="470" w:lineRule="exact"/>
              <w:jc w:val="center"/>
              <w:textAlignment w:val="baseline"/>
              <w:rPr>
                <w:rFonts w:ascii="宋体" w:hAnsi="宋体" w:cs="宋体"/>
                <w:b/>
                <w:color w:val="auto"/>
                <w:highlight w:val="none"/>
              </w:rPr>
            </w:pPr>
            <w:r>
              <w:rPr>
                <w:rFonts w:hint="eastAsia" w:ascii="宋体" w:hAnsi="宋体" w:cs="宋体"/>
                <w:b/>
                <w:color w:val="auto"/>
                <w:highlight w:val="none"/>
              </w:rPr>
              <w:t>增值售后服务方案分（</w:t>
            </w:r>
            <w:r>
              <w:rPr>
                <w:rFonts w:hint="eastAsia" w:ascii="宋体" w:hAnsi="宋体" w:cs="宋体"/>
                <w:b/>
                <w:color w:val="auto"/>
                <w:szCs w:val="21"/>
                <w:highlight w:val="none"/>
              </w:rPr>
              <w:t>10</w:t>
            </w:r>
            <w:r>
              <w:rPr>
                <w:rFonts w:hint="eastAsia" w:ascii="宋体" w:hAnsi="宋体" w:cs="宋体"/>
                <w:b/>
                <w:color w:val="auto"/>
                <w:highlight w:val="none"/>
              </w:rPr>
              <w:t>分）</w:t>
            </w:r>
          </w:p>
        </w:tc>
        <w:tc>
          <w:tcPr>
            <w:tcW w:w="7701" w:type="dxa"/>
            <w:gridSpan w:val="2"/>
            <w:tcBorders>
              <w:top w:val="single" w:color="auto" w:sz="4" w:space="0"/>
              <w:left w:val="single" w:color="auto" w:sz="4" w:space="0"/>
              <w:right w:val="single" w:color="auto" w:sz="4" w:space="0"/>
            </w:tcBorders>
            <w:shd w:val="clear" w:color="auto" w:fill="auto"/>
            <w:vAlign w:val="center"/>
          </w:tcPr>
          <w:p w14:paraId="31F5C799">
            <w:pPr>
              <w:pStyle w:val="25"/>
              <w:spacing w:line="400" w:lineRule="exact"/>
              <w:rPr>
                <w:rFonts w:hAnsi="宋体" w:cs="宋体"/>
                <w:color w:val="auto"/>
                <w:kern w:val="2"/>
                <w:sz w:val="21"/>
                <w:highlight w:val="none"/>
              </w:rPr>
            </w:pPr>
            <w:r>
              <w:rPr>
                <w:rFonts w:hint="eastAsia" w:hAnsi="宋体" w:cs="宋体"/>
                <w:color w:val="auto"/>
                <w:kern w:val="2"/>
                <w:sz w:val="21"/>
                <w:highlight w:val="none"/>
              </w:rPr>
              <w:t>评委根据投标人所提供的增值售后服务方案内容【包括但不限于：</w:t>
            </w:r>
            <w:r>
              <w:rPr>
                <w:rFonts w:hint="eastAsia" w:hAnsi="宋体" w:cs="宋体"/>
                <w:color w:val="auto"/>
                <w:sz w:val="21"/>
                <w:highlight w:val="none"/>
              </w:rPr>
              <w:t>①服务人员的配备、故障出现解决方案，②定期维护 (注明时间)，③技术培训方案，④保修期外维修方案，⑤售后服务措施及其他优惠措施等</w:t>
            </w:r>
            <w:r>
              <w:rPr>
                <w:rFonts w:hint="eastAsia" w:hAnsi="宋体" w:cs="宋体"/>
                <w:color w:val="auto"/>
                <w:kern w:val="2"/>
                <w:sz w:val="21"/>
                <w:highlight w:val="none"/>
              </w:rPr>
              <w:t>】，按以下方式进行独立评审打分：</w:t>
            </w:r>
          </w:p>
          <w:p w14:paraId="45A4161F">
            <w:pPr>
              <w:pStyle w:val="25"/>
              <w:spacing w:line="360" w:lineRule="exact"/>
              <w:rPr>
                <w:rFonts w:hAnsi="宋体" w:cs="宋体"/>
                <w:color w:val="auto"/>
                <w:sz w:val="21"/>
                <w:highlight w:val="none"/>
              </w:rPr>
            </w:pPr>
            <w:r>
              <w:rPr>
                <w:rFonts w:hint="eastAsia" w:hAnsi="宋体" w:cs="宋体"/>
                <w:color w:val="auto"/>
                <w:sz w:val="21"/>
                <w:highlight w:val="none"/>
              </w:rPr>
              <w:t>一档（2分）：五项评审因素有一项内容经评审合理、可行且具有针对性的；</w:t>
            </w:r>
          </w:p>
          <w:p w14:paraId="5B3B3139">
            <w:pPr>
              <w:pStyle w:val="25"/>
              <w:spacing w:line="360" w:lineRule="exact"/>
              <w:rPr>
                <w:rFonts w:hAnsi="宋体" w:cs="宋体"/>
                <w:color w:val="auto"/>
                <w:sz w:val="21"/>
                <w:highlight w:val="none"/>
              </w:rPr>
            </w:pPr>
            <w:r>
              <w:rPr>
                <w:rFonts w:hint="eastAsia" w:hAnsi="宋体" w:cs="宋体"/>
                <w:color w:val="auto"/>
                <w:sz w:val="21"/>
                <w:highlight w:val="none"/>
              </w:rPr>
              <w:t>二档（4分）：五项评审因素有二项内容经评审合理、可行且具有针对性的；</w:t>
            </w:r>
          </w:p>
          <w:p w14:paraId="2DD0EB64">
            <w:pPr>
              <w:pStyle w:val="25"/>
              <w:spacing w:line="360" w:lineRule="exact"/>
              <w:outlineLvl w:val="0"/>
              <w:rPr>
                <w:rFonts w:hAnsi="宋体" w:cs="宋体"/>
                <w:color w:val="auto"/>
                <w:sz w:val="21"/>
                <w:highlight w:val="none"/>
              </w:rPr>
            </w:pPr>
            <w:r>
              <w:rPr>
                <w:rFonts w:hint="eastAsia" w:hAnsi="宋体" w:cs="宋体"/>
                <w:color w:val="auto"/>
                <w:sz w:val="21"/>
                <w:highlight w:val="none"/>
              </w:rPr>
              <w:t>三档（6分）：五项评审因素有三项内容经评审合理、可行且具有针对性的；</w:t>
            </w:r>
          </w:p>
          <w:p w14:paraId="16D736E0">
            <w:pPr>
              <w:pStyle w:val="25"/>
              <w:spacing w:line="360" w:lineRule="exact"/>
              <w:outlineLvl w:val="0"/>
              <w:rPr>
                <w:rFonts w:hAnsi="宋体" w:cs="宋体"/>
                <w:color w:val="auto"/>
                <w:sz w:val="21"/>
                <w:highlight w:val="none"/>
              </w:rPr>
            </w:pPr>
            <w:r>
              <w:rPr>
                <w:rFonts w:hint="eastAsia" w:hAnsi="宋体" w:cs="宋体"/>
                <w:color w:val="auto"/>
                <w:sz w:val="21"/>
                <w:highlight w:val="none"/>
              </w:rPr>
              <w:t>四档（8分）：五项评审因素有四项内容经评审合理、可行且具有针对性的；</w:t>
            </w:r>
          </w:p>
          <w:p w14:paraId="2790706A">
            <w:pPr>
              <w:pStyle w:val="25"/>
              <w:spacing w:line="400" w:lineRule="exact"/>
              <w:rPr>
                <w:rFonts w:hAnsi="宋体" w:cs="宋体"/>
                <w:color w:val="auto"/>
                <w:sz w:val="21"/>
                <w:highlight w:val="none"/>
              </w:rPr>
            </w:pPr>
            <w:r>
              <w:rPr>
                <w:rFonts w:hint="eastAsia" w:hAnsi="宋体" w:cs="宋体"/>
                <w:color w:val="auto"/>
                <w:sz w:val="21"/>
                <w:highlight w:val="none"/>
              </w:rPr>
              <w:t>五档（10分）：五项评审因素均合理、可行且具有针对性的。</w:t>
            </w:r>
          </w:p>
        </w:tc>
      </w:tr>
      <w:tr w14:paraId="7124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525" w:type="dxa"/>
            <w:tcBorders>
              <w:top w:val="single" w:color="auto" w:sz="4" w:space="0"/>
              <w:left w:val="single" w:color="auto" w:sz="4" w:space="0"/>
              <w:right w:val="single" w:color="auto" w:sz="4" w:space="0"/>
            </w:tcBorders>
            <w:vAlign w:val="center"/>
          </w:tcPr>
          <w:p w14:paraId="470327F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5</w:t>
            </w:r>
          </w:p>
        </w:tc>
        <w:tc>
          <w:tcPr>
            <w:tcW w:w="1224" w:type="dxa"/>
            <w:tcBorders>
              <w:top w:val="single" w:color="auto" w:sz="4" w:space="0"/>
              <w:left w:val="single" w:color="auto" w:sz="4" w:space="0"/>
              <w:right w:val="single" w:color="auto" w:sz="4" w:space="0"/>
            </w:tcBorders>
            <w:vAlign w:val="center"/>
          </w:tcPr>
          <w:p w14:paraId="53A0E89A">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履约能力分（8分）</w:t>
            </w:r>
          </w:p>
        </w:tc>
        <w:tc>
          <w:tcPr>
            <w:tcW w:w="7701" w:type="dxa"/>
            <w:gridSpan w:val="2"/>
            <w:tcBorders>
              <w:top w:val="single" w:color="auto" w:sz="4" w:space="0"/>
              <w:left w:val="single" w:color="auto" w:sz="4" w:space="0"/>
              <w:right w:val="single" w:color="auto" w:sz="4" w:space="0"/>
            </w:tcBorders>
            <w:vAlign w:val="center"/>
          </w:tcPr>
          <w:p w14:paraId="1DDE7742">
            <w:pPr>
              <w:pStyle w:val="25"/>
              <w:spacing w:line="400" w:lineRule="exact"/>
              <w:rPr>
                <w:rFonts w:hAnsi="宋体" w:cs="宋体"/>
                <w:color w:val="auto"/>
                <w:kern w:val="2"/>
                <w:sz w:val="21"/>
                <w:highlight w:val="none"/>
              </w:rPr>
            </w:pPr>
            <w:r>
              <w:rPr>
                <w:rFonts w:hint="eastAsia" w:hAnsi="宋体" w:cs="宋体"/>
                <w:color w:val="auto"/>
                <w:kern w:val="2"/>
                <w:sz w:val="21"/>
                <w:highlight w:val="none"/>
              </w:rPr>
              <w:t>（1）投标人或所投产品生产厂家通过ISO13485医疗器械质量管理体系认证、ISO9001质量管理体系认证且有效的（投标人于投标文件提供相应有效的认证证书复印件，并加盖投标人电子签章，否则不予认可），每提供1项得2分，最多得4分。</w:t>
            </w:r>
          </w:p>
          <w:p w14:paraId="672AB17A">
            <w:pPr>
              <w:pStyle w:val="25"/>
              <w:spacing w:line="400" w:lineRule="exact"/>
              <w:rPr>
                <w:rFonts w:hAnsi="宋体" w:cs="宋体"/>
                <w:color w:val="auto"/>
                <w:sz w:val="21"/>
                <w:highlight w:val="none"/>
              </w:rPr>
            </w:pPr>
            <w:r>
              <w:rPr>
                <w:rFonts w:hint="eastAsia" w:hAnsi="宋体" w:cs="宋体"/>
                <w:color w:val="auto"/>
                <w:kern w:val="2"/>
                <w:sz w:val="21"/>
                <w:highlight w:val="none"/>
              </w:rPr>
              <w:t>（2）投标人或所投产品生产厂家自2021年1月1日以来的具有同类产品销售业绩的（业绩以中标、成交通知书或合同为准，并能清晰反映所销售的产品名称、数量，同一个编号的项目有两个或两个以上的分标中标的只算1个业绩，并加盖投标人电子签章，否则不予认可），每提供1个业绩得2分，最多得4分。</w:t>
            </w:r>
          </w:p>
        </w:tc>
      </w:tr>
      <w:tr w14:paraId="58B3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547E1557">
            <w:pPr>
              <w:widowControl/>
              <w:jc w:val="center"/>
              <w:rPr>
                <w:rFonts w:ascii="宋体" w:hAnsi="宋体" w:cs="宋体"/>
                <w:b/>
                <w:color w:val="auto"/>
                <w:szCs w:val="21"/>
                <w:highlight w:val="none"/>
              </w:rPr>
            </w:pPr>
            <w:r>
              <w:rPr>
                <w:rFonts w:hint="eastAsia" w:ascii="宋体" w:hAnsi="宋体" w:cs="宋体"/>
                <w:b/>
                <w:color w:val="auto"/>
                <w:szCs w:val="21"/>
                <w:highlight w:val="none"/>
              </w:rPr>
              <w:t>6</w:t>
            </w:r>
          </w:p>
        </w:tc>
        <w:tc>
          <w:tcPr>
            <w:tcW w:w="1224" w:type="dxa"/>
            <w:tcBorders>
              <w:top w:val="single" w:color="auto" w:sz="4" w:space="0"/>
              <w:left w:val="single" w:color="auto" w:sz="4" w:space="0"/>
              <w:bottom w:val="single" w:color="auto" w:sz="4" w:space="0"/>
              <w:right w:val="single" w:color="auto" w:sz="4" w:space="0"/>
            </w:tcBorders>
            <w:vAlign w:val="center"/>
          </w:tcPr>
          <w:p w14:paraId="3A7991B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政策分（2分）</w:t>
            </w:r>
          </w:p>
        </w:tc>
        <w:tc>
          <w:tcPr>
            <w:tcW w:w="7701" w:type="dxa"/>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14:paraId="63C112DD">
            <w:pPr>
              <w:pStyle w:val="25"/>
              <w:spacing w:line="400" w:lineRule="exact"/>
              <w:rPr>
                <w:rFonts w:hAnsi="宋体" w:cs="宋体"/>
                <w:color w:val="auto"/>
                <w:kern w:val="2"/>
                <w:sz w:val="21"/>
                <w:highlight w:val="none"/>
              </w:rPr>
            </w:pPr>
            <w:r>
              <w:rPr>
                <w:rFonts w:hint="eastAsia" w:hAnsi="宋体" w:cs="宋体"/>
                <w:color w:val="auto"/>
                <w:kern w:val="2"/>
                <w:sz w:val="21"/>
                <w:highlight w:val="none"/>
              </w:rPr>
              <w:t>（1）属于财政部《节能产品政府采购品目清单》内优先采购（清单内未标注“★”的品目）的产品[投标文件中提供有效的认证证书复印件及品目清单（标注出投标产品在品目清单中所属的品目），并加盖投标人电子签章]，得1分。</w:t>
            </w:r>
          </w:p>
          <w:p w14:paraId="3F758725">
            <w:pPr>
              <w:pStyle w:val="25"/>
              <w:spacing w:line="400" w:lineRule="exact"/>
              <w:rPr>
                <w:rFonts w:hAnsi="宋体" w:cs="宋体"/>
                <w:color w:val="auto"/>
                <w:kern w:val="2"/>
                <w:sz w:val="21"/>
                <w:highlight w:val="none"/>
              </w:rPr>
            </w:pPr>
            <w:r>
              <w:rPr>
                <w:rFonts w:hint="eastAsia" w:hAnsi="宋体" w:cs="宋体"/>
                <w:color w:val="auto"/>
                <w:kern w:val="2"/>
                <w:sz w:val="21"/>
                <w:highlight w:val="none"/>
              </w:rPr>
              <w:t>（2）属于财政部《环境标志产品政府采购品目清单》内的产品[投标文件中提供有效的认证证书复印件及品目清单（标注出投标产品在品目清单中所属的品目），并加盖投标人电子签章]，得1分。</w:t>
            </w:r>
          </w:p>
        </w:tc>
      </w:tr>
      <w:tr w14:paraId="6F43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14:paraId="75664FCE">
            <w:pPr>
              <w:rPr>
                <w:rFonts w:ascii="宋体" w:hAnsi="宋体" w:cs="宋体"/>
                <w:b/>
                <w:color w:val="auto"/>
                <w:szCs w:val="21"/>
                <w:highlight w:val="none"/>
              </w:rPr>
            </w:pPr>
            <w:r>
              <w:rPr>
                <w:rFonts w:hint="eastAsia" w:ascii="宋体" w:hAnsi="宋体" w:cs="宋体"/>
                <w:b/>
                <w:bCs/>
                <w:color w:val="auto"/>
                <w:highlight w:val="none"/>
              </w:rPr>
              <w:t>7.总得分为以上各项评审因素得分合计。</w:t>
            </w:r>
          </w:p>
        </w:tc>
      </w:tr>
    </w:tbl>
    <w:p w14:paraId="58A825A9">
      <w:pPr>
        <w:rPr>
          <w:rFonts w:ascii="宋体" w:hAnsi="宋体" w:cs="宋体"/>
          <w:b/>
          <w:color w:val="auto"/>
          <w:highlight w:val="none"/>
        </w:rPr>
      </w:pPr>
    </w:p>
    <w:p w14:paraId="69F6C679">
      <w:pPr>
        <w:pStyle w:val="25"/>
        <w:spacing w:line="360" w:lineRule="auto"/>
        <w:rPr>
          <w:rFonts w:hAnsi="宋体" w:cs="宋体"/>
          <w:b/>
          <w:color w:val="auto"/>
          <w:sz w:val="21"/>
          <w:highlight w:val="none"/>
        </w:rPr>
      </w:pPr>
    </w:p>
    <w:p w14:paraId="6837B617">
      <w:pPr>
        <w:pStyle w:val="6"/>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四、中标候选人推荐</w:t>
      </w:r>
    </w:p>
    <w:p w14:paraId="6FBCA589">
      <w:pPr>
        <w:pStyle w:val="25"/>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1.评标委员会根据原始评标记录和评标结果编写评标报告，并通过电子交易平台向采购人、采购代理机构提交。</w:t>
      </w:r>
    </w:p>
    <w:p w14:paraId="5EBEE81E">
      <w:pPr>
        <w:pStyle w:val="25"/>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0663D6CD">
      <w:pPr>
        <w:pStyle w:val="5"/>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br w:type="page"/>
      </w:r>
    </w:p>
    <w:p w14:paraId="105278A2">
      <w:pPr>
        <w:pStyle w:val="5"/>
        <w:keepNext w:val="0"/>
        <w:keepLines w:val="0"/>
        <w:jc w:val="center"/>
        <w:rPr>
          <w:rFonts w:ascii="宋体" w:hAnsi="宋体" w:eastAsia="宋体" w:cs="宋体"/>
          <w:color w:val="auto"/>
          <w:highlight w:val="none"/>
        </w:rPr>
      </w:pPr>
    </w:p>
    <w:p w14:paraId="15511AC6">
      <w:pPr>
        <w:rPr>
          <w:rFonts w:ascii="宋体" w:hAnsi="宋体" w:cs="宋体"/>
          <w:color w:val="auto"/>
          <w:highlight w:val="none"/>
        </w:rPr>
      </w:pPr>
    </w:p>
    <w:p w14:paraId="650989AB">
      <w:pPr>
        <w:pStyle w:val="20"/>
        <w:rPr>
          <w:rFonts w:ascii="宋体" w:hAnsi="宋体" w:cs="宋体"/>
          <w:color w:val="auto"/>
          <w:highlight w:val="none"/>
        </w:rPr>
      </w:pPr>
    </w:p>
    <w:p w14:paraId="569D2C12">
      <w:pPr>
        <w:pStyle w:val="20"/>
        <w:rPr>
          <w:rFonts w:ascii="宋体" w:hAnsi="宋体" w:cs="宋体"/>
          <w:color w:val="auto"/>
          <w:highlight w:val="none"/>
        </w:rPr>
      </w:pPr>
    </w:p>
    <w:p w14:paraId="3FD94E53">
      <w:pPr>
        <w:pStyle w:val="20"/>
        <w:rPr>
          <w:rFonts w:ascii="宋体" w:hAnsi="宋体" w:cs="宋体"/>
          <w:color w:val="auto"/>
          <w:highlight w:val="none"/>
        </w:rPr>
      </w:pPr>
    </w:p>
    <w:p w14:paraId="607ECBEB">
      <w:pPr>
        <w:pStyle w:val="20"/>
        <w:rPr>
          <w:rFonts w:ascii="宋体" w:hAnsi="宋体" w:cs="宋体"/>
          <w:color w:val="auto"/>
          <w:highlight w:val="none"/>
        </w:rPr>
      </w:pPr>
    </w:p>
    <w:p w14:paraId="566B281B">
      <w:pPr>
        <w:pStyle w:val="5"/>
        <w:keepNext w:val="0"/>
        <w:keepLines w:val="0"/>
        <w:jc w:val="center"/>
        <w:rPr>
          <w:rFonts w:ascii="宋体" w:hAnsi="宋体" w:eastAsia="宋体" w:cs="宋体"/>
          <w:color w:val="auto"/>
          <w:highlight w:val="none"/>
        </w:rPr>
      </w:pPr>
    </w:p>
    <w:p w14:paraId="45A07F7B">
      <w:pPr>
        <w:rPr>
          <w:rFonts w:ascii="宋体" w:hAnsi="宋体" w:cs="宋体"/>
          <w:color w:val="auto"/>
          <w:highlight w:val="none"/>
        </w:rPr>
      </w:pPr>
    </w:p>
    <w:p w14:paraId="215E612C">
      <w:pPr>
        <w:pStyle w:val="5"/>
        <w:keepNext w:val="0"/>
        <w:keepLines w:val="0"/>
        <w:jc w:val="center"/>
        <w:rPr>
          <w:rFonts w:ascii="宋体" w:hAnsi="宋体" w:eastAsia="宋体" w:cs="宋体"/>
          <w:color w:val="auto"/>
          <w:highlight w:val="none"/>
        </w:rPr>
      </w:pPr>
    </w:p>
    <w:p w14:paraId="48A4BF8C">
      <w:pPr>
        <w:pStyle w:val="4"/>
        <w:jc w:val="center"/>
        <w:rPr>
          <w:rFonts w:ascii="宋体" w:hAnsi="宋体" w:cs="宋体"/>
          <w:color w:val="auto"/>
          <w:highlight w:val="none"/>
        </w:rPr>
      </w:pPr>
      <w:bookmarkStart w:id="141" w:name="_Toc74320804"/>
      <w:bookmarkStart w:id="142" w:name="_Toc143259165"/>
      <w:r>
        <w:rPr>
          <w:rFonts w:hint="eastAsia" w:ascii="宋体" w:hAnsi="宋体" w:cs="宋体"/>
          <w:color w:val="auto"/>
          <w:highlight w:val="none"/>
        </w:rPr>
        <w:t>第五章 拟签订的合同文本</w:t>
      </w:r>
      <w:bookmarkEnd w:id="141"/>
      <w:bookmarkEnd w:id="142"/>
    </w:p>
    <w:p w14:paraId="2466787B">
      <w:pPr>
        <w:snapToGrid w:val="0"/>
        <w:jc w:val="center"/>
        <w:rPr>
          <w:rFonts w:ascii="宋体" w:hAnsi="宋体" w:cs="宋体"/>
          <w:bCs/>
          <w:color w:val="auto"/>
          <w:sz w:val="32"/>
          <w:szCs w:val="32"/>
          <w:highlight w:val="none"/>
        </w:rPr>
      </w:pPr>
    </w:p>
    <w:p w14:paraId="67FC3327">
      <w:pPr>
        <w:snapToGrid w:val="0"/>
        <w:jc w:val="center"/>
        <w:rPr>
          <w:rFonts w:ascii="宋体" w:hAnsi="宋体" w:cs="宋体"/>
          <w:bCs/>
          <w:color w:val="auto"/>
          <w:sz w:val="32"/>
          <w:szCs w:val="32"/>
          <w:highlight w:val="none"/>
        </w:rPr>
      </w:pPr>
    </w:p>
    <w:p w14:paraId="1B911FD7">
      <w:pPr>
        <w:snapToGrid w:val="0"/>
        <w:jc w:val="center"/>
        <w:rPr>
          <w:rFonts w:ascii="宋体" w:hAnsi="宋体" w:cs="宋体"/>
          <w:bCs/>
          <w:color w:val="auto"/>
          <w:sz w:val="32"/>
          <w:szCs w:val="32"/>
          <w:highlight w:val="none"/>
        </w:rPr>
      </w:pPr>
    </w:p>
    <w:p w14:paraId="67DACE4F">
      <w:pPr>
        <w:snapToGrid w:val="0"/>
        <w:jc w:val="center"/>
        <w:rPr>
          <w:rFonts w:ascii="宋体" w:hAnsi="宋体" w:cs="宋体"/>
          <w:bCs/>
          <w:color w:val="auto"/>
          <w:sz w:val="32"/>
          <w:szCs w:val="32"/>
          <w:highlight w:val="none"/>
        </w:rPr>
      </w:pPr>
    </w:p>
    <w:p w14:paraId="32B796DC">
      <w:pPr>
        <w:snapToGrid w:val="0"/>
        <w:jc w:val="center"/>
        <w:rPr>
          <w:rFonts w:ascii="宋体" w:hAnsi="宋体" w:cs="宋体"/>
          <w:bCs/>
          <w:color w:val="auto"/>
          <w:sz w:val="32"/>
          <w:szCs w:val="32"/>
          <w:highlight w:val="none"/>
        </w:rPr>
      </w:pPr>
    </w:p>
    <w:p w14:paraId="5E7A1A38">
      <w:pPr>
        <w:snapToGrid w:val="0"/>
        <w:jc w:val="center"/>
        <w:rPr>
          <w:rFonts w:ascii="宋体" w:hAnsi="宋体" w:cs="宋体"/>
          <w:bCs/>
          <w:color w:val="auto"/>
          <w:sz w:val="32"/>
          <w:szCs w:val="32"/>
          <w:highlight w:val="none"/>
        </w:rPr>
      </w:pPr>
    </w:p>
    <w:p w14:paraId="3BE0EAD5">
      <w:pPr>
        <w:snapToGrid w:val="0"/>
        <w:jc w:val="center"/>
        <w:rPr>
          <w:rFonts w:ascii="宋体" w:hAnsi="宋体" w:cs="宋体"/>
          <w:bCs/>
          <w:color w:val="auto"/>
          <w:sz w:val="32"/>
          <w:szCs w:val="32"/>
          <w:highlight w:val="none"/>
        </w:rPr>
      </w:pPr>
    </w:p>
    <w:p w14:paraId="32BA3519">
      <w:pPr>
        <w:snapToGrid w:val="0"/>
        <w:jc w:val="center"/>
        <w:rPr>
          <w:rFonts w:ascii="宋体" w:hAnsi="宋体" w:cs="宋体"/>
          <w:bCs/>
          <w:color w:val="auto"/>
          <w:sz w:val="32"/>
          <w:szCs w:val="32"/>
          <w:highlight w:val="none"/>
        </w:rPr>
      </w:pPr>
    </w:p>
    <w:p w14:paraId="673D8448">
      <w:pPr>
        <w:snapToGrid w:val="0"/>
        <w:jc w:val="center"/>
        <w:rPr>
          <w:rFonts w:ascii="宋体" w:hAnsi="宋体" w:cs="宋体"/>
          <w:bCs/>
          <w:color w:val="auto"/>
          <w:sz w:val="32"/>
          <w:szCs w:val="32"/>
          <w:highlight w:val="none"/>
        </w:rPr>
      </w:pPr>
    </w:p>
    <w:p w14:paraId="5F8CEC53">
      <w:pPr>
        <w:snapToGrid w:val="0"/>
        <w:jc w:val="center"/>
        <w:rPr>
          <w:rFonts w:ascii="宋体" w:hAnsi="宋体" w:cs="宋体"/>
          <w:bCs/>
          <w:color w:val="auto"/>
          <w:sz w:val="32"/>
          <w:szCs w:val="32"/>
          <w:highlight w:val="none"/>
        </w:rPr>
      </w:pPr>
    </w:p>
    <w:p w14:paraId="5E63FCB6">
      <w:pPr>
        <w:snapToGrid w:val="0"/>
        <w:jc w:val="center"/>
        <w:rPr>
          <w:rFonts w:ascii="宋体" w:hAnsi="宋体" w:cs="宋体"/>
          <w:bCs/>
          <w:color w:val="auto"/>
          <w:sz w:val="32"/>
          <w:szCs w:val="32"/>
          <w:highlight w:val="none"/>
        </w:rPr>
      </w:pPr>
    </w:p>
    <w:p w14:paraId="756E8B95">
      <w:pPr>
        <w:snapToGrid w:val="0"/>
        <w:jc w:val="center"/>
        <w:rPr>
          <w:rFonts w:ascii="宋体" w:hAnsi="宋体" w:cs="宋体"/>
          <w:bCs/>
          <w:color w:val="auto"/>
          <w:sz w:val="32"/>
          <w:szCs w:val="32"/>
          <w:highlight w:val="none"/>
        </w:rPr>
      </w:pPr>
    </w:p>
    <w:p w14:paraId="0B4AF917">
      <w:pPr>
        <w:snapToGrid w:val="0"/>
        <w:jc w:val="center"/>
        <w:rPr>
          <w:rFonts w:ascii="宋体" w:hAnsi="宋体" w:cs="宋体"/>
          <w:bCs/>
          <w:color w:val="auto"/>
          <w:sz w:val="32"/>
          <w:szCs w:val="32"/>
          <w:highlight w:val="none"/>
        </w:rPr>
      </w:pPr>
    </w:p>
    <w:p w14:paraId="77BBCAAA">
      <w:pPr>
        <w:snapToGrid w:val="0"/>
        <w:spacing w:line="360" w:lineRule="auto"/>
        <w:ind w:firstLine="420" w:firstLineChars="200"/>
        <w:rPr>
          <w:rFonts w:ascii="宋体" w:hAnsi="宋体" w:cs="宋体"/>
          <w:color w:val="auto"/>
          <w:szCs w:val="21"/>
          <w:highlight w:val="none"/>
        </w:rPr>
      </w:pPr>
    </w:p>
    <w:p w14:paraId="0DD0F91F">
      <w:pPr>
        <w:rPr>
          <w:rFonts w:ascii="宋体" w:hAnsi="宋体" w:cs="宋体"/>
          <w:color w:val="auto"/>
          <w:szCs w:val="21"/>
          <w:highlight w:val="none"/>
        </w:rPr>
      </w:pPr>
    </w:p>
    <w:p w14:paraId="1B6B3C64">
      <w:pPr>
        <w:spacing w:line="500" w:lineRule="exact"/>
        <w:jc w:val="center"/>
        <w:rPr>
          <w:rFonts w:ascii="宋体" w:hAnsi="宋体"/>
          <w:b/>
          <w:color w:val="auto"/>
          <w:sz w:val="48"/>
          <w:szCs w:val="48"/>
          <w:highlight w:val="none"/>
        </w:rPr>
      </w:pPr>
      <w:bookmarkStart w:id="143" w:name="_Hlk55381736"/>
      <w:r>
        <w:rPr>
          <w:rFonts w:hint="eastAsia" w:ascii="宋体" w:hAnsi="宋体"/>
          <w:b/>
          <w:color w:val="auto"/>
          <w:sz w:val="48"/>
          <w:szCs w:val="48"/>
          <w:highlight w:val="none"/>
        </w:rPr>
        <w:t>医疗器械采购合同</w:t>
      </w:r>
    </w:p>
    <w:p w14:paraId="24D85EB7">
      <w:pPr>
        <w:spacing w:line="400" w:lineRule="exact"/>
        <w:rPr>
          <w:rFonts w:ascii="宋体" w:hAnsi="宋体"/>
          <w:b/>
          <w:color w:val="auto"/>
          <w:sz w:val="24"/>
          <w:highlight w:val="none"/>
        </w:rPr>
      </w:pPr>
    </w:p>
    <w:p w14:paraId="389BA4DD">
      <w:pPr>
        <w:spacing w:line="400" w:lineRule="exac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项目名称：医疗设备采购项目（复合式冷热消融系统1套）合同编号：</w:t>
      </w:r>
    </w:p>
    <w:p w14:paraId="4D404C94">
      <w:pPr>
        <w:spacing w:line="400" w:lineRule="exact"/>
        <w:rPr>
          <w:rFonts w:asciiTheme="majorEastAsia" w:hAnsiTheme="majorEastAsia" w:eastAsiaTheme="majorEastAsia"/>
          <w:b/>
          <w:color w:val="auto"/>
          <w:szCs w:val="21"/>
          <w:highlight w:val="none"/>
        </w:rPr>
      </w:pPr>
    </w:p>
    <w:p w14:paraId="66261262">
      <w:pPr>
        <w:spacing w:line="400" w:lineRule="exac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甲方：</w:t>
      </w:r>
      <w:r>
        <w:rPr>
          <w:rFonts w:hint="eastAsia" w:asciiTheme="majorEastAsia" w:hAnsiTheme="majorEastAsia" w:eastAsiaTheme="majorEastAsia"/>
          <w:b/>
          <w:color w:val="auto"/>
          <w:szCs w:val="21"/>
          <w:highlight w:val="none"/>
          <w:u w:val="single"/>
        </w:rPr>
        <w:t>桂林医学院附属医院</w:t>
      </w:r>
    </w:p>
    <w:p w14:paraId="061B8911">
      <w:pPr>
        <w:spacing w:line="400" w:lineRule="exact"/>
        <w:rPr>
          <w:rFonts w:ascii="Arial" w:hAnsi="Arial" w:cs="Arial"/>
          <w:color w:val="auto"/>
          <w:szCs w:val="21"/>
          <w:highlight w:val="none"/>
        </w:rPr>
      </w:pPr>
      <w:r>
        <w:rPr>
          <w:rFonts w:hint="eastAsia" w:asciiTheme="majorEastAsia" w:hAnsiTheme="majorEastAsia" w:eastAsiaTheme="majorEastAsia"/>
          <w:b/>
          <w:color w:val="auto"/>
          <w:szCs w:val="21"/>
          <w:highlight w:val="none"/>
        </w:rPr>
        <w:t>乙方：</w:t>
      </w:r>
      <w:r>
        <w:rPr>
          <w:rFonts w:hint="eastAsia" w:asciiTheme="majorEastAsia" w:hAnsiTheme="majorEastAsia" w:eastAsiaTheme="majorEastAsia"/>
          <w:b/>
          <w:color w:val="auto"/>
          <w:szCs w:val="21"/>
          <w:highlight w:val="none"/>
          <w:u w:val="single"/>
          <w:lang w:val="en-US" w:eastAsia="zh-CN"/>
        </w:rPr>
        <w:t xml:space="preserve">                  </w:t>
      </w:r>
    </w:p>
    <w:p w14:paraId="1CB16360">
      <w:pPr>
        <w:snapToGrid w:val="0"/>
        <w:spacing w:line="324" w:lineRule="auto"/>
        <w:ind w:firstLine="420" w:firstLineChars="200"/>
        <w:rPr>
          <w:rFonts w:ascii="Arial" w:hAnsi="Arial" w:cs="Arial"/>
          <w:color w:val="auto"/>
          <w:szCs w:val="21"/>
          <w:highlight w:val="none"/>
        </w:rPr>
      </w:pPr>
      <w:r>
        <w:rPr>
          <w:rFonts w:ascii="Arial" w:hAnsi="Arial" w:cs="Arial"/>
          <w:color w:val="auto"/>
          <w:szCs w:val="21"/>
          <w:highlight w:val="none"/>
        </w:rPr>
        <w:t>根据《中华人民共和国政府采购法》、《中华人民共和国民法典》等法律、法规规定，按照招投标文件（采购文件）规定条款和中标（成交）供应商承诺，甲乙双方签订本合同。</w:t>
      </w:r>
    </w:p>
    <w:p w14:paraId="6FB9EB2E">
      <w:pPr>
        <w:numPr>
          <w:ilvl w:val="0"/>
          <w:numId w:val="7"/>
        </w:numPr>
        <w:snapToGrid w:val="0"/>
        <w:spacing w:line="400" w:lineRule="exact"/>
        <w:ind w:firstLine="200"/>
        <w:rPr>
          <w:rFonts w:ascii="Arial" w:hAnsi="Arial" w:cs="Arial"/>
          <w:color w:val="auto"/>
          <w:szCs w:val="21"/>
          <w:highlight w:val="none"/>
        </w:rPr>
      </w:pPr>
      <w:r>
        <w:rPr>
          <w:rFonts w:ascii="Arial" w:hAnsi="Arial" w:cs="Arial"/>
          <w:b/>
          <w:color w:val="auto"/>
          <w:szCs w:val="21"/>
          <w:highlight w:val="none"/>
        </w:rPr>
        <w:t>合同标的</w:t>
      </w:r>
    </w:p>
    <w:p w14:paraId="54C17EB5">
      <w:pPr>
        <w:numPr>
          <w:ilvl w:val="0"/>
          <w:numId w:val="0"/>
        </w:numPr>
        <w:snapToGrid w:val="0"/>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w:t>
      </w:r>
      <w:r>
        <w:rPr>
          <w:rFonts w:ascii="Arial" w:hAnsi="Arial" w:cs="Arial"/>
          <w:color w:val="auto"/>
          <w:szCs w:val="21"/>
          <w:highlight w:val="none"/>
        </w:rPr>
        <w:t>供货一览表：货物名称、品牌、型号、规格、厂家、数量、金额（其中：货物名称、品牌、型号、规格、厂家须与医疗器械注册证或备案证一致）。</w:t>
      </w:r>
    </w:p>
    <w:tbl>
      <w:tblPr>
        <w:tblStyle w:val="47"/>
        <w:tblpPr w:leftFromText="180" w:rightFromText="180" w:vertAnchor="text" w:horzAnchor="page" w:tblpX="1322" w:tblpY="1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1755"/>
        <w:gridCol w:w="1388"/>
        <w:gridCol w:w="1179"/>
        <w:gridCol w:w="568"/>
        <w:gridCol w:w="582"/>
        <w:gridCol w:w="909"/>
        <w:gridCol w:w="1267"/>
      </w:tblGrid>
      <w:tr w14:paraId="2D34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241" w:type="dxa"/>
            <w:vAlign w:val="center"/>
          </w:tcPr>
          <w:p w14:paraId="15C49D5C">
            <w:pPr>
              <w:snapToGrid w:val="0"/>
              <w:jc w:val="center"/>
              <w:rPr>
                <w:rFonts w:ascii="宋体" w:hAnsi="宋体" w:cs="宋体"/>
                <w:color w:val="auto"/>
                <w:szCs w:val="21"/>
                <w:highlight w:val="none"/>
              </w:rPr>
            </w:pPr>
            <w:r>
              <w:rPr>
                <w:rFonts w:hint="eastAsia" w:ascii="宋体" w:hAnsi="宋体" w:cs="宋体"/>
                <w:color w:val="auto"/>
                <w:szCs w:val="21"/>
                <w:highlight w:val="none"/>
              </w:rPr>
              <w:t>产品名称</w:t>
            </w:r>
          </w:p>
        </w:tc>
        <w:tc>
          <w:tcPr>
            <w:tcW w:w="1755" w:type="dxa"/>
            <w:vAlign w:val="center"/>
          </w:tcPr>
          <w:p w14:paraId="4DB38D15">
            <w:pPr>
              <w:snapToGrid w:val="0"/>
              <w:jc w:val="center"/>
              <w:rPr>
                <w:rFonts w:ascii="宋体" w:hAnsi="宋体" w:cs="宋体"/>
                <w:color w:val="auto"/>
                <w:szCs w:val="21"/>
                <w:highlight w:val="none"/>
              </w:rPr>
            </w:pPr>
            <w:r>
              <w:rPr>
                <w:rFonts w:hint="eastAsia" w:ascii="宋体" w:hAnsi="宋体" w:cs="宋体"/>
                <w:color w:val="auto"/>
                <w:szCs w:val="21"/>
                <w:highlight w:val="none"/>
              </w:rPr>
              <w:t>器材注册证号</w:t>
            </w:r>
          </w:p>
        </w:tc>
        <w:tc>
          <w:tcPr>
            <w:tcW w:w="1388" w:type="dxa"/>
            <w:vAlign w:val="center"/>
          </w:tcPr>
          <w:p w14:paraId="1B91337A">
            <w:pPr>
              <w:snapToGrid w:val="0"/>
              <w:jc w:val="center"/>
              <w:rPr>
                <w:rFonts w:ascii="宋体" w:hAnsi="宋体" w:cs="宋体"/>
                <w:color w:val="auto"/>
                <w:szCs w:val="21"/>
                <w:highlight w:val="none"/>
              </w:rPr>
            </w:pPr>
            <w:r>
              <w:rPr>
                <w:rFonts w:hint="eastAsia" w:ascii="宋体" w:hAnsi="宋体" w:cs="宋体"/>
                <w:color w:val="auto"/>
                <w:szCs w:val="21"/>
                <w:highlight w:val="none"/>
              </w:rPr>
              <w:t>品牌型号</w:t>
            </w:r>
          </w:p>
        </w:tc>
        <w:tc>
          <w:tcPr>
            <w:tcW w:w="1179" w:type="dxa"/>
            <w:vAlign w:val="center"/>
          </w:tcPr>
          <w:p w14:paraId="16F53EE1">
            <w:pPr>
              <w:snapToGrid w:val="0"/>
              <w:jc w:val="center"/>
              <w:rPr>
                <w:rFonts w:ascii="宋体" w:hAnsi="宋体" w:cs="宋体"/>
                <w:color w:val="auto"/>
                <w:szCs w:val="21"/>
                <w:highlight w:val="none"/>
              </w:rPr>
            </w:pPr>
            <w:r>
              <w:rPr>
                <w:rFonts w:hint="eastAsia" w:ascii="宋体" w:hAnsi="宋体" w:cs="宋体"/>
                <w:color w:val="auto"/>
                <w:szCs w:val="21"/>
                <w:highlight w:val="none"/>
              </w:rPr>
              <w:t>生产厂家</w:t>
            </w:r>
          </w:p>
        </w:tc>
        <w:tc>
          <w:tcPr>
            <w:tcW w:w="568" w:type="dxa"/>
            <w:vAlign w:val="center"/>
          </w:tcPr>
          <w:p w14:paraId="04BF43F4">
            <w:pPr>
              <w:snapToGrid w:val="0"/>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582" w:type="dxa"/>
            <w:vAlign w:val="center"/>
          </w:tcPr>
          <w:p w14:paraId="0E7F9C02">
            <w:pPr>
              <w:snapToGrid w:val="0"/>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909" w:type="dxa"/>
            <w:vAlign w:val="center"/>
          </w:tcPr>
          <w:p w14:paraId="6322F1FB">
            <w:pPr>
              <w:snapToGrid w:val="0"/>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67" w:type="dxa"/>
            <w:vAlign w:val="center"/>
          </w:tcPr>
          <w:p w14:paraId="62375213">
            <w:pPr>
              <w:snapToGrid w:val="0"/>
              <w:jc w:val="center"/>
              <w:rPr>
                <w:rFonts w:ascii="宋体" w:hAnsi="宋体" w:cs="宋体"/>
                <w:color w:val="auto"/>
                <w:szCs w:val="21"/>
                <w:highlight w:val="none"/>
              </w:rPr>
            </w:pPr>
            <w:r>
              <w:rPr>
                <w:rFonts w:hint="eastAsia" w:ascii="宋体" w:hAnsi="宋体" w:cs="宋体"/>
                <w:color w:val="auto"/>
                <w:szCs w:val="21"/>
                <w:highlight w:val="none"/>
              </w:rPr>
              <w:t>总价（元）</w:t>
            </w:r>
          </w:p>
        </w:tc>
      </w:tr>
      <w:tr w14:paraId="2111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4" w:hRule="atLeast"/>
        </w:trPr>
        <w:tc>
          <w:tcPr>
            <w:tcW w:w="2241" w:type="dxa"/>
          </w:tcPr>
          <w:p w14:paraId="10798622">
            <w:pPr>
              <w:snapToGrid w:val="0"/>
              <w:jc w:val="center"/>
              <w:rPr>
                <w:rFonts w:ascii="宋体" w:hAnsi="宋体" w:cs="宋体"/>
                <w:color w:val="auto"/>
                <w:szCs w:val="21"/>
                <w:highlight w:val="none"/>
              </w:rPr>
            </w:pPr>
          </w:p>
        </w:tc>
        <w:tc>
          <w:tcPr>
            <w:tcW w:w="1755" w:type="dxa"/>
            <w:vAlign w:val="center"/>
          </w:tcPr>
          <w:p w14:paraId="0E80CC0A">
            <w:pPr>
              <w:snapToGrid w:val="0"/>
              <w:jc w:val="center"/>
              <w:rPr>
                <w:rFonts w:ascii="宋体" w:hAnsi="宋体" w:cs="宋体"/>
                <w:color w:val="auto"/>
                <w:szCs w:val="21"/>
                <w:highlight w:val="none"/>
              </w:rPr>
            </w:pPr>
          </w:p>
        </w:tc>
        <w:tc>
          <w:tcPr>
            <w:tcW w:w="1388" w:type="dxa"/>
            <w:vAlign w:val="center"/>
          </w:tcPr>
          <w:p w14:paraId="5EF5B6F3">
            <w:pPr>
              <w:snapToGrid w:val="0"/>
              <w:jc w:val="center"/>
              <w:rPr>
                <w:rFonts w:ascii="宋体" w:hAnsi="宋体" w:cs="宋体"/>
                <w:color w:val="auto"/>
                <w:szCs w:val="21"/>
                <w:highlight w:val="none"/>
              </w:rPr>
            </w:pPr>
          </w:p>
        </w:tc>
        <w:tc>
          <w:tcPr>
            <w:tcW w:w="1179" w:type="dxa"/>
            <w:vAlign w:val="center"/>
          </w:tcPr>
          <w:p w14:paraId="45C9A38A">
            <w:pPr>
              <w:snapToGrid w:val="0"/>
              <w:jc w:val="center"/>
              <w:rPr>
                <w:rFonts w:ascii="宋体" w:hAnsi="宋体" w:cs="宋体"/>
                <w:color w:val="auto"/>
                <w:szCs w:val="21"/>
                <w:highlight w:val="none"/>
              </w:rPr>
            </w:pPr>
          </w:p>
        </w:tc>
        <w:tc>
          <w:tcPr>
            <w:tcW w:w="568" w:type="dxa"/>
            <w:vAlign w:val="center"/>
          </w:tcPr>
          <w:p w14:paraId="1CD34A70">
            <w:pPr>
              <w:snapToGrid w:val="0"/>
              <w:jc w:val="center"/>
              <w:rPr>
                <w:rFonts w:ascii="宋体" w:hAnsi="宋体" w:cs="宋体"/>
                <w:color w:val="auto"/>
                <w:szCs w:val="21"/>
                <w:highlight w:val="none"/>
              </w:rPr>
            </w:pPr>
          </w:p>
        </w:tc>
        <w:tc>
          <w:tcPr>
            <w:tcW w:w="582" w:type="dxa"/>
            <w:vAlign w:val="center"/>
          </w:tcPr>
          <w:p w14:paraId="5A26E5F6">
            <w:pPr>
              <w:snapToGrid w:val="0"/>
              <w:jc w:val="center"/>
              <w:rPr>
                <w:rFonts w:ascii="宋体" w:hAnsi="宋体" w:cs="宋体"/>
                <w:color w:val="auto"/>
                <w:szCs w:val="21"/>
                <w:highlight w:val="none"/>
              </w:rPr>
            </w:pPr>
          </w:p>
        </w:tc>
        <w:tc>
          <w:tcPr>
            <w:tcW w:w="909" w:type="dxa"/>
            <w:vAlign w:val="center"/>
          </w:tcPr>
          <w:p w14:paraId="621B32B2">
            <w:pPr>
              <w:snapToGrid w:val="0"/>
              <w:jc w:val="center"/>
              <w:rPr>
                <w:rFonts w:ascii="宋体" w:hAnsi="宋体" w:cs="宋体"/>
                <w:color w:val="auto"/>
                <w:szCs w:val="21"/>
                <w:highlight w:val="none"/>
              </w:rPr>
            </w:pPr>
          </w:p>
        </w:tc>
        <w:tc>
          <w:tcPr>
            <w:tcW w:w="1267" w:type="dxa"/>
            <w:vAlign w:val="center"/>
          </w:tcPr>
          <w:p w14:paraId="5C6F22F1">
            <w:pPr>
              <w:snapToGrid w:val="0"/>
              <w:jc w:val="center"/>
              <w:rPr>
                <w:rFonts w:ascii="宋体" w:hAnsi="宋体" w:cs="宋体"/>
                <w:color w:val="auto"/>
                <w:szCs w:val="21"/>
                <w:highlight w:val="none"/>
              </w:rPr>
            </w:pPr>
          </w:p>
        </w:tc>
      </w:tr>
      <w:tr w14:paraId="4A3F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trPr>
        <w:tc>
          <w:tcPr>
            <w:tcW w:w="9889" w:type="dxa"/>
            <w:gridSpan w:val="8"/>
          </w:tcPr>
          <w:p w14:paraId="7B74A5E2">
            <w:pPr>
              <w:snapToGrid w:val="0"/>
              <w:rPr>
                <w:rFonts w:ascii="宋体" w:hAnsi="宋体" w:cs="宋体"/>
                <w:color w:val="auto"/>
                <w:szCs w:val="21"/>
                <w:highlight w:val="none"/>
                <w:shd w:val="clear" w:color="auto" w:fill="FFFFFF"/>
              </w:rPr>
            </w:pPr>
            <w:r>
              <w:rPr>
                <w:rFonts w:hint="eastAsia" w:ascii="宋体" w:hAnsi="宋体" w:cs="宋体"/>
                <w:bCs/>
                <w:color w:val="auto"/>
                <w:szCs w:val="21"/>
                <w:highlight w:val="none"/>
              </w:rPr>
              <w:t>合计金额人民币（大写）：  小写：</w:t>
            </w:r>
            <w:r>
              <w:rPr>
                <w:rFonts w:hint="eastAsia" w:ascii="宋体" w:hAnsi="宋体" w:cs="宋体"/>
                <w:color w:val="auto"/>
                <w:szCs w:val="21"/>
                <w:highlight w:val="none"/>
                <w:shd w:val="clear" w:color="auto" w:fill="FFFFFF"/>
              </w:rPr>
              <w:t xml:space="preserve">¥ </w:t>
            </w:r>
            <w:r>
              <w:rPr>
                <w:rFonts w:hint="eastAsia" w:ascii="宋体" w:hAnsi="宋体" w:cs="宋体"/>
                <w:color w:val="auto"/>
                <w:szCs w:val="21"/>
                <w:highlight w:val="none"/>
                <w:u w:val="single"/>
                <w:shd w:val="clear" w:color="auto" w:fill="FFFFFF"/>
              </w:rPr>
              <w:t xml:space="preserve">            元</w:t>
            </w:r>
          </w:p>
          <w:p w14:paraId="76AF8247">
            <w:pPr>
              <w:rPr>
                <w:rFonts w:ascii="宋体" w:hAnsi="宋体" w:cs="宋体"/>
                <w:color w:val="auto"/>
                <w:szCs w:val="21"/>
                <w:highlight w:val="none"/>
              </w:rPr>
            </w:pPr>
            <w:r>
              <w:rPr>
                <w:rFonts w:hint="eastAsia" w:ascii="宋体" w:hAnsi="宋体" w:cs="宋体"/>
                <w:color w:val="auto"/>
                <w:szCs w:val="21"/>
                <w:highlight w:val="none"/>
              </w:rPr>
              <w:t>（合计金额包括但不限于货物货款、货物标准附件、备品配件、专用工具、包装、运输、装卸、保险、税金、货到就位和安装、调试、培训、保修</w:t>
            </w:r>
            <w:r>
              <w:rPr>
                <w:rFonts w:hint="eastAsia" w:ascii="宋体" w:hAnsi="宋体" w:cs="宋体"/>
                <w:color w:val="auto"/>
                <w:szCs w:val="21"/>
                <w:highlight w:val="none"/>
                <w:lang w:eastAsia="zh-CN"/>
              </w:rPr>
              <w:t>、验收</w:t>
            </w:r>
            <w:r>
              <w:rPr>
                <w:rFonts w:hint="eastAsia" w:ascii="宋体" w:hAnsi="宋体" w:cs="宋体"/>
                <w:color w:val="auto"/>
                <w:szCs w:val="21"/>
                <w:highlight w:val="none"/>
              </w:rPr>
              <w:t>等的费用。</w:t>
            </w:r>
            <w:r>
              <w:rPr>
                <w:rFonts w:ascii="Arial" w:hAnsi="Arial" w:cs="Arial"/>
                <w:color w:val="auto"/>
                <w:szCs w:val="21"/>
                <w:highlight w:val="none"/>
              </w:rPr>
              <w:t>对于本文件中明确列明必须报价的货物或服务，</w:t>
            </w:r>
            <w:r>
              <w:rPr>
                <w:rFonts w:hint="eastAsia" w:ascii="Arial" w:hAnsi="Arial" w:cs="Arial"/>
                <w:color w:val="auto"/>
                <w:szCs w:val="21"/>
                <w:highlight w:val="none"/>
              </w:rPr>
              <w:t>乙方</w:t>
            </w:r>
            <w:r>
              <w:rPr>
                <w:rFonts w:ascii="Arial" w:hAnsi="Arial" w:cs="Arial"/>
                <w:color w:val="auto"/>
                <w:szCs w:val="21"/>
                <w:highlight w:val="none"/>
              </w:rPr>
              <w:t>应分别报价。对于本文件中未列明，而</w:t>
            </w:r>
            <w:r>
              <w:rPr>
                <w:rFonts w:hint="eastAsia" w:ascii="Arial" w:hAnsi="Arial" w:cs="Arial"/>
                <w:color w:val="auto"/>
                <w:szCs w:val="21"/>
                <w:highlight w:val="none"/>
              </w:rPr>
              <w:t>乙方</w:t>
            </w:r>
            <w:r>
              <w:rPr>
                <w:rFonts w:ascii="Arial" w:hAnsi="Arial" w:cs="Arial"/>
                <w:color w:val="auto"/>
                <w:szCs w:val="21"/>
                <w:highlight w:val="none"/>
              </w:rPr>
              <w:t>认为必需的费用也需列入总报价。在合同实施时，</w:t>
            </w:r>
            <w:r>
              <w:rPr>
                <w:rFonts w:hint="eastAsia" w:ascii="Arial" w:hAnsi="Arial" w:cs="Arial"/>
                <w:color w:val="auto"/>
                <w:szCs w:val="21"/>
                <w:highlight w:val="none"/>
              </w:rPr>
              <w:t>甲方</w:t>
            </w:r>
            <w:r>
              <w:rPr>
                <w:rFonts w:ascii="Arial" w:hAnsi="Arial" w:cs="Arial"/>
                <w:color w:val="auto"/>
                <w:szCs w:val="21"/>
                <w:highlight w:val="none"/>
              </w:rPr>
              <w:t>将不予支付</w:t>
            </w:r>
            <w:r>
              <w:rPr>
                <w:rFonts w:hint="eastAsia" w:ascii="Arial" w:hAnsi="Arial" w:cs="Arial"/>
                <w:color w:val="auto"/>
                <w:szCs w:val="21"/>
                <w:highlight w:val="none"/>
              </w:rPr>
              <w:t>乙方</w:t>
            </w:r>
            <w:r>
              <w:rPr>
                <w:rFonts w:ascii="Arial" w:hAnsi="Arial" w:cs="Arial"/>
                <w:color w:val="auto"/>
                <w:szCs w:val="21"/>
                <w:highlight w:val="none"/>
              </w:rPr>
              <w:t>没有列入的项目费用，并认为此项目的费用已包括在投标总报价中。</w:t>
            </w:r>
            <w:r>
              <w:rPr>
                <w:rFonts w:hint="eastAsia" w:ascii="Arial" w:hAnsi="Arial" w:cs="Arial"/>
                <w:color w:val="auto"/>
                <w:szCs w:val="21"/>
                <w:highlight w:val="none"/>
              </w:rPr>
              <w:t>如招标文件另有规定的，从其规定）</w:t>
            </w:r>
          </w:p>
        </w:tc>
      </w:tr>
    </w:tbl>
    <w:p w14:paraId="16F99511">
      <w:pPr>
        <w:spacing w:line="400" w:lineRule="exact"/>
        <w:ind w:firstLine="422" w:firstLineChars="200"/>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二、付款条件及期限：</w:t>
      </w:r>
    </w:p>
    <w:p w14:paraId="294C1E3E">
      <w:pPr>
        <w:spacing w:line="40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1.接甲方供货通知后，在交货期限内将货物送到甲方指定地点。</w:t>
      </w:r>
    </w:p>
    <w:p w14:paraId="68C77E22">
      <w:pPr>
        <w:spacing w:line="40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2.货物安装调试完成验收合格后，</w:t>
      </w:r>
      <w:r>
        <w:rPr>
          <w:rFonts w:hint="eastAsia" w:asciiTheme="majorEastAsia" w:hAnsiTheme="majorEastAsia" w:eastAsiaTheme="majorEastAsia"/>
          <w:color w:val="auto"/>
          <w:szCs w:val="21"/>
          <w:highlight w:val="none"/>
          <w:lang w:eastAsia="zh-CN"/>
        </w:rPr>
        <w:t>乙方</w:t>
      </w:r>
      <w:r>
        <w:rPr>
          <w:rFonts w:hint="eastAsia" w:asciiTheme="majorEastAsia" w:hAnsiTheme="majorEastAsia" w:eastAsiaTheme="majorEastAsia"/>
          <w:color w:val="auto"/>
          <w:szCs w:val="21"/>
          <w:highlight w:val="none"/>
        </w:rPr>
        <w:t>开具全额税务发票，</w:t>
      </w:r>
      <w:r>
        <w:rPr>
          <w:rFonts w:hint="eastAsia" w:asciiTheme="majorEastAsia" w:hAnsiTheme="majorEastAsia" w:eastAsiaTheme="majorEastAsia"/>
          <w:color w:val="auto"/>
          <w:szCs w:val="21"/>
          <w:highlight w:val="none"/>
          <w:lang w:eastAsia="zh-CN"/>
        </w:rPr>
        <w:t>甲方</w:t>
      </w:r>
      <w:r>
        <w:rPr>
          <w:rFonts w:hint="eastAsia" w:asciiTheme="majorEastAsia" w:hAnsiTheme="majorEastAsia" w:eastAsiaTheme="majorEastAsia"/>
          <w:color w:val="auto"/>
          <w:szCs w:val="21"/>
          <w:highlight w:val="none"/>
        </w:rPr>
        <w:t>在</w:t>
      </w:r>
      <w:r>
        <w:rPr>
          <w:rFonts w:hint="eastAsia" w:asciiTheme="majorEastAsia" w:hAnsiTheme="majorEastAsia" w:eastAsiaTheme="majorEastAsia"/>
          <w:color w:val="auto"/>
          <w:szCs w:val="21"/>
          <w:highlight w:val="none"/>
          <w:lang w:eastAsia="zh-CN"/>
        </w:rPr>
        <w:t>设备</w:t>
      </w:r>
      <w:r>
        <w:rPr>
          <w:rFonts w:hint="eastAsia" w:asciiTheme="majorEastAsia" w:hAnsiTheme="majorEastAsia" w:eastAsiaTheme="majorEastAsia"/>
          <w:color w:val="auto"/>
          <w:szCs w:val="21"/>
          <w:highlight w:val="none"/>
        </w:rPr>
        <w:t>验收合格并无故障运行后转账支付合同款的95%（无息），可采用汇票、云信、供应链、信用证等付款方式。合同款的5%待履行完合同约定的权利义务事项后【乙方承诺质保期（免费保修、维护、升级期）满1年】且不存在争议的，三个月内转账支付（无息）。甲方付款前，乙方未按上述要求开具符合甲方要求的正规财务票据的，甲方有权暂缓或拒付款项且不构成违约。</w:t>
      </w:r>
    </w:p>
    <w:p w14:paraId="65D7BB46">
      <w:pPr>
        <w:spacing w:line="40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票据要求：乙方必须按照甲方要求提供真实、有效、合法的正式税务发票。一旦发现乙方提供虚假税务发票，除须向甲方补开合法的税务发票外，须赔偿甲方发票票面金额一倍的违约金，且甲方有权终止合同，乙方不得提出异议，因终止合同而产生的一切损失均由乙方承担。</w:t>
      </w:r>
    </w:p>
    <w:p w14:paraId="3FFE494F">
      <w:pPr>
        <w:snapToGrid w:val="0"/>
        <w:spacing w:line="360" w:lineRule="auto"/>
        <w:ind w:firstLine="420" w:firstLineChars="200"/>
        <w:rPr>
          <w:rFonts w:ascii="Arial" w:hAnsi="Arial" w:cs="Arial"/>
          <w:color w:val="auto"/>
          <w:szCs w:val="21"/>
          <w:highlight w:val="none"/>
        </w:rPr>
      </w:pPr>
      <w:bookmarkStart w:id="144" w:name="_Toc30723"/>
      <w:bookmarkStart w:id="145" w:name="_Toc17524"/>
      <w:bookmarkStart w:id="146" w:name="_Toc14088"/>
      <w:r>
        <w:rPr>
          <w:rFonts w:hint="eastAsia" w:ascii="Arial" w:hAnsi="Arial" w:cs="Arial"/>
          <w:color w:val="auto"/>
          <w:szCs w:val="21"/>
          <w:highlight w:val="none"/>
        </w:rPr>
        <w:t>4.履约保证金：</w:t>
      </w:r>
      <w:bookmarkEnd w:id="144"/>
      <w:bookmarkEnd w:id="145"/>
      <w:bookmarkEnd w:id="146"/>
    </w:p>
    <w:p w14:paraId="32E3133E">
      <w:pPr>
        <w:snapToGrid w:val="0"/>
        <w:spacing w:line="360" w:lineRule="auto"/>
        <w:ind w:firstLine="420" w:firstLineChars="200"/>
        <w:rPr>
          <w:rFonts w:ascii="Arial" w:hAnsi="Arial" w:cs="Arial"/>
          <w:color w:val="auto"/>
          <w:szCs w:val="21"/>
          <w:highlight w:val="none"/>
        </w:rPr>
      </w:pPr>
      <w:bookmarkStart w:id="147" w:name="_Toc699"/>
      <w:bookmarkStart w:id="148" w:name="_Toc32338"/>
      <w:r>
        <w:rPr>
          <w:rFonts w:hint="eastAsia" w:ascii="Arial" w:hAnsi="Arial" w:cs="Arial"/>
          <w:color w:val="auto"/>
          <w:szCs w:val="21"/>
          <w:highlight w:val="none"/>
        </w:rPr>
        <w:t>（1）履约保证金金额（人民币）：</w:t>
      </w:r>
      <w:bookmarkEnd w:id="147"/>
      <w:bookmarkEnd w:id="148"/>
      <w:bookmarkStart w:id="149" w:name="_Toc2226"/>
      <w:bookmarkStart w:id="150" w:name="_Toc11409"/>
      <w:r>
        <w:rPr>
          <w:rFonts w:hint="eastAsia" w:ascii="Arial" w:hAnsi="Arial" w:cs="Arial"/>
          <w:color w:val="auto"/>
          <w:szCs w:val="21"/>
          <w:highlight w:val="none"/>
        </w:rPr>
        <w:t>按中标金额的1%。</w:t>
      </w:r>
    </w:p>
    <w:p w14:paraId="2DA8C2D1">
      <w:pPr>
        <w:snapToGrid w:val="0"/>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（2）履约保证金递交方式：银行转账、支票、汇票、本票或者金融、担保机构出具的保函（包含电子保函）等非现金方式。</w:t>
      </w:r>
    </w:p>
    <w:p w14:paraId="52458276">
      <w:pPr>
        <w:snapToGrid w:val="0"/>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（3）履约保证金缴纳信息：账户：桂林医学院附属医院，账号：4500 1635 4100 5050 1922，开户行：中国建设银行股份有限公司桂林叠彩支行</w:t>
      </w:r>
      <w:bookmarkEnd w:id="149"/>
      <w:bookmarkEnd w:id="150"/>
      <w:r>
        <w:rPr>
          <w:rFonts w:hint="eastAsia" w:ascii="Arial" w:hAnsi="Arial" w:cs="Arial"/>
          <w:color w:val="auto"/>
          <w:szCs w:val="21"/>
          <w:highlight w:val="none"/>
        </w:rPr>
        <w:t>。</w:t>
      </w:r>
    </w:p>
    <w:p w14:paraId="35E2BAD1">
      <w:pPr>
        <w:snapToGrid w:val="0"/>
        <w:spacing w:line="360" w:lineRule="auto"/>
        <w:ind w:firstLine="420" w:firstLineChars="200"/>
        <w:rPr>
          <w:rFonts w:ascii="Arial" w:hAnsi="Arial" w:cs="Arial"/>
          <w:color w:val="auto"/>
          <w:szCs w:val="21"/>
          <w:highlight w:val="none"/>
        </w:rPr>
      </w:pPr>
      <w:bookmarkStart w:id="151" w:name="_Toc25408"/>
      <w:bookmarkStart w:id="152" w:name="_Toc30605"/>
      <w:r>
        <w:rPr>
          <w:rFonts w:hint="eastAsia" w:ascii="Arial" w:hAnsi="Arial" w:cs="Arial"/>
          <w:color w:val="auto"/>
          <w:szCs w:val="21"/>
          <w:highlight w:val="none"/>
        </w:rPr>
        <w:t>（4）为确保本项目正常运转，乙方必须在合同签订前向甲方缴纳履约保证金。履约保证金采用银行转账交纳方式的，乙方在签订合同前交至甲方指定账户并且到账；履约保证金采用支票、汇票或本票交纳方式的，乙方在签订合同前，向甲方提交支票、汇票或本票原件；履约保证金采用银行、保险机构出具的保函交纳方式的，乙方在签订合同前，向甲方提交保函原件。乙方未按约定时间交货的，则没收其全部履约保证金，履约保证金不足以赔偿损失的，按实际损失赔偿。</w:t>
      </w:r>
      <w:bookmarkEnd w:id="151"/>
      <w:bookmarkEnd w:id="152"/>
    </w:p>
    <w:p w14:paraId="68FCE26D">
      <w:pPr>
        <w:snapToGrid w:val="0"/>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（5）履约保证金退付方式、时间及条件：</w:t>
      </w:r>
    </w:p>
    <w:p w14:paraId="512A4DB6">
      <w:pPr>
        <w:snapToGrid w:val="0"/>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①履约保证金在设备验收合格并交付使用后，由乙方凭《广西壮族自治区政府采购项目合同验收书》向</w:t>
      </w:r>
      <w:r>
        <w:rPr>
          <w:rFonts w:hint="eastAsia" w:ascii="Arial" w:hAnsi="Arial" w:cs="Arial"/>
          <w:color w:val="auto"/>
          <w:szCs w:val="21"/>
          <w:highlight w:val="none"/>
          <w:lang w:eastAsia="zh-CN"/>
        </w:rPr>
        <w:t>甲方</w:t>
      </w:r>
      <w:r>
        <w:rPr>
          <w:rFonts w:hint="eastAsia" w:ascii="Arial" w:hAnsi="Arial" w:cs="Arial"/>
          <w:color w:val="auto"/>
          <w:szCs w:val="21"/>
          <w:highlight w:val="none"/>
        </w:rPr>
        <w:t>申请办理履约保证金退还手续，甲方在收到合格材料后30日内以银行转账方式如数退还（不计利息）。</w:t>
      </w:r>
    </w:p>
    <w:p w14:paraId="642C3917">
      <w:pPr>
        <w:snapToGrid w:val="0"/>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②在履约保证金退还日期前，若乙方的开户名称、开户银行、账号有变动的，请以书面形式通知履约保证金收取单位，否则由此产生的后果由乙方自负。</w:t>
      </w:r>
    </w:p>
    <w:p w14:paraId="268682FB">
      <w:pPr>
        <w:snapToGrid w:val="0"/>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③乙方在签订合同后存在违约情形的，履约保证金不予退还。履约保证金不足以赔偿损失的，按实际损失赔偿。</w:t>
      </w:r>
    </w:p>
    <w:p w14:paraId="530C2776">
      <w:pPr>
        <w:snapToGrid w:val="0"/>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履约保证金指定账户：</w:t>
      </w:r>
    </w:p>
    <w:p w14:paraId="3DE31816">
      <w:pPr>
        <w:snapToGrid w:val="0"/>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开户名称：桂林医学院附属医院</w:t>
      </w:r>
    </w:p>
    <w:p w14:paraId="1F579892">
      <w:pPr>
        <w:snapToGrid w:val="0"/>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开户银行：中国建设银行股份有限公司桂林叠彩支行</w:t>
      </w:r>
    </w:p>
    <w:p w14:paraId="76686022">
      <w:pPr>
        <w:snapToGrid w:val="0"/>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账号：4500 1635 4100 5050 1922</w:t>
      </w:r>
    </w:p>
    <w:p w14:paraId="447ED8AA">
      <w:pPr>
        <w:snapToGrid w:val="0"/>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备注：</w:t>
      </w:r>
    </w:p>
    <w:p w14:paraId="290CBF02">
      <w:pPr>
        <w:snapToGrid w:val="0"/>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37198DB1">
      <w:pPr>
        <w:snapToGrid w:val="0"/>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2.采用金融、担保机构出具的保函的，必须为无条件保函，否则不予签订合同。</w:t>
      </w:r>
    </w:p>
    <w:p w14:paraId="5FFC68AA">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三、货物包装、发运及运输</w:t>
      </w:r>
    </w:p>
    <w:p w14:paraId="0F0B3C66">
      <w:pPr>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w:t>
      </w:r>
      <w:r>
        <w:rPr>
          <w:rFonts w:ascii="Arial" w:hAnsi="Arial" w:cs="Arial"/>
          <w:color w:val="auto"/>
          <w:szCs w:val="21"/>
          <w:highlight w:val="none"/>
        </w:rPr>
        <w:t>乙方应在货物发运前对其进行满足于运输距离、防潮、防震、防锈和防破损装卸要求的包装，以保证货物安全无损的输到达甲方指定地点。</w:t>
      </w:r>
    </w:p>
    <w:p w14:paraId="4F6B8363">
      <w:pPr>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w:t>
      </w:r>
      <w:r>
        <w:rPr>
          <w:rFonts w:ascii="Arial" w:hAnsi="Arial" w:cs="Arial"/>
          <w:color w:val="auto"/>
          <w:szCs w:val="21"/>
          <w:highlight w:val="none"/>
        </w:rPr>
        <w:t>使用说明书、质量检验证明书、随配附件和工具以及配置清单等一并附于货物内交付甲方。</w:t>
      </w:r>
    </w:p>
    <w:p w14:paraId="00F1B1C7">
      <w:pPr>
        <w:snapToGrid w:val="0"/>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3</w:t>
      </w:r>
      <w:r>
        <w:rPr>
          <w:rFonts w:hint="eastAsia" w:ascii="Arial" w:hAnsi="Arial" w:cs="Arial"/>
          <w:color w:val="auto"/>
          <w:szCs w:val="21"/>
          <w:highlight w:val="none"/>
        </w:rPr>
        <w:t>.</w:t>
      </w:r>
      <w:r>
        <w:rPr>
          <w:rFonts w:ascii="Arial" w:hAnsi="Arial" w:cs="Arial"/>
          <w:color w:val="auto"/>
          <w:szCs w:val="21"/>
          <w:highlight w:val="none"/>
        </w:rPr>
        <w:t>乙方负责将货物安全运送到甲方指定地点，并负责清理回收甲方抛弃的相关大件包装, 不另收任何费用。货到甲方前48小时，由乙方通知甲方，但在验收前甲方原则上不负责接收货物。</w:t>
      </w:r>
    </w:p>
    <w:p w14:paraId="70C81E79">
      <w:pPr>
        <w:spacing w:line="400" w:lineRule="exact"/>
        <w:ind w:firstLine="422" w:firstLineChars="200"/>
        <w:rPr>
          <w:rFonts w:ascii="Arial" w:hAnsi="Arial" w:cs="Arial"/>
          <w:b/>
          <w:color w:val="auto"/>
          <w:szCs w:val="21"/>
          <w:highlight w:val="none"/>
        </w:rPr>
      </w:pPr>
      <w:r>
        <w:rPr>
          <w:rFonts w:ascii="Arial" w:hAnsi="Arial" w:cs="Arial"/>
          <w:b/>
          <w:color w:val="auto"/>
          <w:szCs w:val="21"/>
          <w:highlight w:val="none"/>
        </w:rPr>
        <w:t>四、质量要求</w:t>
      </w:r>
    </w:p>
    <w:p w14:paraId="14348AE8">
      <w:pPr>
        <w:snapToGrid w:val="0"/>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w:t>
      </w:r>
      <w:r>
        <w:rPr>
          <w:rFonts w:ascii="Arial" w:hAnsi="Arial" w:cs="Arial"/>
          <w:color w:val="auto"/>
          <w:szCs w:val="21"/>
          <w:highlight w:val="none"/>
        </w:rPr>
        <w:t>乙方应按规定的货物性能、技术要求、质量标准向甲方提供未经使用的全新产品。</w:t>
      </w:r>
    </w:p>
    <w:p w14:paraId="01A7F36A">
      <w:pPr>
        <w:snapToGrid w:val="0"/>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w:t>
      </w:r>
      <w:r>
        <w:rPr>
          <w:rFonts w:ascii="Arial" w:hAnsi="Arial" w:cs="Arial"/>
          <w:color w:val="auto"/>
          <w:szCs w:val="21"/>
          <w:highlight w:val="none"/>
        </w:rPr>
        <w:t>乙方提供货物的质量保证期为自交货物验收合格之日起至</w:t>
      </w:r>
      <w:r>
        <w:rPr>
          <w:rFonts w:hint="eastAsia" w:asciiTheme="majorEastAsia" w:hAnsiTheme="majorEastAsia" w:eastAsiaTheme="majorEastAsia"/>
          <w:b/>
          <w:color w:val="auto"/>
          <w:szCs w:val="21"/>
          <w:highlight w:val="none"/>
          <w:u w:val="single"/>
          <w:lang w:val="en-US" w:eastAsia="zh-CN"/>
        </w:rPr>
        <w:t xml:space="preserve">      </w:t>
      </w:r>
      <w:r>
        <w:rPr>
          <w:rFonts w:ascii="Arial" w:hAnsi="Arial" w:cs="Arial"/>
          <w:color w:val="auto"/>
          <w:szCs w:val="21"/>
          <w:highlight w:val="none"/>
        </w:rPr>
        <w:t>个月止（按投标文件中生产厂家或授权代理商承诺的最长保修期为准）。在质保期内因货物本身的质量问题发生故障，乙方应负责免费修理和无条件更换, 并按售后服务承诺书（附件），延长保修期。</w:t>
      </w:r>
    </w:p>
    <w:p w14:paraId="1724DC0C">
      <w:pPr>
        <w:snapToGrid w:val="0"/>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3</w:t>
      </w:r>
      <w:r>
        <w:rPr>
          <w:rFonts w:hint="eastAsia" w:ascii="Arial" w:hAnsi="Arial" w:cs="Arial"/>
          <w:color w:val="auto"/>
          <w:szCs w:val="21"/>
          <w:highlight w:val="none"/>
        </w:rPr>
        <w:t>.</w:t>
      </w:r>
      <w:r>
        <w:rPr>
          <w:rFonts w:ascii="Arial" w:hAnsi="Arial" w:cs="Arial"/>
          <w:color w:val="auto"/>
          <w:szCs w:val="21"/>
          <w:highlight w:val="none"/>
        </w:rPr>
        <w:t>保修期内，如在使用过程中发生质量问题，乙方在接到甲方通知后按承诺的时间（</w:t>
      </w:r>
      <w:r>
        <w:rPr>
          <w:rFonts w:hint="eastAsia" w:asciiTheme="majorEastAsia" w:hAnsiTheme="majorEastAsia" w:eastAsiaTheme="majorEastAsia"/>
          <w:b/>
          <w:color w:val="auto"/>
          <w:szCs w:val="21"/>
          <w:highlight w:val="none"/>
          <w:u w:val="single"/>
          <w:lang w:val="en-US" w:eastAsia="zh-CN"/>
        </w:rPr>
        <w:t xml:space="preserve">        </w:t>
      </w:r>
      <w:r>
        <w:rPr>
          <w:rFonts w:ascii="Arial" w:hAnsi="Arial" w:cs="Arial"/>
          <w:color w:val="auto"/>
          <w:szCs w:val="21"/>
          <w:highlight w:val="none"/>
        </w:rPr>
        <w:t>小时/天）内到达甲方现场处理。乙方未在承诺时间内到达处理，每次扣除合同款的1%，总金额不超过合同款的5%，否则按本合同第</w:t>
      </w:r>
      <w:r>
        <w:rPr>
          <w:rFonts w:hint="eastAsia" w:ascii="Arial" w:hAnsi="Arial" w:cs="Arial"/>
          <w:color w:val="auto"/>
          <w:szCs w:val="21"/>
          <w:highlight w:val="none"/>
        </w:rPr>
        <w:t>九</w:t>
      </w:r>
      <w:r>
        <w:rPr>
          <w:rFonts w:ascii="Arial" w:hAnsi="Arial" w:cs="Arial"/>
          <w:color w:val="auto"/>
          <w:szCs w:val="21"/>
          <w:highlight w:val="none"/>
        </w:rPr>
        <w:t>条第2款追究法律责任。</w:t>
      </w:r>
    </w:p>
    <w:p w14:paraId="475F4321">
      <w:pPr>
        <w:spacing w:line="400" w:lineRule="exact"/>
        <w:ind w:firstLine="422" w:firstLineChars="200"/>
        <w:rPr>
          <w:rFonts w:ascii="Arial" w:hAnsi="Arial" w:cs="Arial"/>
          <w:b/>
          <w:color w:val="auto"/>
          <w:szCs w:val="21"/>
          <w:highlight w:val="none"/>
        </w:rPr>
      </w:pPr>
      <w:r>
        <w:rPr>
          <w:rFonts w:ascii="Arial" w:hAnsi="Arial" w:cs="Arial"/>
          <w:b/>
          <w:color w:val="auto"/>
          <w:szCs w:val="21"/>
          <w:highlight w:val="none"/>
        </w:rPr>
        <w:t>五、货物的验收</w:t>
      </w:r>
    </w:p>
    <w:p w14:paraId="0B2F0D11">
      <w:pPr>
        <w:spacing w:line="400" w:lineRule="exact"/>
        <w:ind w:firstLine="420" w:firstLineChars="200"/>
        <w:rPr>
          <w:rFonts w:ascii="Arial" w:hAnsi="Arial" w:cs="Arial"/>
          <w:b/>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w:t>
      </w:r>
      <w:r>
        <w:rPr>
          <w:rFonts w:ascii="Arial" w:hAnsi="Arial" w:cs="Arial"/>
          <w:color w:val="auto"/>
          <w:szCs w:val="21"/>
          <w:highlight w:val="none"/>
        </w:rPr>
        <w:t>乙方交货前应对产品作出全面检查和对验收文件进行整理列出配置清单，作为甲方收货验收和使用的技术条件依据，检验的结果应随货物交甲方。</w:t>
      </w:r>
    </w:p>
    <w:p w14:paraId="46161A8C">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w:t>
      </w:r>
      <w:r>
        <w:rPr>
          <w:rFonts w:ascii="Arial" w:hAnsi="Arial" w:cs="Arial"/>
          <w:color w:val="auto"/>
          <w:szCs w:val="21"/>
          <w:highlight w:val="none"/>
        </w:rPr>
        <w:t>甲方对乙方所交货物依照国家有关标准及配置清单进行现场验收，全部货物及附随配件、软件全部清点无误且能达到技术要求的给予签收，验收不合格不予签收，后果由乙方负责。</w:t>
      </w:r>
    </w:p>
    <w:p w14:paraId="31C0D1BE">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3</w:t>
      </w:r>
      <w:r>
        <w:rPr>
          <w:rFonts w:hint="eastAsia" w:ascii="Arial" w:hAnsi="Arial" w:cs="Arial"/>
          <w:color w:val="auto"/>
          <w:szCs w:val="21"/>
          <w:highlight w:val="none"/>
        </w:rPr>
        <w:t>.</w:t>
      </w:r>
      <w:r>
        <w:rPr>
          <w:rFonts w:ascii="Arial" w:hAnsi="Arial" w:cs="Arial"/>
          <w:color w:val="auto"/>
          <w:szCs w:val="21"/>
          <w:highlight w:val="none"/>
        </w:rPr>
        <w:t>乙方应在货到指定地点安装、调试完毕，确保正常使用，并按甲方通知时间配合验收。</w:t>
      </w:r>
    </w:p>
    <w:p w14:paraId="74566774">
      <w:pPr>
        <w:spacing w:line="400" w:lineRule="exact"/>
        <w:ind w:firstLine="422" w:firstLineChars="200"/>
        <w:rPr>
          <w:rFonts w:ascii="Arial" w:hAnsi="Arial" w:cs="Arial"/>
          <w:b/>
          <w:color w:val="auto"/>
          <w:szCs w:val="21"/>
          <w:highlight w:val="none"/>
        </w:rPr>
      </w:pPr>
      <w:r>
        <w:rPr>
          <w:rFonts w:ascii="Arial" w:hAnsi="Arial" w:cs="Arial"/>
          <w:b/>
          <w:color w:val="auto"/>
          <w:szCs w:val="21"/>
          <w:highlight w:val="none"/>
        </w:rPr>
        <w:t>六、交货期及交货方式</w:t>
      </w:r>
    </w:p>
    <w:p w14:paraId="3392240F">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w:t>
      </w:r>
      <w:r>
        <w:rPr>
          <w:rFonts w:ascii="Arial" w:hAnsi="Arial" w:cs="Arial"/>
          <w:color w:val="auto"/>
          <w:szCs w:val="21"/>
          <w:highlight w:val="none"/>
        </w:rPr>
        <w:t>交货期：</w:t>
      </w:r>
      <w:r>
        <w:rPr>
          <w:rFonts w:hint="eastAsia" w:ascii="Arial" w:hAnsi="Arial" w:cs="Arial"/>
          <w:color w:val="auto"/>
          <w:szCs w:val="21"/>
          <w:highlight w:val="none"/>
        </w:rPr>
        <w:t>自签订合同之日起</w:t>
      </w:r>
      <w:r>
        <w:rPr>
          <w:rFonts w:hint="eastAsia" w:asciiTheme="majorEastAsia" w:hAnsiTheme="majorEastAsia" w:eastAsiaTheme="majorEastAsia"/>
          <w:b/>
          <w:color w:val="auto"/>
          <w:szCs w:val="21"/>
          <w:highlight w:val="none"/>
          <w:u w:val="single"/>
          <w:lang w:val="en-US" w:eastAsia="zh-CN"/>
        </w:rPr>
        <w:t xml:space="preserve">      </w:t>
      </w:r>
      <w:r>
        <w:rPr>
          <w:rFonts w:hint="eastAsia" w:ascii="Arial" w:hAnsi="Arial" w:cs="Arial"/>
          <w:color w:val="auto"/>
          <w:szCs w:val="21"/>
          <w:highlight w:val="none"/>
        </w:rPr>
        <w:t>个日历日内安装调试合格完毕并交付使用。</w:t>
      </w:r>
    </w:p>
    <w:p w14:paraId="5747FC08">
      <w:pPr>
        <w:pStyle w:val="18"/>
        <w:spacing w:line="400" w:lineRule="exact"/>
        <w:ind w:firstLine="420" w:firstLineChars="200"/>
        <w:rPr>
          <w:rFonts w:ascii="Arial" w:hAnsi="Arial" w:cs="Arial"/>
          <w:color w:val="auto"/>
          <w:highlight w:val="none"/>
        </w:rPr>
      </w:pPr>
      <w:r>
        <w:rPr>
          <w:rFonts w:ascii="Arial" w:hAnsi="Arial" w:cs="Arial"/>
          <w:color w:val="auto"/>
          <w:szCs w:val="21"/>
          <w:highlight w:val="none"/>
        </w:rPr>
        <w:t>2</w:t>
      </w:r>
      <w:r>
        <w:rPr>
          <w:rFonts w:hint="eastAsia" w:ascii="Arial" w:hAnsi="Arial" w:cs="Arial"/>
          <w:color w:val="auto"/>
          <w:szCs w:val="21"/>
          <w:highlight w:val="none"/>
        </w:rPr>
        <w:t>.</w:t>
      </w:r>
      <w:r>
        <w:rPr>
          <w:rFonts w:ascii="Arial" w:hAnsi="Arial" w:cs="Arial"/>
          <w:color w:val="auto"/>
          <w:szCs w:val="21"/>
          <w:highlight w:val="none"/>
        </w:rPr>
        <w:t>交货方式：现场免费安装调试、培训、</w:t>
      </w:r>
      <w:r>
        <w:rPr>
          <w:rFonts w:ascii="Arial" w:hAnsi="Arial" w:cs="Arial"/>
          <w:color w:val="auto"/>
          <w:highlight w:val="none"/>
        </w:rPr>
        <w:t>全部货物及附随配件、软件全部清点无误且</w:t>
      </w:r>
      <w:r>
        <w:rPr>
          <w:rFonts w:ascii="Arial" w:hAnsi="Arial" w:cs="Arial"/>
          <w:color w:val="auto"/>
          <w:szCs w:val="21"/>
          <w:highlight w:val="none"/>
        </w:rPr>
        <w:t>正常使用，</w:t>
      </w:r>
      <w:r>
        <w:rPr>
          <w:rFonts w:ascii="Arial" w:hAnsi="Arial" w:cs="Arial"/>
          <w:color w:val="auto"/>
          <w:highlight w:val="none"/>
        </w:rPr>
        <w:t>达到甲方使用功能要求，</w:t>
      </w:r>
      <w:r>
        <w:rPr>
          <w:rFonts w:ascii="Arial" w:hAnsi="Arial" w:cs="Arial"/>
          <w:color w:val="auto"/>
          <w:szCs w:val="21"/>
          <w:highlight w:val="none"/>
        </w:rPr>
        <w:t>验收合格</w:t>
      </w:r>
      <w:r>
        <w:rPr>
          <w:rFonts w:hint="eastAsia" w:ascii="Arial" w:hAnsi="Arial" w:cs="Arial"/>
          <w:color w:val="auto"/>
          <w:szCs w:val="21"/>
          <w:highlight w:val="none"/>
        </w:rPr>
        <w:t>。</w:t>
      </w:r>
    </w:p>
    <w:p w14:paraId="0A50ED24">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3</w:t>
      </w:r>
      <w:r>
        <w:rPr>
          <w:rFonts w:hint="eastAsia" w:ascii="Arial" w:hAnsi="Arial" w:cs="Arial"/>
          <w:color w:val="auto"/>
          <w:szCs w:val="21"/>
          <w:highlight w:val="none"/>
        </w:rPr>
        <w:t>.</w:t>
      </w:r>
      <w:r>
        <w:rPr>
          <w:rFonts w:ascii="Arial" w:hAnsi="Arial" w:cs="Arial"/>
          <w:color w:val="auto"/>
          <w:szCs w:val="21"/>
          <w:highlight w:val="none"/>
        </w:rPr>
        <w:t>交货地点：</w:t>
      </w:r>
      <w:r>
        <w:rPr>
          <w:rFonts w:ascii="Arial" w:hAnsi="Arial" w:cs="Arial"/>
          <w:color w:val="auto"/>
          <w:szCs w:val="21"/>
          <w:highlight w:val="none"/>
          <w:u w:val="single"/>
        </w:rPr>
        <w:t>甲方指定地点。</w:t>
      </w:r>
    </w:p>
    <w:p w14:paraId="3F734DE4">
      <w:pPr>
        <w:spacing w:line="400" w:lineRule="exact"/>
        <w:ind w:firstLine="422" w:firstLineChars="200"/>
        <w:rPr>
          <w:rFonts w:ascii="Arial" w:hAnsi="Arial" w:cs="Arial"/>
          <w:b/>
          <w:color w:val="auto"/>
          <w:szCs w:val="21"/>
          <w:highlight w:val="none"/>
        </w:rPr>
      </w:pPr>
      <w:r>
        <w:rPr>
          <w:rFonts w:ascii="Arial" w:hAnsi="Arial" w:cs="Arial"/>
          <w:b/>
          <w:color w:val="auto"/>
          <w:szCs w:val="21"/>
          <w:highlight w:val="none"/>
        </w:rPr>
        <w:t>七、售后服务条款</w:t>
      </w:r>
    </w:p>
    <w:p w14:paraId="4879F956">
      <w:pPr>
        <w:spacing w:line="400" w:lineRule="exact"/>
        <w:ind w:firstLine="420" w:firstLineChars="200"/>
        <w:rPr>
          <w:rFonts w:ascii="Arial" w:hAnsi="Arial" w:cs="Arial"/>
          <w:b/>
          <w:color w:val="auto"/>
          <w:szCs w:val="21"/>
          <w:highlight w:val="none"/>
        </w:rPr>
      </w:pPr>
      <w:r>
        <w:rPr>
          <w:rFonts w:ascii="Arial" w:hAnsi="Arial" w:cs="Arial"/>
          <w:color w:val="auto"/>
          <w:kern w:val="0"/>
          <w:szCs w:val="21"/>
          <w:highlight w:val="none"/>
        </w:rPr>
        <w:t>1</w:t>
      </w:r>
      <w:r>
        <w:rPr>
          <w:rFonts w:hint="eastAsia" w:ascii="Arial" w:hAnsi="Arial" w:cs="Arial"/>
          <w:color w:val="auto"/>
          <w:kern w:val="0"/>
          <w:szCs w:val="21"/>
          <w:highlight w:val="none"/>
        </w:rPr>
        <w:t>.</w:t>
      </w:r>
      <w:r>
        <w:rPr>
          <w:rFonts w:ascii="Arial" w:hAnsi="Arial" w:cs="Arial"/>
          <w:color w:val="auto"/>
          <w:kern w:val="0"/>
          <w:szCs w:val="21"/>
          <w:highlight w:val="none"/>
        </w:rPr>
        <w:t>交钥匙工程：本项目为交钥匙项目。</w:t>
      </w:r>
      <w:r>
        <w:rPr>
          <w:rFonts w:ascii="Arial" w:hAnsi="Arial" w:cs="Arial"/>
          <w:color w:val="auto"/>
          <w:szCs w:val="21"/>
          <w:highlight w:val="none"/>
        </w:rPr>
        <w:t>乙方负责产品的安装调试及人员培训。</w:t>
      </w:r>
      <w:r>
        <w:rPr>
          <w:rFonts w:ascii="Arial" w:hAnsi="Arial" w:cs="Arial"/>
          <w:color w:val="auto"/>
          <w:kern w:val="0"/>
          <w:szCs w:val="21"/>
          <w:highlight w:val="none"/>
        </w:rPr>
        <w:t>在保修期内，乙方必须保证甲方能够合法应用该器械/服务，并办理相关证件、手续，产生的费用包含在合同/协议价格中。在此过程中，甲方应当提供必要支持。若可能出现的后续证件、手续，乙方必须提供办理的流程及方法。</w:t>
      </w:r>
    </w:p>
    <w:p w14:paraId="10B9DC27">
      <w:pPr>
        <w:spacing w:line="400" w:lineRule="exact"/>
        <w:ind w:firstLine="420" w:firstLineChars="200"/>
        <w:rPr>
          <w:rFonts w:ascii="Arial" w:hAnsi="Arial" w:cs="Arial"/>
          <w:b/>
          <w:color w:val="auto"/>
          <w:szCs w:val="21"/>
          <w:highlight w:val="none"/>
        </w:rPr>
      </w:pPr>
      <w:r>
        <w:rPr>
          <w:rFonts w:ascii="Arial" w:hAnsi="Arial" w:cs="Arial"/>
          <w:color w:val="auto"/>
          <w:kern w:val="0"/>
          <w:szCs w:val="21"/>
          <w:highlight w:val="none"/>
        </w:rPr>
        <w:t>2</w:t>
      </w:r>
      <w:r>
        <w:rPr>
          <w:rFonts w:hint="eastAsia" w:ascii="Arial" w:hAnsi="Arial" w:cs="Arial"/>
          <w:color w:val="auto"/>
          <w:kern w:val="0"/>
          <w:szCs w:val="21"/>
          <w:highlight w:val="none"/>
        </w:rPr>
        <w:t>.</w:t>
      </w:r>
      <w:r>
        <w:rPr>
          <w:rFonts w:ascii="Arial" w:hAnsi="Arial" w:cs="Arial"/>
          <w:color w:val="auto"/>
          <w:kern w:val="0"/>
          <w:szCs w:val="21"/>
          <w:highlight w:val="none"/>
        </w:rPr>
        <w:t>易损零配件和专机专用试剂耗材价格表：本项目合同/协议中，应附易损零配件和专机专用试剂耗材价格表。</w:t>
      </w:r>
    </w:p>
    <w:p w14:paraId="7E1B51F0">
      <w:pPr>
        <w:spacing w:line="400" w:lineRule="exact"/>
        <w:ind w:firstLine="420" w:firstLineChars="200"/>
        <w:rPr>
          <w:rFonts w:ascii="Arial" w:hAnsi="Arial" w:cs="Arial"/>
          <w:b/>
          <w:color w:val="auto"/>
          <w:szCs w:val="21"/>
          <w:highlight w:val="none"/>
        </w:rPr>
      </w:pPr>
      <w:r>
        <w:rPr>
          <w:rFonts w:ascii="Arial" w:hAnsi="Arial" w:cs="Arial"/>
          <w:color w:val="auto"/>
          <w:kern w:val="0"/>
          <w:szCs w:val="21"/>
          <w:highlight w:val="none"/>
        </w:rPr>
        <w:t>3</w:t>
      </w:r>
      <w:r>
        <w:rPr>
          <w:rFonts w:hint="eastAsia" w:ascii="Arial" w:hAnsi="Arial" w:cs="Arial"/>
          <w:color w:val="auto"/>
          <w:kern w:val="0"/>
          <w:szCs w:val="21"/>
          <w:highlight w:val="none"/>
        </w:rPr>
        <w:t>.</w:t>
      </w:r>
      <w:r>
        <w:rPr>
          <w:rFonts w:ascii="Arial" w:hAnsi="Arial" w:cs="Arial"/>
          <w:color w:val="auto"/>
          <w:kern w:val="0"/>
          <w:szCs w:val="21"/>
          <w:highlight w:val="none"/>
        </w:rPr>
        <w:t>维修技术支持：乙方一次性免费提供维护手册、维修手册、软件备份、故障代码表、备件清单等维护维修必需的材料和信息，否则不予验收。保修期外，无偿提供维修密码及软件在该项目中的使用权，按合同约定价格提供零部件，以及快速响应的技术支持。</w:t>
      </w:r>
      <w:r>
        <w:rPr>
          <w:rFonts w:ascii="Arial" w:hAnsi="Arial" w:cs="Arial"/>
          <w:color w:val="auto"/>
          <w:szCs w:val="21"/>
          <w:highlight w:val="none"/>
        </w:rPr>
        <w:t>保修期外，如在使用过程中发生质量问题，乙方在接到甲方通知后在</w:t>
      </w:r>
      <w:r>
        <w:rPr>
          <w:rFonts w:hint="eastAsia" w:asciiTheme="majorEastAsia" w:hAnsiTheme="majorEastAsia" w:eastAsiaTheme="majorEastAsia"/>
          <w:b/>
          <w:color w:val="auto"/>
          <w:szCs w:val="21"/>
          <w:highlight w:val="none"/>
          <w:u w:val="single"/>
          <w:lang w:val="en-US" w:eastAsia="zh-CN"/>
        </w:rPr>
        <w:t xml:space="preserve">      </w:t>
      </w:r>
      <w:r>
        <w:rPr>
          <w:rFonts w:ascii="Arial" w:hAnsi="Arial" w:cs="Arial"/>
          <w:color w:val="auto"/>
          <w:szCs w:val="21"/>
          <w:highlight w:val="none"/>
        </w:rPr>
        <w:t>小时/天内到达甲方现场处理。</w:t>
      </w:r>
    </w:p>
    <w:p w14:paraId="0D00C9B8">
      <w:pPr>
        <w:spacing w:line="400" w:lineRule="exact"/>
        <w:ind w:firstLine="420" w:firstLineChars="200"/>
        <w:rPr>
          <w:rFonts w:ascii="Arial" w:hAnsi="Arial" w:cs="Arial"/>
          <w:b/>
          <w:color w:val="auto"/>
          <w:szCs w:val="21"/>
          <w:highlight w:val="none"/>
        </w:rPr>
      </w:pPr>
      <w:r>
        <w:rPr>
          <w:rFonts w:ascii="Arial" w:hAnsi="Arial" w:cs="Arial"/>
          <w:color w:val="auto"/>
          <w:kern w:val="0"/>
          <w:szCs w:val="21"/>
          <w:highlight w:val="none"/>
        </w:rPr>
        <w:t>4</w:t>
      </w:r>
      <w:r>
        <w:rPr>
          <w:rFonts w:hint="eastAsia" w:ascii="Arial" w:hAnsi="Arial" w:cs="Arial"/>
          <w:color w:val="auto"/>
          <w:kern w:val="0"/>
          <w:szCs w:val="21"/>
          <w:highlight w:val="none"/>
        </w:rPr>
        <w:t>.</w:t>
      </w:r>
      <w:r>
        <w:rPr>
          <w:rFonts w:ascii="Arial" w:hAnsi="Arial" w:cs="Arial"/>
          <w:color w:val="auto"/>
          <w:kern w:val="0"/>
          <w:szCs w:val="21"/>
          <w:highlight w:val="none"/>
        </w:rPr>
        <w:t>相关人员培训：标的</w:t>
      </w:r>
      <w:r>
        <w:rPr>
          <w:rFonts w:ascii="Arial" w:hAnsi="Arial" w:cs="Arial"/>
          <w:color w:val="auto"/>
          <w:kern w:val="0"/>
          <w:szCs w:val="21"/>
          <w:highlight w:val="none"/>
          <w:u w:val="single"/>
        </w:rPr>
        <w:t>已/未</w:t>
      </w:r>
      <w:r>
        <w:rPr>
          <w:rFonts w:ascii="Arial" w:hAnsi="Arial" w:cs="Arial"/>
          <w:color w:val="auto"/>
          <w:kern w:val="0"/>
          <w:szCs w:val="21"/>
          <w:highlight w:val="none"/>
        </w:rPr>
        <w:t>包含医护人员及工程人员的培训计划费用，其中医护人员省</w:t>
      </w:r>
      <w:r>
        <w:rPr>
          <w:rFonts w:ascii="Arial" w:hAnsi="Arial" w:cs="Arial"/>
          <w:color w:val="auto"/>
          <w:kern w:val="0"/>
          <w:szCs w:val="21"/>
          <w:highlight w:val="none"/>
          <w:u w:val="single"/>
        </w:rPr>
        <w:t>区内/省区</w:t>
      </w:r>
      <w:r>
        <w:rPr>
          <w:rFonts w:ascii="Arial" w:hAnsi="Arial" w:cs="Arial"/>
          <w:color w:val="auto"/>
          <w:kern w:val="0"/>
          <w:szCs w:val="21"/>
          <w:highlight w:val="none"/>
        </w:rPr>
        <w:t>外专项操作培训</w:t>
      </w:r>
      <w:r>
        <w:rPr>
          <w:rFonts w:hint="eastAsia" w:asciiTheme="majorEastAsia" w:hAnsiTheme="majorEastAsia" w:eastAsiaTheme="majorEastAsia"/>
          <w:b/>
          <w:color w:val="auto"/>
          <w:szCs w:val="21"/>
          <w:highlight w:val="none"/>
          <w:u w:val="single"/>
          <w:lang w:val="en-US" w:eastAsia="zh-CN"/>
        </w:rPr>
        <w:t xml:space="preserve">      </w:t>
      </w:r>
      <w:r>
        <w:rPr>
          <w:rFonts w:ascii="Arial" w:hAnsi="Arial" w:cs="Arial"/>
          <w:color w:val="auto"/>
          <w:kern w:val="0"/>
          <w:szCs w:val="21"/>
          <w:highlight w:val="none"/>
        </w:rPr>
        <w:t>人次；工程人员</w:t>
      </w:r>
      <w:r>
        <w:rPr>
          <w:rFonts w:ascii="Arial" w:hAnsi="Arial" w:cs="Arial"/>
          <w:color w:val="auto"/>
          <w:kern w:val="0"/>
          <w:szCs w:val="21"/>
          <w:highlight w:val="none"/>
          <w:u w:val="single"/>
        </w:rPr>
        <w:t>省区内/省区外</w:t>
      </w:r>
      <w:r>
        <w:rPr>
          <w:rFonts w:ascii="Arial" w:hAnsi="Arial" w:cs="Arial"/>
          <w:color w:val="auto"/>
          <w:kern w:val="0"/>
          <w:szCs w:val="21"/>
          <w:highlight w:val="none"/>
        </w:rPr>
        <w:t>专项维保培训</w:t>
      </w:r>
      <w:r>
        <w:rPr>
          <w:rFonts w:hint="eastAsia" w:asciiTheme="majorEastAsia" w:hAnsiTheme="majorEastAsia" w:eastAsiaTheme="majorEastAsia"/>
          <w:b/>
          <w:color w:val="auto"/>
          <w:szCs w:val="21"/>
          <w:highlight w:val="none"/>
          <w:u w:val="single"/>
          <w:lang w:val="en-US" w:eastAsia="zh-CN"/>
        </w:rPr>
        <w:t xml:space="preserve">      </w:t>
      </w:r>
      <w:r>
        <w:rPr>
          <w:rFonts w:ascii="Arial" w:hAnsi="Arial" w:cs="Arial"/>
          <w:color w:val="auto"/>
          <w:kern w:val="0"/>
          <w:szCs w:val="21"/>
          <w:highlight w:val="none"/>
        </w:rPr>
        <w:t>人次。</w:t>
      </w:r>
    </w:p>
    <w:p w14:paraId="1B51D694">
      <w:pPr>
        <w:spacing w:line="400" w:lineRule="exact"/>
        <w:ind w:firstLine="420" w:firstLineChars="200"/>
        <w:rPr>
          <w:rFonts w:ascii="Arial" w:hAnsi="Arial" w:cs="Arial"/>
          <w:b/>
          <w:color w:val="auto"/>
          <w:szCs w:val="21"/>
          <w:highlight w:val="none"/>
        </w:rPr>
      </w:pPr>
      <w:r>
        <w:rPr>
          <w:rFonts w:ascii="Arial" w:hAnsi="Arial" w:cs="Arial"/>
          <w:color w:val="auto"/>
          <w:kern w:val="0"/>
          <w:szCs w:val="21"/>
          <w:highlight w:val="none"/>
        </w:rPr>
        <w:t>5</w:t>
      </w:r>
      <w:r>
        <w:rPr>
          <w:rFonts w:hint="eastAsia" w:ascii="Arial" w:hAnsi="Arial" w:cs="Arial"/>
          <w:color w:val="auto"/>
          <w:kern w:val="0"/>
          <w:szCs w:val="21"/>
          <w:highlight w:val="none"/>
        </w:rPr>
        <w:t>.</w:t>
      </w:r>
      <w:r>
        <w:rPr>
          <w:rFonts w:ascii="Arial" w:hAnsi="Arial" w:cs="Arial"/>
          <w:color w:val="auto"/>
          <w:kern w:val="0"/>
          <w:szCs w:val="21"/>
          <w:highlight w:val="none"/>
        </w:rPr>
        <w:t>乙方无偿保证甲方获得合同约定范围内所有软件功能，终生单机软件使用权。不得限制硬件配件采购，并在甲方自主更换配件后，无偿帮助甲方恢复原有的软件及系统，使甲方能够正常使用该器械/设备、项目。</w:t>
      </w:r>
    </w:p>
    <w:p w14:paraId="68C01B12">
      <w:pPr>
        <w:widowControl/>
        <w:shd w:val="clear" w:color="auto" w:fill="FFFFFF"/>
        <w:spacing w:line="40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6</w:t>
      </w:r>
      <w:r>
        <w:rPr>
          <w:rFonts w:hint="eastAsia" w:ascii="Arial" w:hAnsi="Arial" w:cs="Arial"/>
          <w:color w:val="auto"/>
          <w:kern w:val="0"/>
          <w:szCs w:val="21"/>
          <w:highlight w:val="none"/>
        </w:rPr>
        <w:t>.</w:t>
      </w:r>
      <w:r>
        <w:rPr>
          <w:rFonts w:ascii="Arial" w:hAnsi="Arial" w:cs="Arial"/>
          <w:color w:val="auto"/>
          <w:kern w:val="0"/>
          <w:szCs w:val="21"/>
          <w:highlight w:val="none"/>
        </w:rPr>
        <w:t>乙方承诺保修期内，按国家相关规定，执行保养及预防性维护，并提供报告。</w:t>
      </w:r>
    </w:p>
    <w:p w14:paraId="0D3F98EE">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7</w:t>
      </w:r>
      <w:r>
        <w:rPr>
          <w:rFonts w:hint="eastAsia" w:ascii="Arial" w:hAnsi="Arial" w:cs="Arial"/>
          <w:color w:val="auto"/>
          <w:szCs w:val="21"/>
          <w:highlight w:val="none"/>
        </w:rPr>
        <w:t>.</w:t>
      </w:r>
      <w:r>
        <w:rPr>
          <w:rFonts w:ascii="Arial" w:hAnsi="Arial" w:cs="Arial"/>
          <w:color w:val="auto"/>
          <w:szCs w:val="21"/>
          <w:highlight w:val="none"/>
        </w:rPr>
        <w:t>在</w:t>
      </w:r>
      <w:r>
        <w:rPr>
          <w:rFonts w:ascii="Arial" w:hAnsi="Arial" w:cs="Arial"/>
          <w:color w:val="auto"/>
          <w:kern w:val="0"/>
          <w:szCs w:val="21"/>
          <w:highlight w:val="none"/>
        </w:rPr>
        <w:t>设备规</w:t>
      </w:r>
      <w:r>
        <w:rPr>
          <w:rFonts w:ascii="Arial" w:hAnsi="Arial" w:cs="Arial"/>
          <w:color w:val="auto"/>
          <w:szCs w:val="21"/>
          <w:highlight w:val="none"/>
        </w:rPr>
        <w:t>定的使用期限内，乙方必须保证配件供应。并承诺过保修期后的维修及配件更换不需预付款，按照医院正常付款流程办理。</w:t>
      </w:r>
    </w:p>
    <w:p w14:paraId="249AE684">
      <w:pPr>
        <w:spacing w:line="400" w:lineRule="exact"/>
        <w:ind w:firstLine="420" w:firstLineChars="200"/>
        <w:rPr>
          <w:rFonts w:ascii="Arial" w:hAnsi="Arial" w:cs="Arial"/>
          <w:color w:val="auto"/>
          <w:szCs w:val="21"/>
          <w:highlight w:val="none"/>
        </w:rPr>
      </w:pPr>
      <w:r>
        <w:rPr>
          <w:rFonts w:hint="eastAsia" w:ascii="Arial" w:hAnsi="Arial" w:cs="Arial"/>
          <w:color w:val="auto"/>
          <w:szCs w:val="21"/>
          <w:highlight w:val="none"/>
        </w:rPr>
        <w:t>8.</w:t>
      </w:r>
      <w:r>
        <w:rPr>
          <w:rFonts w:ascii="Arial" w:hAnsi="Arial" w:cs="Arial"/>
          <w:color w:val="auto"/>
          <w:szCs w:val="21"/>
          <w:highlight w:val="none"/>
        </w:rPr>
        <w:t>保修期外维修应同样提供不收取费用的咨询服务，需上门维修的不收取维修费，仅收取材料费。</w:t>
      </w:r>
    </w:p>
    <w:p w14:paraId="063CD74A">
      <w:pPr>
        <w:tabs>
          <w:tab w:val="center" w:pos="4819"/>
        </w:tabs>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9</w:t>
      </w:r>
      <w:r>
        <w:rPr>
          <w:rFonts w:hint="eastAsia" w:ascii="Arial" w:hAnsi="Arial" w:cs="Arial"/>
          <w:color w:val="auto"/>
          <w:szCs w:val="21"/>
          <w:highlight w:val="none"/>
        </w:rPr>
        <w:t>.</w:t>
      </w:r>
      <w:r>
        <w:rPr>
          <w:rFonts w:ascii="Arial" w:hAnsi="Arial" w:cs="Arial"/>
          <w:color w:val="auto"/>
          <w:szCs w:val="21"/>
          <w:highlight w:val="none"/>
        </w:rPr>
        <w:t>其他售后服务条款，详见售后服务承诺书。</w:t>
      </w:r>
      <w:r>
        <w:rPr>
          <w:rFonts w:hint="eastAsia" w:ascii="Arial" w:hAnsi="Arial" w:cs="Arial"/>
          <w:color w:val="auto"/>
          <w:szCs w:val="21"/>
          <w:highlight w:val="none"/>
        </w:rPr>
        <w:tab/>
      </w:r>
    </w:p>
    <w:p w14:paraId="7C82FA90">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10 </w:t>
      </w:r>
      <w:r>
        <w:rPr>
          <w:rFonts w:hint="eastAsia" w:ascii="Arial" w:hAnsi="Arial" w:cs="Arial"/>
          <w:color w:val="auto"/>
          <w:szCs w:val="21"/>
          <w:highlight w:val="none"/>
        </w:rPr>
        <w:t>.</w:t>
      </w:r>
      <w:r>
        <w:rPr>
          <w:rFonts w:ascii="Arial" w:hAnsi="Arial" w:cs="Arial"/>
          <w:color w:val="auto"/>
          <w:szCs w:val="21"/>
          <w:highlight w:val="none"/>
        </w:rPr>
        <w:t>售后服务承诺书原则上须有生产厂家或省级（含省级）以上代理商的盖章。</w:t>
      </w:r>
    </w:p>
    <w:p w14:paraId="46476255">
      <w:pPr>
        <w:pStyle w:val="18"/>
        <w:spacing w:line="400" w:lineRule="exact"/>
        <w:ind w:firstLine="422" w:firstLineChars="200"/>
        <w:rPr>
          <w:rFonts w:ascii="Arial" w:hAnsi="Arial" w:cs="Arial"/>
          <w:b/>
          <w:color w:val="auto"/>
          <w:szCs w:val="21"/>
          <w:highlight w:val="none"/>
        </w:rPr>
      </w:pPr>
      <w:r>
        <w:rPr>
          <w:rFonts w:ascii="Arial" w:hAnsi="Arial" w:cs="Arial"/>
          <w:b/>
          <w:color w:val="auto"/>
          <w:szCs w:val="21"/>
          <w:highlight w:val="none"/>
        </w:rPr>
        <w:t>八、争议解决</w:t>
      </w:r>
    </w:p>
    <w:p w14:paraId="4A9E4176">
      <w:pPr>
        <w:spacing w:line="400" w:lineRule="exact"/>
        <w:ind w:firstLine="420" w:firstLineChars="200"/>
        <w:rPr>
          <w:rFonts w:ascii="Arial" w:hAnsi="Arial" w:cs="Arial"/>
          <w:b/>
          <w:color w:val="auto"/>
          <w:szCs w:val="21"/>
          <w:highlight w:val="none"/>
        </w:rPr>
      </w:pPr>
      <w:r>
        <w:rPr>
          <w:rFonts w:ascii="Arial" w:hAnsi="Arial" w:cs="Arial"/>
          <w:color w:val="auto"/>
          <w:highlight w:val="none"/>
        </w:rPr>
        <w:t>本合同履行期间发生争议的，由甲方住所地人民法院管辖</w:t>
      </w:r>
      <w:r>
        <w:rPr>
          <w:rFonts w:hint="eastAsia" w:ascii="Arial" w:hAnsi="Arial" w:cs="Arial"/>
          <w:color w:val="auto"/>
          <w:highlight w:val="none"/>
        </w:rPr>
        <w:t>。</w:t>
      </w:r>
    </w:p>
    <w:p w14:paraId="5D551DD4">
      <w:pPr>
        <w:spacing w:line="400" w:lineRule="exact"/>
        <w:ind w:firstLine="422" w:firstLineChars="200"/>
        <w:rPr>
          <w:rFonts w:ascii="Arial" w:hAnsi="Arial" w:cs="Arial"/>
          <w:b/>
          <w:color w:val="auto"/>
          <w:szCs w:val="21"/>
          <w:highlight w:val="none"/>
        </w:rPr>
      </w:pPr>
      <w:r>
        <w:rPr>
          <w:rFonts w:ascii="Arial" w:hAnsi="Arial" w:cs="Arial"/>
          <w:b/>
          <w:color w:val="auto"/>
          <w:szCs w:val="21"/>
          <w:highlight w:val="none"/>
        </w:rPr>
        <w:t>九、违约责任：</w:t>
      </w:r>
    </w:p>
    <w:p w14:paraId="0492C136">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w:t>
      </w:r>
      <w:r>
        <w:rPr>
          <w:rFonts w:ascii="Arial" w:hAnsi="Arial" w:cs="Arial"/>
          <w:color w:val="auto"/>
          <w:szCs w:val="21"/>
          <w:highlight w:val="none"/>
        </w:rPr>
        <w:t>乙方逾期交货或甲方无正当理由拒收的，违约方每天按合同标的</w:t>
      </w:r>
      <w:r>
        <w:rPr>
          <w:rFonts w:ascii="Arial" w:hAnsi="Arial" w:cs="Arial"/>
          <w:color w:val="auto"/>
          <w:szCs w:val="21"/>
          <w:highlight w:val="none"/>
          <w:u w:val="single"/>
        </w:rPr>
        <w:t>0.3%</w:t>
      </w:r>
      <w:r>
        <w:rPr>
          <w:rFonts w:ascii="Arial" w:hAnsi="Arial" w:cs="Arial"/>
          <w:color w:val="auto"/>
          <w:szCs w:val="21"/>
          <w:highlight w:val="none"/>
        </w:rPr>
        <w:t>支付违约金。</w:t>
      </w:r>
    </w:p>
    <w:p w14:paraId="1972FFD3">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w:t>
      </w:r>
      <w:r>
        <w:rPr>
          <w:rFonts w:ascii="Arial" w:hAnsi="Arial" w:cs="Arial"/>
          <w:color w:val="auto"/>
          <w:szCs w:val="21"/>
          <w:highlight w:val="none"/>
        </w:rPr>
        <w:t>乙方逾期超过10天仍不能交货的，甲方可解除双方的供货合同，并有权要求乙方承担违约责任，造成甲方损失的，由乙方负责赔偿，赔偿范围包括但不限于直接损失、逾期损失，以及维权产生的相关费用（包括</w:t>
      </w:r>
      <w:r>
        <w:rPr>
          <w:rFonts w:ascii="Arial" w:hAnsi="Arial" w:cs="Arial"/>
          <w:color w:val="auto"/>
          <w:highlight w:val="none"/>
        </w:rPr>
        <w:t>但不限于：律师费、案件受理费、保全费、保单保函保险费、交通费、误工费、鉴定评估费等</w:t>
      </w:r>
      <w:r>
        <w:rPr>
          <w:rFonts w:ascii="Arial" w:hAnsi="Arial" w:cs="Arial"/>
          <w:color w:val="auto"/>
          <w:szCs w:val="21"/>
          <w:highlight w:val="none"/>
        </w:rPr>
        <w:t>）</w:t>
      </w:r>
      <w:r>
        <w:rPr>
          <w:rFonts w:hint="eastAsia" w:ascii="Arial" w:hAnsi="Arial" w:cs="Arial"/>
          <w:color w:val="auto"/>
          <w:szCs w:val="21"/>
          <w:highlight w:val="none"/>
        </w:rPr>
        <w:t>。</w:t>
      </w:r>
    </w:p>
    <w:p w14:paraId="72927FC2">
      <w:pPr>
        <w:pStyle w:val="18"/>
        <w:spacing w:line="400" w:lineRule="exact"/>
        <w:ind w:firstLine="420" w:firstLineChars="200"/>
        <w:rPr>
          <w:rFonts w:ascii="Arial" w:hAnsi="Arial" w:cs="Arial"/>
          <w:color w:val="auto"/>
          <w:highlight w:val="none"/>
        </w:rPr>
      </w:pPr>
      <w:r>
        <w:rPr>
          <w:rFonts w:hint="eastAsia" w:ascii="Arial" w:hAnsi="Arial" w:cs="Arial"/>
          <w:color w:val="auto"/>
          <w:szCs w:val="21"/>
          <w:highlight w:val="none"/>
        </w:rPr>
        <w:t>3.</w:t>
      </w:r>
      <w:r>
        <w:rPr>
          <w:rFonts w:ascii="Arial" w:hAnsi="Arial" w:cs="Arial"/>
          <w:color w:val="auto"/>
          <w:szCs w:val="21"/>
          <w:highlight w:val="none"/>
        </w:rPr>
        <w:t>乙方提供的</w:t>
      </w:r>
      <w:r>
        <w:rPr>
          <w:rFonts w:hint="eastAsia" w:ascii="Arial" w:hAnsi="Arial" w:cs="Arial"/>
          <w:color w:val="auto"/>
          <w:szCs w:val="21"/>
          <w:highlight w:val="none"/>
        </w:rPr>
        <w:t>投</w:t>
      </w:r>
      <w:r>
        <w:rPr>
          <w:rFonts w:ascii="Arial" w:hAnsi="Arial" w:cs="Arial"/>
          <w:color w:val="auto"/>
          <w:szCs w:val="21"/>
          <w:highlight w:val="none"/>
        </w:rPr>
        <w:t>标文件如有虚假，视为乙方根本性违约，甲方有权单方面解除合同，乙方应向甲方支付合同总额30%的违约金，并承担由此造成甲方的全部损失。</w:t>
      </w:r>
    </w:p>
    <w:p w14:paraId="44BE8B0C">
      <w:pPr>
        <w:pStyle w:val="18"/>
        <w:spacing w:line="400" w:lineRule="exact"/>
        <w:ind w:firstLine="420" w:firstLineChars="200"/>
        <w:rPr>
          <w:rFonts w:ascii="Arial" w:hAnsi="Arial" w:cs="Arial"/>
          <w:color w:val="auto"/>
          <w:highlight w:val="none"/>
        </w:rPr>
      </w:pPr>
      <w:r>
        <w:rPr>
          <w:rFonts w:hint="eastAsia" w:ascii="Arial" w:hAnsi="Arial" w:cs="Arial"/>
          <w:color w:val="auto"/>
          <w:highlight w:val="none"/>
        </w:rPr>
        <w:t>4.</w:t>
      </w:r>
      <w:r>
        <w:rPr>
          <w:rFonts w:ascii="Arial" w:hAnsi="Arial" w:cs="Arial"/>
          <w:color w:val="auto"/>
          <w:highlight w:val="none"/>
        </w:rPr>
        <w:t>乙方提供的货物不符合本合同第四条质量要求的，甲方有权要求乙方无条件换货或者退货，甲方换货的，相关的运费及损失由乙方承担；甲方退货的，乙方应在甲方发出退货通知之日起三日内，将所收取的款项全额予以退回，乙方应向甲方支付合同总额30%的违约金，并承担由此造成甲方的全部损失。</w:t>
      </w:r>
    </w:p>
    <w:p w14:paraId="78682608">
      <w:pPr>
        <w:pStyle w:val="18"/>
        <w:spacing w:line="400" w:lineRule="exact"/>
        <w:ind w:firstLine="420" w:firstLineChars="200"/>
        <w:rPr>
          <w:rFonts w:ascii="Arial" w:hAnsi="Arial" w:cs="Arial"/>
          <w:color w:val="auto"/>
          <w:highlight w:val="none"/>
        </w:rPr>
      </w:pPr>
      <w:r>
        <w:rPr>
          <w:rFonts w:hint="eastAsia" w:ascii="Arial" w:hAnsi="Arial" w:cs="Arial"/>
          <w:color w:val="auto"/>
          <w:highlight w:val="none"/>
        </w:rPr>
        <w:t>5.</w:t>
      </w:r>
      <w:r>
        <w:rPr>
          <w:rFonts w:ascii="Arial" w:hAnsi="Arial" w:cs="Arial"/>
          <w:color w:val="auto"/>
          <w:highlight w:val="none"/>
        </w:rPr>
        <w:t>乙方不能按本合同第五条货物的验收要求交付验收的，甲方有权解除合同，乙方应向甲方支付合同总额30%的违约金，并承担由此造成甲方的全部损失。</w:t>
      </w:r>
    </w:p>
    <w:p w14:paraId="52A4FA1C">
      <w:pPr>
        <w:pStyle w:val="18"/>
        <w:spacing w:line="400" w:lineRule="exact"/>
        <w:ind w:firstLine="420" w:firstLineChars="200"/>
        <w:rPr>
          <w:rFonts w:ascii="Arial" w:hAnsi="Arial" w:cs="Arial"/>
          <w:color w:val="auto"/>
          <w:highlight w:val="none"/>
        </w:rPr>
      </w:pPr>
      <w:r>
        <w:rPr>
          <w:rFonts w:ascii="Arial" w:hAnsi="Arial" w:cs="Arial"/>
          <w:color w:val="auto"/>
          <w:highlight w:val="none"/>
        </w:rPr>
        <w:t>6</w:t>
      </w:r>
      <w:r>
        <w:rPr>
          <w:rFonts w:hint="eastAsia" w:ascii="Arial" w:hAnsi="Arial" w:cs="Arial"/>
          <w:color w:val="auto"/>
          <w:highlight w:val="none"/>
        </w:rPr>
        <w:t>.</w:t>
      </w:r>
      <w:r>
        <w:rPr>
          <w:rFonts w:ascii="Arial" w:hAnsi="Arial" w:cs="Arial"/>
          <w:color w:val="auto"/>
          <w:highlight w:val="none"/>
        </w:rPr>
        <w:t>乙方未履行约定售后维修维护责任，每发生一次应按合同价款1%支付违约金，该违约金甲方有权直接从未付货款中抵扣；乙方累计发生5次，或者造成甲方无法正常使用或声誉受损的严重后果的，甲方有权解除合同，乙方应向甲方支付合同总额30%的违约金，并承担由此造成甲方的全部损失。乙方应向甲方支付合同总额30%的违约金，并承担由此造成甲方的全部损失，</w:t>
      </w:r>
      <w:r>
        <w:rPr>
          <w:rFonts w:ascii="Arial" w:hAnsi="Arial" w:cs="Arial"/>
          <w:color w:val="auto"/>
          <w:szCs w:val="21"/>
          <w:highlight w:val="none"/>
        </w:rPr>
        <w:t>并追究乙方相关法律责任。</w:t>
      </w:r>
    </w:p>
    <w:p w14:paraId="60B29C1D">
      <w:pPr>
        <w:spacing w:line="360" w:lineRule="exact"/>
        <w:ind w:firstLine="422" w:firstLineChars="200"/>
        <w:rPr>
          <w:rFonts w:ascii="Arial" w:hAnsi="Arial" w:cs="Arial"/>
          <w:b/>
          <w:color w:val="auto"/>
          <w:szCs w:val="21"/>
          <w:highlight w:val="none"/>
        </w:rPr>
      </w:pPr>
      <w:r>
        <w:rPr>
          <w:rFonts w:ascii="Arial" w:hAnsi="Arial" w:cs="Arial"/>
          <w:b/>
          <w:color w:val="auto"/>
          <w:szCs w:val="21"/>
          <w:highlight w:val="none"/>
        </w:rPr>
        <w:t>十</w:t>
      </w:r>
      <w:r>
        <w:rPr>
          <w:rFonts w:hint="eastAsia" w:ascii="Arial" w:hAnsi="Arial" w:cs="Arial"/>
          <w:b/>
          <w:color w:val="auto"/>
          <w:szCs w:val="21"/>
          <w:highlight w:val="none"/>
        </w:rPr>
        <w:t>、</w:t>
      </w:r>
      <w:r>
        <w:rPr>
          <w:rFonts w:ascii="Arial" w:hAnsi="Arial" w:cs="Arial"/>
          <w:b/>
          <w:color w:val="auto"/>
          <w:szCs w:val="21"/>
          <w:highlight w:val="none"/>
        </w:rPr>
        <w:t>不可抗力事件处理</w:t>
      </w:r>
    </w:p>
    <w:p w14:paraId="03F87075">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1. 在合同有效期内，乙方因不可抗力事件导致不能履行合同，则合同履行期可延长，其延长期与不可抗力影响期相同。</w:t>
      </w:r>
    </w:p>
    <w:p w14:paraId="4C6A02C5">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2. 不可抗力事件发生后，应立即通知对方，并寄送有关权威机构出具的证明。</w:t>
      </w:r>
    </w:p>
    <w:p w14:paraId="5AE79621">
      <w:pPr>
        <w:spacing w:line="360" w:lineRule="exact"/>
        <w:ind w:firstLine="420" w:firstLineChars="200"/>
        <w:rPr>
          <w:rFonts w:ascii="Arial" w:hAnsi="Arial" w:cs="Arial"/>
          <w:b/>
          <w:color w:val="auto"/>
          <w:szCs w:val="21"/>
          <w:highlight w:val="none"/>
        </w:rPr>
      </w:pPr>
      <w:r>
        <w:rPr>
          <w:rFonts w:ascii="Arial" w:hAnsi="Arial" w:cs="Arial"/>
          <w:color w:val="auto"/>
          <w:szCs w:val="21"/>
          <w:highlight w:val="none"/>
        </w:rPr>
        <w:t>3. 不可抗力事件延续一百二十天以上，双方应通过友好协商，确定是否继续履行合同。</w:t>
      </w:r>
    </w:p>
    <w:p w14:paraId="3DE21EC4">
      <w:pPr>
        <w:snapToGrid w:val="0"/>
        <w:spacing w:line="400" w:lineRule="exact"/>
        <w:ind w:firstLine="420" w:firstLineChars="200"/>
        <w:outlineLvl w:val="0"/>
        <w:rPr>
          <w:rFonts w:ascii="Arial" w:hAnsi="Arial" w:cs="Arial"/>
          <w:bCs/>
          <w:color w:val="auto"/>
          <w:szCs w:val="21"/>
          <w:highlight w:val="none"/>
        </w:rPr>
      </w:pPr>
      <w:r>
        <w:rPr>
          <w:rFonts w:hint="eastAsia" w:ascii="Arial" w:hAnsi="Arial" w:cs="Arial"/>
          <w:bCs/>
          <w:color w:val="auto"/>
          <w:szCs w:val="21"/>
          <w:highlight w:val="none"/>
        </w:rPr>
        <w:t>4.如合同执行期间与国家新政策或规定不符，则经双方协商一致后做相应的调整，如协商不成则合同终止，双方互不追究责任。</w:t>
      </w:r>
    </w:p>
    <w:p w14:paraId="64A7CDC0">
      <w:pPr>
        <w:spacing w:line="400" w:lineRule="exact"/>
        <w:ind w:firstLine="422" w:firstLineChars="200"/>
        <w:rPr>
          <w:rFonts w:ascii="Arial" w:hAnsi="Arial" w:cs="Arial"/>
          <w:b/>
          <w:color w:val="auto"/>
          <w:szCs w:val="21"/>
          <w:highlight w:val="none"/>
        </w:rPr>
      </w:pPr>
      <w:r>
        <w:rPr>
          <w:rFonts w:ascii="Arial" w:hAnsi="Arial" w:cs="Arial"/>
          <w:b/>
          <w:color w:val="auto"/>
          <w:szCs w:val="21"/>
          <w:highlight w:val="none"/>
        </w:rPr>
        <w:t>十一、本合同记载地址视为送达地址，送达地址变更需采用书面形式。</w:t>
      </w:r>
    </w:p>
    <w:p w14:paraId="0185CCF7">
      <w:pPr>
        <w:spacing w:line="400" w:lineRule="exact"/>
        <w:ind w:firstLine="422" w:firstLineChars="200"/>
        <w:rPr>
          <w:rFonts w:ascii="Arial" w:hAnsi="Arial" w:cs="Arial"/>
          <w:b/>
          <w:color w:val="auto"/>
          <w:szCs w:val="21"/>
          <w:highlight w:val="none"/>
        </w:rPr>
      </w:pPr>
      <w:r>
        <w:rPr>
          <w:rFonts w:ascii="Arial" w:hAnsi="Arial" w:cs="Arial"/>
          <w:b/>
          <w:color w:val="auto"/>
          <w:szCs w:val="21"/>
          <w:highlight w:val="none"/>
        </w:rPr>
        <w:t>本合</w:t>
      </w:r>
      <w:r>
        <w:rPr>
          <w:rFonts w:hint="eastAsia" w:ascii="Arial" w:hAnsi="Arial" w:cs="Arial"/>
          <w:b/>
          <w:color w:val="auto"/>
          <w:szCs w:val="21"/>
          <w:highlight w:val="none"/>
        </w:rPr>
        <w:t>同</w:t>
      </w:r>
      <w:r>
        <w:rPr>
          <w:rFonts w:ascii="Arial" w:hAnsi="Arial" w:cs="Arial"/>
          <w:b/>
          <w:color w:val="auto"/>
          <w:szCs w:val="21"/>
          <w:highlight w:val="none"/>
        </w:rPr>
        <w:t>尾部及《医疗卫生机构医药产品廉洁购销合同》载明的乙方地址及联系人用于接收往来函件及诉讼法律文书，且适用于因本合同履行相关的一切纠纷处理程序（如仲裁、诉讼、执行等）的送达。如有变更，乙方需以书面方式通知甲方，未书面通知变更的，凡向合同记载地址或联系方式、联系人发送的文件及信息，无论是否实际收到，均视为有效送达 。</w:t>
      </w:r>
    </w:p>
    <w:p w14:paraId="159C2DB8">
      <w:pPr>
        <w:spacing w:line="400" w:lineRule="exact"/>
        <w:ind w:firstLine="422" w:firstLineChars="200"/>
        <w:rPr>
          <w:rFonts w:ascii="Arial" w:hAnsi="Arial" w:cs="Arial"/>
          <w:b/>
          <w:color w:val="auto"/>
          <w:szCs w:val="21"/>
          <w:highlight w:val="none"/>
        </w:rPr>
      </w:pPr>
      <w:r>
        <w:rPr>
          <w:rFonts w:ascii="Arial" w:hAnsi="Arial" w:cs="Arial"/>
          <w:b/>
          <w:color w:val="auto"/>
          <w:szCs w:val="21"/>
          <w:highlight w:val="none"/>
        </w:rPr>
        <w:t>十二、本合同一式七份，甲方执伍份，乙方执一份，代理机构执一份。本合同经甲乙双方签字盖章后生效，补充协议含售后服务承诺书等，与本合同具有同等法律效力。如甲乙双方合同条款内容不一致者，以在甲方存档者为正本。</w:t>
      </w:r>
    </w:p>
    <w:p w14:paraId="0AEE38A7">
      <w:pPr>
        <w:spacing w:line="400" w:lineRule="exact"/>
        <w:ind w:firstLine="422" w:firstLineChars="200"/>
        <w:rPr>
          <w:rFonts w:ascii="Arial" w:hAnsi="Arial" w:cs="Arial"/>
          <w:b/>
          <w:color w:val="auto"/>
          <w:szCs w:val="21"/>
          <w:highlight w:val="none"/>
        </w:rPr>
      </w:pPr>
      <w:r>
        <w:rPr>
          <w:rFonts w:ascii="Arial" w:hAnsi="Arial" w:cs="Arial"/>
          <w:b/>
          <w:color w:val="auto"/>
          <w:szCs w:val="21"/>
          <w:highlight w:val="none"/>
        </w:rPr>
        <w:t>十三、本合同如有未尽事宜，甲乙双方另行协商。</w:t>
      </w:r>
    </w:p>
    <w:p w14:paraId="4A36B22A">
      <w:pPr>
        <w:spacing w:line="400" w:lineRule="exact"/>
        <w:ind w:firstLine="422" w:firstLineChars="200"/>
        <w:rPr>
          <w:rFonts w:ascii="Arial" w:hAnsi="Arial" w:eastAsia="仿宋" w:cs="Arial"/>
          <w:color w:val="auto"/>
          <w:sz w:val="24"/>
          <w:highlight w:val="none"/>
        </w:rPr>
      </w:pPr>
      <w:r>
        <w:rPr>
          <w:rFonts w:ascii="Arial" w:hAnsi="Arial" w:cs="Arial"/>
          <w:b/>
          <w:color w:val="auto"/>
          <w:szCs w:val="21"/>
          <w:highlight w:val="none"/>
        </w:rPr>
        <w:t>十</w:t>
      </w:r>
      <w:r>
        <w:rPr>
          <w:rFonts w:hint="eastAsia" w:ascii="Arial" w:hAnsi="Arial" w:cs="Arial"/>
          <w:b/>
          <w:color w:val="auto"/>
          <w:szCs w:val="21"/>
          <w:highlight w:val="none"/>
        </w:rPr>
        <w:t>四</w:t>
      </w:r>
      <w:r>
        <w:rPr>
          <w:rFonts w:ascii="Arial" w:hAnsi="Arial" w:cs="Arial"/>
          <w:b/>
          <w:color w:val="auto"/>
          <w:szCs w:val="21"/>
          <w:highlight w:val="none"/>
        </w:rPr>
        <w:t>、附件：（</w:t>
      </w:r>
      <w:r>
        <w:rPr>
          <w:rFonts w:ascii="Arial" w:hAnsi="Arial" w:cs="Arial"/>
          <w:b/>
          <w:bCs/>
          <w:color w:val="auto"/>
          <w:szCs w:val="21"/>
          <w:highlight w:val="none"/>
        </w:rPr>
        <w:t>设备（系统）必须提供配置清单</w:t>
      </w:r>
      <w:r>
        <w:rPr>
          <w:rFonts w:ascii="Arial" w:hAnsi="Arial" w:cs="Arial"/>
          <w:b/>
          <w:color w:val="auto"/>
          <w:szCs w:val="21"/>
          <w:highlight w:val="none"/>
        </w:rPr>
        <w:t>）</w:t>
      </w:r>
    </w:p>
    <w:p w14:paraId="3BE0D47F">
      <w:pPr>
        <w:snapToGrid w:val="0"/>
        <w:spacing w:line="400" w:lineRule="exact"/>
        <w:ind w:firstLine="422" w:firstLineChars="200"/>
        <w:rPr>
          <w:rFonts w:ascii="Arial" w:hAnsi="Arial" w:cs="Arial"/>
          <w:b/>
          <w:bCs/>
          <w:color w:val="auto"/>
          <w:szCs w:val="21"/>
          <w:highlight w:val="none"/>
        </w:rPr>
      </w:pPr>
      <w:r>
        <w:rPr>
          <w:rFonts w:ascii="Arial" w:hAnsi="Arial" w:cs="Arial"/>
          <w:b/>
          <w:bCs/>
          <w:color w:val="auto"/>
          <w:szCs w:val="21"/>
          <w:highlight w:val="none"/>
        </w:rPr>
        <w:t>附件1：本</w:t>
      </w:r>
      <w:bookmarkStart w:id="153" w:name="_Hlk137656809"/>
      <w:r>
        <w:rPr>
          <w:rFonts w:ascii="Arial" w:hAnsi="Arial" w:cs="Arial"/>
          <w:b/>
          <w:bCs/>
          <w:color w:val="auto"/>
          <w:szCs w:val="21"/>
          <w:highlight w:val="none"/>
        </w:rPr>
        <w:t>设备（系统）配置清单</w:t>
      </w:r>
      <w:bookmarkEnd w:id="153"/>
    </w:p>
    <w:tbl>
      <w:tblPr>
        <w:tblStyle w:val="47"/>
        <w:tblW w:w="0" w:type="auto"/>
        <w:tblInd w:w="-2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418"/>
        <w:gridCol w:w="2205"/>
        <w:gridCol w:w="810"/>
        <w:gridCol w:w="1020"/>
        <w:gridCol w:w="772"/>
        <w:gridCol w:w="1943"/>
        <w:gridCol w:w="802"/>
      </w:tblGrid>
      <w:tr w14:paraId="56909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851" w:type="dxa"/>
            <w:tcBorders>
              <w:top w:val="single" w:color="auto" w:sz="4" w:space="0"/>
              <w:left w:val="single" w:color="auto" w:sz="4" w:space="0"/>
              <w:bottom w:val="single" w:color="auto" w:sz="4" w:space="0"/>
              <w:right w:val="single" w:color="auto" w:sz="4" w:space="0"/>
            </w:tcBorders>
            <w:vAlign w:val="center"/>
          </w:tcPr>
          <w:p w14:paraId="31179CD7">
            <w:pPr>
              <w:snapToGrid w:val="0"/>
              <w:jc w:val="center"/>
              <w:rPr>
                <w:rFonts w:ascii="Arial" w:hAnsi="Arial" w:cs="Arial"/>
                <w:b/>
                <w:bCs/>
                <w:color w:val="auto"/>
                <w:szCs w:val="21"/>
                <w:highlight w:val="none"/>
              </w:rPr>
            </w:pPr>
            <w:r>
              <w:rPr>
                <w:rFonts w:ascii="Arial" w:hAnsi="Arial" w:cs="Arial"/>
                <w:b/>
                <w:bCs/>
                <w:color w:val="auto"/>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793E2A4D">
            <w:pPr>
              <w:snapToGrid w:val="0"/>
              <w:jc w:val="center"/>
              <w:rPr>
                <w:rFonts w:ascii="Arial" w:hAnsi="Arial" w:cs="Arial"/>
                <w:b/>
                <w:bCs/>
                <w:color w:val="auto"/>
                <w:szCs w:val="21"/>
                <w:highlight w:val="none"/>
              </w:rPr>
            </w:pPr>
            <w:r>
              <w:rPr>
                <w:rFonts w:ascii="Arial" w:hAnsi="Arial" w:cs="Arial"/>
                <w:b/>
                <w:bCs/>
                <w:color w:val="auto"/>
                <w:szCs w:val="21"/>
                <w:highlight w:val="none"/>
              </w:rPr>
              <w:t>部件编号</w:t>
            </w:r>
          </w:p>
        </w:tc>
        <w:tc>
          <w:tcPr>
            <w:tcW w:w="2205" w:type="dxa"/>
            <w:tcBorders>
              <w:top w:val="single" w:color="auto" w:sz="4" w:space="0"/>
              <w:left w:val="single" w:color="auto" w:sz="4" w:space="0"/>
              <w:bottom w:val="single" w:color="auto" w:sz="4" w:space="0"/>
              <w:right w:val="single" w:color="auto" w:sz="4" w:space="0"/>
            </w:tcBorders>
            <w:vAlign w:val="center"/>
          </w:tcPr>
          <w:p w14:paraId="2F9A9451">
            <w:pPr>
              <w:snapToGrid w:val="0"/>
              <w:jc w:val="center"/>
              <w:rPr>
                <w:rFonts w:ascii="Arial" w:hAnsi="Arial" w:cs="Arial"/>
                <w:b/>
                <w:bCs/>
                <w:color w:val="auto"/>
                <w:szCs w:val="21"/>
                <w:highlight w:val="none"/>
              </w:rPr>
            </w:pPr>
            <w:r>
              <w:rPr>
                <w:rFonts w:ascii="Arial" w:hAnsi="Arial" w:cs="Arial"/>
                <w:b/>
                <w:bCs/>
                <w:color w:val="auto"/>
                <w:szCs w:val="21"/>
                <w:highlight w:val="none"/>
              </w:rPr>
              <w:t>名称</w:t>
            </w:r>
          </w:p>
        </w:tc>
        <w:tc>
          <w:tcPr>
            <w:tcW w:w="810" w:type="dxa"/>
            <w:tcBorders>
              <w:top w:val="single" w:color="auto" w:sz="4" w:space="0"/>
              <w:left w:val="single" w:color="auto" w:sz="4" w:space="0"/>
              <w:bottom w:val="single" w:color="auto" w:sz="4" w:space="0"/>
              <w:right w:val="single" w:color="auto" w:sz="4" w:space="0"/>
            </w:tcBorders>
            <w:vAlign w:val="center"/>
          </w:tcPr>
          <w:p w14:paraId="2212C537">
            <w:pPr>
              <w:snapToGrid w:val="0"/>
              <w:jc w:val="center"/>
              <w:rPr>
                <w:rFonts w:ascii="Arial" w:hAnsi="Arial" w:cs="Arial"/>
                <w:b/>
                <w:bCs/>
                <w:color w:val="auto"/>
                <w:szCs w:val="21"/>
                <w:highlight w:val="none"/>
              </w:rPr>
            </w:pPr>
            <w:r>
              <w:rPr>
                <w:rFonts w:ascii="Arial" w:hAnsi="Arial" w:cs="Arial"/>
                <w:b/>
                <w:bCs/>
                <w:color w:val="auto"/>
                <w:highlight w:val="none"/>
              </w:rPr>
              <w:t>规格型号</w:t>
            </w:r>
          </w:p>
        </w:tc>
        <w:tc>
          <w:tcPr>
            <w:tcW w:w="1020" w:type="dxa"/>
            <w:tcBorders>
              <w:top w:val="single" w:color="auto" w:sz="4" w:space="0"/>
              <w:left w:val="single" w:color="auto" w:sz="4" w:space="0"/>
              <w:bottom w:val="single" w:color="auto" w:sz="4" w:space="0"/>
              <w:right w:val="single" w:color="auto" w:sz="4" w:space="0"/>
            </w:tcBorders>
            <w:vAlign w:val="center"/>
          </w:tcPr>
          <w:p w14:paraId="780C6076">
            <w:pPr>
              <w:snapToGrid w:val="0"/>
              <w:jc w:val="center"/>
              <w:rPr>
                <w:rFonts w:ascii="Arial" w:hAnsi="Arial" w:cs="Arial"/>
                <w:b/>
                <w:bCs/>
                <w:color w:val="auto"/>
                <w:szCs w:val="21"/>
                <w:highlight w:val="none"/>
              </w:rPr>
            </w:pPr>
            <w:r>
              <w:rPr>
                <w:rFonts w:ascii="Arial" w:hAnsi="Arial" w:cs="Arial"/>
                <w:b/>
                <w:bCs/>
                <w:color w:val="auto"/>
                <w:szCs w:val="21"/>
                <w:highlight w:val="none"/>
              </w:rPr>
              <w:t>单位</w:t>
            </w:r>
          </w:p>
        </w:tc>
        <w:tc>
          <w:tcPr>
            <w:tcW w:w="772" w:type="dxa"/>
            <w:tcBorders>
              <w:top w:val="single" w:color="auto" w:sz="4" w:space="0"/>
              <w:left w:val="single" w:color="auto" w:sz="4" w:space="0"/>
              <w:bottom w:val="single" w:color="auto" w:sz="4" w:space="0"/>
              <w:right w:val="single" w:color="auto" w:sz="4" w:space="0"/>
            </w:tcBorders>
            <w:vAlign w:val="center"/>
          </w:tcPr>
          <w:p w14:paraId="1592E8EC">
            <w:pPr>
              <w:snapToGrid w:val="0"/>
              <w:jc w:val="center"/>
              <w:rPr>
                <w:rFonts w:ascii="Arial" w:hAnsi="Arial" w:cs="Arial"/>
                <w:b/>
                <w:bCs/>
                <w:color w:val="auto"/>
                <w:szCs w:val="21"/>
                <w:highlight w:val="none"/>
              </w:rPr>
            </w:pPr>
            <w:r>
              <w:rPr>
                <w:rFonts w:ascii="Arial" w:hAnsi="Arial" w:cs="Arial"/>
                <w:b/>
                <w:bCs/>
                <w:color w:val="auto"/>
                <w:szCs w:val="21"/>
                <w:highlight w:val="none"/>
              </w:rPr>
              <w:t>数量</w:t>
            </w:r>
          </w:p>
        </w:tc>
        <w:tc>
          <w:tcPr>
            <w:tcW w:w="1943" w:type="dxa"/>
            <w:tcBorders>
              <w:top w:val="single" w:color="auto" w:sz="4" w:space="0"/>
              <w:left w:val="single" w:color="auto" w:sz="4" w:space="0"/>
              <w:bottom w:val="single" w:color="auto" w:sz="4" w:space="0"/>
              <w:right w:val="single" w:color="auto" w:sz="4" w:space="0"/>
            </w:tcBorders>
            <w:vAlign w:val="center"/>
          </w:tcPr>
          <w:p w14:paraId="0DAF2FC9">
            <w:pPr>
              <w:snapToGrid w:val="0"/>
              <w:jc w:val="center"/>
              <w:rPr>
                <w:rFonts w:ascii="Arial" w:hAnsi="Arial" w:cs="Arial"/>
                <w:b/>
                <w:bCs/>
                <w:color w:val="auto"/>
                <w:szCs w:val="21"/>
                <w:highlight w:val="none"/>
              </w:rPr>
            </w:pPr>
            <w:r>
              <w:rPr>
                <w:rFonts w:ascii="Arial" w:hAnsi="Arial" w:cs="Arial"/>
                <w:b/>
                <w:bCs/>
                <w:color w:val="auto"/>
                <w:szCs w:val="21"/>
                <w:highlight w:val="none"/>
              </w:rPr>
              <w:t>分项价格（元）</w:t>
            </w:r>
          </w:p>
        </w:tc>
        <w:tc>
          <w:tcPr>
            <w:tcW w:w="802" w:type="dxa"/>
            <w:tcBorders>
              <w:top w:val="single" w:color="auto" w:sz="4" w:space="0"/>
              <w:left w:val="single" w:color="auto" w:sz="4" w:space="0"/>
              <w:bottom w:val="single" w:color="auto" w:sz="4" w:space="0"/>
              <w:right w:val="single" w:color="auto" w:sz="4" w:space="0"/>
            </w:tcBorders>
            <w:vAlign w:val="center"/>
          </w:tcPr>
          <w:p w14:paraId="4F6D68BC">
            <w:pPr>
              <w:snapToGrid w:val="0"/>
              <w:jc w:val="center"/>
              <w:rPr>
                <w:rFonts w:ascii="Arial" w:hAnsi="Arial" w:cs="Arial"/>
                <w:b/>
                <w:bCs/>
                <w:color w:val="auto"/>
                <w:szCs w:val="21"/>
                <w:highlight w:val="none"/>
              </w:rPr>
            </w:pPr>
            <w:r>
              <w:rPr>
                <w:rFonts w:ascii="Arial" w:hAnsi="Arial" w:cs="Arial"/>
                <w:b/>
                <w:bCs/>
                <w:color w:val="auto"/>
                <w:szCs w:val="21"/>
                <w:highlight w:val="none"/>
              </w:rPr>
              <w:t>备注</w:t>
            </w:r>
          </w:p>
        </w:tc>
      </w:tr>
      <w:tr w14:paraId="6E5B4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851" w:type="dxa"/>
            <w:tcBorders>
              <w:top w:val="single" w:color="auto" w:sz="4" w:space="0"/>
              <w:left w:val="single" w:color="auto" w:sz="4" w:space="0"/>
              <w:bottom w:val="single" w:color="auto" w:sz="4" w:space="0"/>
              <w:right w:val="single" w:color="auto" w:sz="4" w:space="0"/>
            </w:tcBorders>
            <w:vAlign w:val="center"/>
          </w:tcPr>
          <w:p w14:paraId="4A370BE4">
            <w:pPr>
              <w:snapToGrid w:val="0"/>
              <w:jc w:val="center"/>
              <w:rPr>
                <w:rFonts w:ascii="Arial" w:hAnsi="Arial" w:cs="Arial"/>
                <w:b/>
                <w:bCs/>
                <w:color w:val="auto"/>
                <w:szCs w:val="21"/>
                <w:highlight w:val="none"/>
              </w:rPr>
            </w:pPr>
            <w:r>
              <w:rPr>
                <w:rFonts w:ascii="Arial" w:hAnsi="Arial" w:cs="Arial"/>
                <w:b/>
                <w:bCs/>
                <w:color w:val="auto"/>
                <w:szCs w:val="21"/>
                <w:highlight w:val="none"/>
              </w:rPr>
              <w:t>1</w:t>
            </w:r>
          </w:p>
        </w:tc>
        <w:tc>
          <w:tcPr>
            <w:tcW w:w="1418" w:type="dxa"/>
            <w:tcBorders>
              <w:top w:val="single" w:color="auto" w:sz="4" w:space="0"/>
              <w:left w:val="single" w:color="auto" w:sz="4" w:space="0"/>
              <w:bottom w:val="single" w:color="auto" w:sz="4" w:space="0"/>
              <w:right w:val="single" w:color="auto" w:sz="4" w:space="0"/>
            </w:tcBorders>
            <w:vAlign w:val="center"/>
          </w:tcPr>
          <w:p w14:paraId="2E485878">
            <w:pPr>
              <w:snapToGrid w:val="0"/>
              <w:ind w:firstLine="422" w:firstLineChars="200"/>
              <w:jc w:val="center"/>
              <w:rPr>
                <w:rFonts w:ascii="Arial" w:hAnsi="Arial" w:cs="Arial"/>
                <w:b/>
                <w:bCs/>
                <w:color w:val="auto"/>
                <w:szCs w:val="21"/>
                <w:highlight w:val="none"/>
              </w:rPr>
            </w:pPr>
          </w:p>
        </w:tc>
        <w:tc>
          <w:tcPr>
            <w:tcW w:w="2205" w:type="dxa"/>
            <w:tcBorders>
              <w:top w:val="single" w:color="auto" w:sz="4" w:space="0"/>
              <w:left w:val="single" w:color="auto" w:sz="4" w:space="0"/>
              <w:bottom w:val="single" w:color="auto" w:sz="4" w:space="0"/>
              <w:right w:val="single" w:color="auto" w:sz="4" w:space="0"/>
            </w:tcBorders>
            <w:vAlign w:val="center"/>
          </w:tcPr>
          <w:p w14:paraId="5FF4356E">
            <w:pPr>
              <w:snapToGrid w:val="0"/>
              <w:ind w:firstLine="422" w:firstLineChars="200"/>
              <w:jc w:val="center"/>
              <w:rPr>
                <w:rFonts w:ascii="Arial" w:hAnsi="Arial" w:cs="Arial"/>
                <w:b/>
                <w:bCs/>
                <w:color w:val="auto"/>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33432433">
            <w:pPr>
              <w:snapToGrid w:val="0"/>
              <w:ind w:firstLine="422" w:firstLineChars="200"/>
              <w:jc w:val="center"/>
              <w:rPr>
                <w:rFonts w:ascii="Arial" w:hAnsi="Arial" w:cs="Arial"/>
                <w:b/>
                <w:bCs/>
                <w:color w:val="auto"/>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48F9BE2">
            <w:pPr>
              <w:snapToGrid w:val="0"/>
              <w:ind w:firstLine="422" w:firstLineChars="200"/>
              <w:jc w:val="center"/>
              <w:rPr>
                <w:rFonts w:ascii="Arial" w:hAnsi="Arial" w:cs="Arial"/>
                <w:b/>
                <w:bCs/>
                <w:color w:val="auto"/>
                <w:szCs w:val="21"/>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14:paraId="582FC51B">
            <w:pPr>
              <w:snapToGrid w:val="0"/>
              <w:ind w:firstLine="422" w:firstLineChars="200"/>
              <w:jc w:val="center"/>
              <w:rPr>
                <w:rFonts w:ascii="Arial" w:hAnsi="Arial" w:cs="Arial"/>
                <w:b/>
                <w:bCs/>
                <w:color w:val="auto"/>
                <w:szCs w:val="21"/>
                <w:highlight w:val="none"/>
              </w:rPr>
            </w:pPr>
          </w:p>
        </w:tc>
        <w:tc>
          <w:tcPr>
            <w:tcW w:w="1943" w:type="dxa"/>
            <w:tcBorders>
              <w:top w:val="single" w:color="auto" w:sz="4" w:space="0"/>
              <w:left w:val="single" w:color="auto" w:sz="4" w:space="0"/>
              <w:bottom w:val="single" w:color="auto" w:sz="4" w:space="0"/>
              <w:right w:val="single" w:color="auto" w:sz="4" w:space="0"/>
            </w:tcBorders>
            <w:vAlign w:val="center"/>
          </w:tcPr>
          <w:p w14:paraId="6C8ADDDB">
            <w:pPr>
              <w:snapToGrid w:val="0"/>
              <w:ind w:firstLine="422" w:firstLineChars="200"/>
              <w:jc w:val="center"/>
              <w:rPr>
                <w:rFonts w:ascii="Arial" w:hAnsi="Arial" w:cs="Arial"/>
                <w:b/>
                <w:bCs/>
                <w:color w:val="auto"/>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14:paraId="6C37F08C">
            <w:pPr>
              <w:snapToGrid w:val="0"/>
              <w:ind w:firstLine="422" w:firstLineChars="200"/>
              <w:jc w:val="center"/>
              <w:rPr>
                <w:rFonts w:ascii="Arial" w:hAnsi="Arial" w:cs="Arial"/>
                <w:b/>
                <w:bCs/>
                <w:color w:val="auto"/>
                <w:szCs w:val="21"/>
                <w:highlight w:val="none"/>
              </w:rPr>
            </w:pPr>
          </w:p>
        </w:tc>
      </w:tr>
    </w:tbl>
    <w:p w14:paraId="506BEFC7">
      <w:pPr>
        <w:snapToGrid w:val="0"/>
        <w:spacing w:line="400" w:lineRule="exact"/>
        <w:rPr>
          <w:rFonts w:ascii="Arial" w:hAnsi="Arial" w:cs="Arial"/>
          <w:b/>
          <w:bCs/>
          <w:color w:val="auto"/>
          <w:szCs w:val="21"/>
          <w:highlight w:val="none"/>
        </w:rPr>
      </w:pPr>
      <w:r>
        <w:rPr>
          <w:rFonts w:ascii="Arial" w:hAnsi="Arial" w:cs="Arial"/>
          <w:b/>
          <w:bCs/>
          <w:color w:val="auto"/>
          <w:szCs w:val="21"/>
          <w:highlight w:val="none"/>
        </w:rPr>
        <w:t>附件2：本设备适用耗材、试剂的价格表</w:t>
      </w:r>
    </w:p>
    <w:tbl>
      <w:tblPr>
        <w:tblStyle w:val="47"/>
        <w:tblW w:w="0" w:type="auto"/>
        <w:tblInd w:w="-2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0"/>
        <w:gridCol w:w="1725"/>
        <w:gridCol w:w="802"/>
        <w:gridCol w:w="1958"/>
        <w:gridCol w:w="585"/>
        <w:gridCol w:w="600"/>
        <w:gridCol w:w="968"/>
        <w:gridCol w:w="1134"/>
      </w:tblGrid>
      <w:tr w14:paraId="08B4D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010" w:type="dxa"/>
            <w:tcBorders>
              <w:top w:val="single" w:color="auto" w:sz="4" w:space="0"/>
              <w:left w:val="single" w:color="auto" w:sz="4" w:space="0"/>
              <w:bottom w:val="single" w:color="auto" w:sz="4" w:space="0"/>
              <w:right w:val="single" w:color="auto" w:sz="4" w:space="0"/>
            </w:tcBorders>
            <w:vAlign w:val="center"/>
          </w:tcPr>
          <w:p w14:paraId="318D7FAD">
            <w:pPr>
              <w:snapToGrid w:val="0"/>
              <w:jc w:val="center"/>
              <w:rPr>
                <w:rFonts w:ascii="Arial" w:hAnsi="Arial" w:cs="Arial"/>
                <w:b/>
                <w:bCs/>
                <w:color w:val="auto"/>
                <w:szCs w:val="21"/>
                <w:highlight w:val="none"/>
              </w:rPr>
            </w:pPr>
            <w:r>
              <w:rPr>
                <w:rFonts w:ascii="Arial" w:hAnsi="Arial" w:cs="Arial"/>
                <w:b/>
                <w:bCs/>
                <w:color w:val="auto"/>
                <w:szCs w:val="21"/>
                <w:highlight w:val="none"/>
              </w:rPr>
              <w:t>耗材、试剂名称</w:t>
            </w:r>
          </w:p>
        </w:tc>
        <w:tc>
          <w:tcPr>
            <w:tcW w:w="1725" w:type="dxa"/>
            <w:tcBorders>
              <w:top w:val="single" w:color="auto" w:sz="4" w:space="0"/>
              <w:left w:val="single" w:color="auto" w:sz="4" w:space="0"/>
              <w:bottom w:val="single" w:color="auto" w:sz="4" w:space="0"/>
              <w:right w:val="single" w:color="auto" w:sz="4" w:space="0"/>
            </w:tcBorders>
            <w:vAlign w:val="center"/>
          </w:tcPr>
          <w:p w14:paraId="1DFB30DA">
            <w:pPr>
              <w:snapToGrid w:val="0"/>
              <w:jc w:val="center"/>
              <w:rPr>
                <w:rFonts w:ascii="Arial" w:hAnsi="Arial" w:cs="Arial"/>
                <w:b/>
                <w:bCs/>
                <w:color w:val="auto"/>
                <w:szCs w:val="21"/>
                <w:highlight w:val="none"/>
              </w:rPr>
            </w:pPr>
            <w:r>
              <w:rPr>
                <w:rFonts w:ascii="Arial" w:hAnsi="Arial" w:cs="Arial"/>
                <w:b/>
                <w:bCs/>
                <w:color w:val="auto"/>
                <w:szCs w:val="21"/>
                <w:highlight w:val="none"/>
              </w:rPr>
              <w:t>产品注册证号</w:t>
            </w:r>
          </w:p>
        </w:tc>
        <w:tc>
          <w:tcPr>
            <w:tcW w:w="802" w:type="dxa"/>
            <w:tcBorders>
              <w:top w:val="single" w:color="auto" w:sz="4" w:space="0"/>
              <w:left w:val="single" w:color="auto" w:sz="4" w:space="0"/>
              <w:bottom w:val="single" w:color="auto" w:sz="4" w:space="0"/>
              <w:right w:val="single" w:color="auto" w:sz="4" w:space="0"/>
            </w:tcBorders>
            <w:vAlign w:val="center"/>
          </w:tcPr>
          <w:p w14:paraId="6832B82B">
            <w:pPr>
              <w:snapToGrid w:val="0"/>
              <w:jc w:val="center"/>
              <w:rPr>
                <w:rFonts w:ascii="Arial" w:hAnsi="Arial" w:cs="Arial"/>
                <w:b/>
                <w:bCs/>
                <w:color w:val="auto"/>
                <w:szCs w:val="21"/>
                <w:highlight w:val="none"/>
              </w:rPr>
            </w:pPr>
            <w:r>
              <w:rPr>
                <w:rFonts w:ascii="Arial" w:hAnsi="Arial" w:cs="Arial"/>
                <w:b/>
                <w:bCs/>
                <w:color w:val="auto"/>
                <w:szCs w:val="21"/>
                <w:highlight w:val="none"/>
              </w:rPr>
              <w:t>型号</w:t>
            </w:r>
          </w:p>
          <w:p w14:paraId="4888FE61">
            <w:pPr>
              <w:snapToGrid w:val="0"/>
              <w:jc w:val="center"/>
              <w:rPr>
                <w:rFonts w:ascii="Arial" w:hAnsi="Arial" w:cs="Arial"/>
                <w:b/>
                <w:bCs/>
                <w:color w:val="auto"/>
                <w:szCs w:val="21"/>
                <w:highlight w:val="none"/>
              </w:rPr>
            </w:pPr>
            <w:r>
              <w:rPr>
                <w:rFonts w:ascii="Arial" w:hAnsi="Arial" w:cs="Arial"/>
                <w:b/>
                <w:bCs/>
                <w:color w:val="auto"/>
                <w:szCs w:val="21"/>
                <w:highlight w:val="none"/>
              </w:rPr>
              <w:t>规格</w:t>
            </w:r>
          </w:p>
        </w:tc>
        <w:tc>
          <w:tcPr>
            <w:tcW w:w="1958" w:type="dxa"/>
            <w:tcBorders>
              <w:top w:val="single" w:color="auto" w:sz="4" w:space="0"/>
              <w:left w:val="single" w:color="auto" w:sz="4" w:space="0"/>
              <w:bottom w:val="single" w:color="auto" w:sz="4" w:space="0"/>
              <w:right w:val="single" w:color="auto" w:sz="4" w:space="0"/>
            </w:tcBorders>
            <w:vAlign w:val="center"/>
          </w:tcPr>
          <w:p w14:paraId="61E014B3">
            <w:pPr>
              <w:snapToGrid w:val="0"/>
              <w:jc w:val="center"/>
              <w:rPr>
                <w:rFonts w:ascii="Arial" w:hAnsi="Arial" w:cs="Arial"/>
                <w:b/>
                <w:bCs/>
                <w:color w:val="auto"/>
                <w:szCs w:val="21"/>
                <w:highlight w:val="none"/>
              </w:rPr>
            </w:pPr>
            <w:r>
              <w:rPr>
                <w:rFonts w:ascii="Arial" w:hAnsi="Arial" w:cs="Arial"/>
                <w:b/>
                <w:bCs/>
                <w:color w:val="auto"/>
                <w:szCs w:val="21"/>
                <w:highlight w:val="none"/>
              </w:rPr>
              <w:t>生产厂家及品牌</w:t>
            </w:r>
          </w:p>
        </w:tc>
        <w:tc>
          <w:tcPr>
            <w:tcW w:w="585" w:type="dxa"/>
            <w:tcBorders>
              <w:top w:val="single" w:color="auto" w:sz="4" w:space="0"/>
              <w:left w:val="single" w:color="auto" w:sz="4" w:space="0"/>
              <w:bottom w:val="single" w:color="auto" w:sz="4" w:space="0"/>
              <w:right w:val="single" w:color="auto" w:sz="4" w:space="0"/>
            </w:tcBorders>
            <w:vAlign w:val="center"/>
          </w:tcPr>
          <w:p w14:paraId="63E7D9CA">
            <w:pPr>
              <w:snapToGrid w:val="0"/>
              <w:jc w:val="center"/>
              <w:rPr>
                <w:rFonts w:ascii="Arial" w:hAnsi="Arial" w:cs="Arial"/>
                <w:b/>
                <w:bCs/>
                <w:color w:val="auto"/>
                <w:szCs w:val="21"/>
                <w:highlight w:val="none"/>
              </w:rPr>
            </w:pPr>
            <w:r>
              <w:rPr>
                <w:rFonts w:ascii="Arial" w:hAnsi="Arial" w:cs="Arial"/>
                <w:b/>
                <w:bCs/>
                <w:color w:val="auto"/>
                <w:szCs w:val="21"/>
                <w:highlight w:val="none"/>
              </w:rPr>
              <w:t>单位</w:t>
            </w:r>
          </w:p>
        </w:tc>
        <w:tc>
          <w:tcPr>
            <w:tcW w:w="600" w:type="dxa"/>
            <w:tcBorders>
              <w:top w:val="single" w:color="auto" w:sz="4" w:space="0"/>
              <w:left w:val="single" w:color="auto" w:sz="4" w:space="0"/>
              <w:bottom w:val="single" w:color="auto" w:sz="4" w:space="0"/>
              <w:right w:val="single" w:color="auto" w:sz="4" w:space="0"/>
            </w:tcBorders>
            <w:vAlign w:val="center"/>
          </w:tcPr>
          <w:p w14:paraId="21BFA43B">
            <w:pPr>
              <w:snapToGrid w:val="0"/>
              <w:jc w:val="center"/>
              <w:rPr>
                <w:rFonts w:ascii="Arial" w:hAnsi="Arial" w:cs="Arial"/>
                <w:b/>
                <w:bCs/>
                <w:color w:val="auto"/>
                <w:szCs w:val="21"/>
                <w:highlight w:val="none"/>
              </w:rPr>
            </w:pPr>
            <w:r>
              <w:rPr>
                <w:rFonts w:ascii="Arial" w:hAnsi="Arial" w:cs="Arial"/>
                <w:b/>
                <w:bCs/>
                <w:color w:val="auto"/>
                <w:szCs w:val="21"/>
                <w:highlight w:val="none"/>
              </w:rPr>
              <w:t>数量</w:t>
            </w:r>
          </w:p>
        </w:tc>
        <w:tc>
          <w:tcPr>
            <w:tcW w:w="968" w:type="dxa"/>
            <w:tcBorders>
              <w:top w:val="single" w:color="auto" w:sz="4" w:space="0"/>
              <w:left w:val="single" w:color="auto" w:sz="4" w:space="0"/>
              <w:bottom w:val="single" w:color="auto" w:sz="4" w:space="0"/>
              <w:right w:val="single" w:color="auto" w:sz="4" w:space="0"/>
            </w:tcBorders>
            <w:vAlign w:val="center"/>
          </w:tcPr>
          <w:p w14:paraId="1A8007F3">
            <w:pPr>
              <w:snapToGrid w:val="0"/>
              <w:jc w:val="center"/>
              <w:rPr>
                <w:rFonts w:ascii="Arial" w:hAnsi="Arial" w:cs="Arial"/>
                <w:b/>
                <w:bCs/>
                <w:color w:val="auto"/>
                <w:szCs w:val="21"/>
                <w:highlight w:val="none"/>
              </w:rPr>
            </w:pPr>
            <w:r>
              <w:rPr>
                <w:rFonts w:ascii="Arial" w:hAnsi="Arial" w:cs="Arial"/>
                <w:b/>
                <w:bCs/>
                <w:color w:val="auto"/>
                <w:szCs w:val="21"/>
                <w:highlight w:val="none"/>
              </w:rPr>
              <w:t>单价</w:t>
            </w:r>
          </w:p>
          <w:p w14:paraId="569CED9D">
            <w:pPr>
              <w:snapToGrid w:val="0"/>
              <w:jc w:val="center"/>
              <w:rPr>
                <w:rFonts w:ascii="Arial" w:hAnsi="Arial" w:cs="Arial"/>
                <w:b/>
                <w:bCs/>
                <w:color w:val="auto"/>
                <w:szCs w:val="21"/>
                <w:highlight w:val="none"/>
              </w:rPr>
            </w:pPr>
            <w:r>
              <w:rPr>
                <w:rFonts w:ascii="Arial" w:hAnsi="Arial" w:cs="Arial"/>
                <w:b/>
                <w:bCs/>
                <w:color w:val="auto"/>
                <w:szCs w:val="21"/>
                <w:highlight w:val="none"/>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4BDBFB2A">
            <w:pPr>
              <w:snapToGrid w:val="0"/>
              <w:jc w:val="center"/>
              <w:rPr>
                <w:rFonts w:ascii="Arial" w:hAnsi="Arial" w:cs="Arial"/>
                <w:b/>
                <w:bCs/>
                <w:color w:val="auto"/>
                <w:szCs w:val="21"/>
                <w:highlight w:val="none"/>
              </w:rPr>
            </w:pPr>
            <w:r>
              <w:rPr>
                <w:rFonts w:ascii="Arial" w:hAnsi="Arial" w:cs="Arial"/>
                <w:b/>
                <w:bCs/>
                <w:color w:val="auto"/>
                <w:szCs w:val="21"/>
                <w:highlight w:val="none"/>
              </w:rPr>
              <w:t>总价（元）</w:t>
            </w:r>
          </w:p>
        </w:tc>
      </w:tr>
      <w:tr w14:paraId="586DB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trPr>
        <w:tc>
          <w:tcPr>
            <w:tcW w:w="2010" w:type="dxa"/>
            <w:tcBorders>
              <w:top w:val="single" w:color="auto" w:sz="4" w:space="0"/>
              <w:left w:val="single" w:color="auto" w:sz="4" w:space="0"/>
              <w:bottom w:val="single" w:color="auto" w:sz="4" w:space="0"/>
              <w:right w:val="single" w:color="auto" w:sz="4" w:space="0"/>
            </w:tcBorders>
            <w:vAlign w:val="center"/>
          </w:tcPr>
          <w:p w14:paraId="6E888E99">
            <w:pPr>
              <w:snapToGrid w:val="0"/>
              <w:ind w:firstLine="422" w:firstLineChars="200"/>
              <w:rPr>
                <w:rFonts w:ascii="Arial" w:hAnsi="Arial" w:cs="Arial"/>
                <w:b/>
                <w:bCs/>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237064A6">
            <w:pPr>
              <w:snapToGrid w:val="0"/>
              <w:ind w:firstLine="422" w:firstLineChars="200"/>
              <w:rPr>
                <w:rFonts w:ascii="Arial" w:hAnsi="Arial" w:cs="Arial"/>
                <w:b/>
                <w:bCs/>
                <w:color w:val="auto"/>
                <w:szCs w:val="21"/>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14:paraId="64DDCD2D">
            <w:pPr>
              <w:snapToGrid w:val="0"/>
              <w:ind w:firstLine="422" w:firstLineChars="200"/>
              <w:rPr>
                <w:rFonts w:ascii="Arial" w:hAnsi="Arial" w:cs="Arial"/>
                <w:b/>
                <w:bCs/>
                <w:color w:val="auto"/>
                <w:szCs w:val="21"/>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14:paraId="71F320BB">
            <w:pPr>
              <w:snapToGrid w:val="0"/>
              <w:ind w:firstLine="422" w:firstLineChars="200"/>
              <w:rPr>
                <w:rFonts w:ascii="Arial" w:hAnsi="Arial" w:cs="Arial"/>
                <w:b/>
                <w:bCs/>
                <w:color w:val="auto"/>
                <w:szCs w:val="21"/>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14:paraId="3ABB6891">
            <w:pPr>
              <w:snapToGrid w:val="0"/>
              <w:ind w:firstLine="422" w:firstLineChars="200"/>
              <w:rPr>
                <w:rFonts w:ascii="Arial" w:hAnsi="Arial" w:cs="Arial"/>
                <w:b/>
                <w:bCs/>
                <w:color w:val="auto"/>
                <w:szCs w:val="21"/>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14:paraId="1AFA12E3">
            <w:pPr>
              <w:snapToGrid w:val="0"/>
              <w:ind w:firstLine="422" w:firstLineChars="200"/>
              <w:rPr>
                <w:rFonts w:ascii="Arial" w:hAnsi="Arial" w:cs="Arial"/>
                <w:b/>
                <w:bCs/>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14:paraId="36E3C126">
            <w:pPr>
              <w:snapToGrid w:val="0"/>
              <w:ind w:firstLine="422" w:firstLineChars="200"/>
              <w:rPr>
                <w:rFonts w:ascii="Arial" w:hAnsi="Arial" w:cs="Arial"/>
                <w:b/>
                <w:bCs/>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D283562">
            <w:pPr>
              <w:snapToGrid w:val="0"/>
              <w:ind w:firstLine="422" w:firstLineChars="200"/>
              <w:rPr>
                <w:rFonts w:ascii="Arial" w:hAnsi="Arial" w:cs="Arial"/>
                <w:b/>
                <w:bCs/>
                <w:color w:val="auto"/>
                <w:szCs w:val="21"/>
                <w:highlight w:val="none"/>
              </w:rPr>
            </w:pPr>
          </w:p>
        </w:tc>
      </w:tr>
    </w:tbl>
    <w:p w14:paraId="3EEC32A1">
      <w:pPr>
        <w:snapToGrid w:val="0"/>
        <w:spacing w:line="400" w:lineRule="exact"/>
        <w:rPr>
          <w:rFonts w:ascii="Arial" w:hAnsi="Arial" w:cs="Arial"/>
          <w:b/>
          <w:bCs/>
          <w:color w:val="auto"/>
          <w:szCs w:val="21"/>
          <w:highlight w:val="none"/>
        </w:rPr>
      </w:pPr>
      <w:r>
        <w:rPr>
          <w:rFonts w:ascii="Arial" w:hAnsi="Arial" w:cs="Arial"/>
          <w:b/>
          <w:bCs/>
          <w:color w:val="auto"/>
          <w:szCs w:val="21"/>
          <w:highlight w:val="none"/>
        </w:rPr>
        <w:t>附件3：本设备易损零配件的价格表</w:t>
      </w:r>
    </w:p>
    <w:tbl>
      <w:tblPr>
        <w:tblStyle w:val="47"/>
        <w:tblW w:w="0" w:type="auto"/>
        <w:tblInd w:w="-2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0"/>
        <w:gridCol w:w="1710"/>
        <w:gridCol w:w="817"/>
        <w:gridCol w:w="1898"/>
        <w:gridCol w:w="630"/>
        <w:gridCol w:w="630"/>
        <w:gridCol w:w="953"/>
        <w:gridCol w:w="1134"/>
      </w:tblGrid>
      <w:tr w14:paraId="2C237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010" w:type="dxa"/>
            <w:tcBorders>
              <w:top w:val="single" w:color="auto" w:sz="4" w:space="0"/>
              <w:left w:val="single" w:color="auto" w:sz="4" w:space="0"/>
              <w:bottom w:val="single" w:color="auto" w:sz="4" w:space="0"/>
              <w:right w:val="single" w:color="auto" w:sz="4" w:space="0"/>
            </w:tcBorders>
            <w:vAlign w:val="center"/>
          </w:tcPr>
          <w:p w14:paraId="001681AB">
            <w:pPr>
              <w:snapToGrid w:val="0"/>
              <w:jc w:val="center"/>
              <w:rPr>
                <w:rFonts w:ascii="Arial" w:hAnsi="Arial" w:cs="Arial"/>
                <w:b/>
                <w:bCs/>
                <w:color w:val="auto"/>
                <w:szCs w:val="21"/>
                <w:highlight w:val="none"/>
              </w:rPr>
            </w:pPr>
            <w:r>
              <w:rPr>
                <w:rFonts w:ascii="Arial" w:hAnsi="Arial" w:cs="Arial"/>
                <w:b/>
                <w:bCs/>
                <w:color w:val="auto"/>
                <w:szCs w:val="21"/>
                <w:highlight w:val="none"/>
              </w:rPr>
              <w:t>易损配件名称</w:t>
            </w:r>
          </w:p>
        </w:tc>
        <w:tc>
          <w:tcPr>
            <w:tcW w:w="1710" w:type="dxa"/>
            <w:tcBorders>
              <w:top w:val="single" w:color="auto" w:sz="4" w:space="0"/>
              <w:left w:val="single" w:color="auto" w:sz="4" w:space="0"/>
              <w:bottom w:val="single" w:color="auto" w:sz="4" w:space="0"/>
              <w:right w:val="single" w:color="auto" w:sz="4" w:space="0"/>
            </w:tcBorders>
            <w:vAlign w:val="center"/>
          </w:tcPr>
          <w:p w14:paraId="49DA8305">
            <w:pPr>
              <w:snapToGrid w:val="0"/>
              <w:jc w:val="center"/>
              <w:rPr>
                <w:rFonts w:ascii="Arial" w:hAnsi="Arial" w:cs="Arial"/>
                <w:b/>
                <w:bCs/>
                <w:color w:val="auto"/>
                <w:szCs w:val="21"/>
                <w:highlight w:val="none"/>
              </w:rPr>
            </w:pPr>
            <w:r>
              <w:rPr>
                <w:rFonts w:ascii="Arial" w:hAnsi="Arial" w:cs="Arial"/>
                <w:b/>
                <w:bCs/>
                <w:color w:val="auto"/>
                <w:szCs w:val="21"/>
                <w:highlight w:val="none"/>
              </w:rPr>
              <w:t>产品注册证号</w:t>
            </w:r>
          </w:p>
        </w:tc>
        <w:tc>
          <w:tcPr>
            <w:tcW w:w="817" w:type="dxa"/>
            <w:tcBorders>
              <w:top w:val="single" w:color="auto" w:sz="4" w:space="0"/>
              <w:left w:val="single" w:color="auto" w:sz="4" w:space="0"/>
              <w:bottom w:val="single" w:color="auto" w:sz="4" w:space="0"/>
              <w:right w:val="single" w:color="auto" w:sz="4" w:space="0"/>
            </w:tcBorders>
            <w:vAlign w:val="center"/>
          </w:tcPr>
          <w:p w14:paraId="5D6D37D7">
            <w:pPr>
              <w:snapToGrid w:val="0"/>
              <w:jc w:val="center"/>
              <w:rPr>
                <w:rFonts w:ascii="Arial" w:hAnsi="Arial" w:cs="Arial"/>
                <w:b/>
                <w:bCs/>
                <w:color w:val="auto"/>
                <w:szCs w:val="21"/>
                <w:highlight w:val="none"/>
              </w:rPr>
            </w:pPr>
            <w:r>
              <w:rPr>
                <w:rFonts w:ascii="Arial" w:hAnsi="Arial" w:cs="Arial"/>
                <w:b/>
                <w:bCs/>
                <w:color w:val="auto"/>
                <w:szCs w:val="21"/>
                <w:highlight w:val="none"/>
              </w:rPr>
              <w:t>型号</w:t>
            </w:r>
          </w:p>
          <w:p w14:paraId="477D521B">
            <w:pPr>
              <w:snapToGrid w:val="0"/>
              <w:jc w:val="center"/>
              <w:rPr>
                <w:rFonts w:ascii="Arial" w:hAnsi="Arial" w:cs="Arial"/>
                <w:b/>
                <w:bCs/>
                <w:color w:val="auto"/>
                <w:szCs w:val="21"/>
                <w:highlight w:val="none"/>
              </w:rPr>
            </w:pPr>
            <w:r>
              <w:rPr>
                <w:rFonts w:ascii="Arial" w:hAnsi="Arial" w:cs="Arial"/>
                <w:b/>
                <w:bCs/>
                <w:color w:val="auto"/>
                <w:szCs w:val="21"/>
                <w:highlight w:val="none"/>
              </w:rPr>
              <w:t>规格</w:t>
            </w:r>
          </w:p>
        </w:tc>
        <w:tc>
          <w:tcPr>
            <w:tcW w:w="1898" w:type="dxa"/>
            <w:tcBorders>
              <w:top w:val="single" w:color="auto" w:sz="4" w:space="0"/>
              <w:left w:val="single" w:color="auto" w:sz="4" w:space="0"/>
              <w:bottom w:val="single" w:color="auto" w:sz="4" w:space="0"/>
              <w:right w:val="single" w:color="auto" w:sz="4" w:space="0"/>
            </w:tcBorders>
            <w:vAlign w:val="center"/>
          </w:tcPr>
          <w:p w14:paraId="77A985C3">
            <w:pPr>
              <w:snapToGrid w:val="0"/>
              <w:jc w:val="center"/>
              <w:rPr>
                <w:rFonts w:ascii="Arial" w:hAnsi="Arial" w:cs="Arial"/>
                <w:b/>
                <w:bCs/>
                <w:color w:val="auto"/>
                <w:szCs w:val="21"/>
                <w:highlight w:val="none"/>
              </w:rPr>
            </w:pPr>
            <w:r>
              <w:rPr>
                <w:rFonts w:ascii="Arial" w:hAnsi="Arial" w:cs="Arial"/>
                <w:b/>
                <w:bCs/>
                <w:color w:val="auto"/>
                <w:szCs w:val="21"/>
                <w:highlight w:val="none"/>
              </w:rPr>
              <w:t>生产厂家及品牌</w:t>
            </w:r>
          </w:p>
        </w:tc>
        <w:tc>
          <w:tcPr>
            <w:tcW w:w="630" w:type="dxa"/>
            <w:tcBorders>
              <w:top w:val="single" w:color="auto" w:sz="4" w:space="0"/>
              <w:left w:val="single" w:color="auto" w:sz="4" w:space="0"/>
              <w:bottom w:val="single" w:color="auto" w:sz="4" w:space="0"/>
              <w:right w:val="single" w:color="auto" w:sz="4" w:space="0"/>
            </w:tcBorders>
            <w:vAlign w:val="center"/>
          </w:tcPr>
          <w:p w14:paraId="2BBB298F">
            <w:pPr>
              <w:snapToGrid w:val="0"/>
              <w:jc w:val="center"/>
              <w:rPr>
                <w:rFonts w:ascii="Arial" w:hAnsi="Arial" w:cs="Arial"/>
                <w:b/>
                <w:bCs/>
                <w:color w:val="auto"/>
                <w:szCs w:val="21"/>
                <w:highlight w:val="none"/>
              </w:rPr>
            </w:pPr>
            <w:r>
              <w:rPr>
                <w:rFonts w:ascii="Arial" w:hAnsi="Arial" w:cs="Arial"/>
                <w:b/>
                <w:bCs/>
                <w:color w:val="auto"/>
                <w:szCs w:val="21"/>
                <w:highlight w:val="none"/>
              </w:rPr>
              <w:t>单位</w:t>
            </w:r>
          </w:p>
        </w:tc>
        <w:tc>
          <w:tcPr>
            <w:tcW w:w="630" w:type="dxa"/>
            <w:tcBorders>
              <w:top w:val="single" w:color="auto" w:sz="4" w:space="0"/>
              <w:left w:val="single" w:color="auto" w:sz="4" w:space="0"/>
              <w:bottom w:val="single" w:color="auto" w:sz="4" w:space="0"/>
              <w:right w:val="single" w:color="auto" w:sz="4" w:space="0"/>
            </w:tcBorders>
            <w:vAlign w:val="center"/>
          </w:tcPr>
          <w:p w14:paraId="38CC9E21">
            <w:pPr>
              <w:snapToGrid w:val="0"/>
              <w:jc w:val="center"/>
              <w:rPr>
                <w:rFonts w:ascii="Arial" w:hAnsi="Arial" w:cs="Arial"/>
                <w:b/>
                <w:bCs/>
                <w:color w:val="auto"/>
                <w:szCs w:val="21"/>
                <w:highlight w:val="none"/>
              </w:rPr>
            </w:pPr>
            <w:r>
              <w:rPr>
                <w:rFonts w:ascii="Arial" w:hAnsi="Arial" w:cs="Arial"/>
                <w:b/>
                <w:bCs/>
                <w:color w:val="auto"/>
                <w:szCs w:val="21"/>
                <w:highlight w:val="none"/>
              </w:rPr>
              <w:t>数量</w:t>
            </w:r>
          </w:p>
        </w:tc>
        <w:tc>
          <w:tcPr>
            <w:tcW w:w="953" w:type="dxa"/>
            <w:tcBorders>
              <w:top w:val="single" w:color="auto" w:sz="4" w:space="0"/>
              <w:left w:val="single" w:color="auto" w:sz="4" w:space="0"/>
              <w:bottom w:val="single" w:color="auto" w:sz="4" w:space="0"/>
              <w:right w:val="single" w:color="auto" w:sz="4" w:space="0"/>
            </w:tcBorders>
            <w:vAlign w:val="center"/>
          </w:tcPr>
          <w:p w14:paraId="3B6A889D">
            <w:pPr>
              <w:snapToGrid w:val="0"/>
              <w:jc w:val="center"/>
              <w:rPr>
                <w:rFonts w:ascii="Arial" w:hAnsi="Arial" w:cs="Arial"/>
                <w:b/>
                <w:bCs/>
                <w:color w:val="auto"/>
                <w:szCs w:val="21"/>
                <w:highlight w:val="none"/>
              </w:rPr>
            </w:pPr>
            <w:r>
              <w:rPr>
                <w:rFonts w:ascii="Arial" w:hAnsi="Arial" w:cs="Arial"/>
                <w:b/>
                <w:bCs/>
                <w:color w:val="auto"/>
                <w:szCs w:val="21"/>
                <w:highlight w:val="none"/>
              </w:rPr>
              <w:t>单价（元）</w:t>
            </w:r>
          </w:p>
        </w:tc>
        <w:tc>
          <w:tcPr>
            <w:tcW w:w="1134" w:type="dxa"/>
            <w:tcBorders>
              <w:top w:val="single" w:color="auto" w:sz="4" w:space="0"/>
              <w:left w:val="single" w:color="auto" w:sz="4" w:space="0"/>
              <w:bottom w:val="single" w:color="auto" w:sz="4" w:space="0"/>
              <w:right w:val="single" w:color="auto" w:sz="4" w:space="0"/>
            </w:tcBorders>
            <w:vAlign w:val="center"/>
          </w:tcPr>
          <w:p w14:paraId="30614905">
            <w:pPr>
              <w:snapToGrid w:val="0"/>
              <w:jc w:val="center"/>
              <w:rPr>
                <w:rFonts w:ascii="Arial" w:hAnsi="Arial" w:cs="Arial"/>
                <w:b/>
                <w:bCs/>
                <w:color w:val="auto"/>
                <w:szCs w:val="21"/>
                <w:highlight w:val="none"/>
              </w:rPr>
            </w:pPr>
            <w:r>
              <w:rPr>
                <w:rFonts w:ascii="Arial" w:hAnsi="Arial" w:cs="Arial"/>
                <w:b/>
                <w:bCs/>
                <w:color w:val="auto"/>
                <w:szCs w:val="21"/>
                <w:highlight w:val="none"/>
              </w:rPr>
              <w:t>总价（元）</w:t>
            </w:r>
          </w:p>
        </w:tc>
      </w:tr>
      <w:tr w14:paraId="297F0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trPr>
        <w:tc>
          <w:tcPr>
            <w:tcW w:w="2010" w:type="dxa"/>
            <w:tcBorders>
              <w:top w:val="single" w:color="auto" w:sz="4" w:space="0"/>
              <w:left w:val="single" w:color="auto" w:sz="4" w:space="0"/>
              <w:bottom w:val="single" w:color="auto" w:sz="4" w:space="0"/>
              <w:right w:val="single" w:color="auto" w:sz="4" w:space="0"/>
            </w:tcBorders>
            <w:vAlign w:val="center"/>
          </w:tcPr>
          <w:p w14:paraId="77152423">
            <w:pPr>
              <w:snapToGrid w:val="0"/>
              <w:ind w:firstLine="422" w:firstLineChars="200"/>
              <w:rPr>
                <w:rFonts w:ascii="Arial" w:hAnsi="Arial" w:cs="Arial"/>
                <w:b/>
                <w:bCs/>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center"/>
          </w:tcPr>
          <w:p w14:paraId="0F62E1F0">
            <w:pPr>
              <w:snapToGrid w:val="0"/>
              <w:ind w:firstLine="422" w:firstLineChars="200"/>
              <w:rPr>
                <w:rFonts w:ascii="Arial" w:hAnsi="Arial" w:cs="Arial"/>
                <w:b/>
                <w:bCs/>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vAlign w:val="center"/>
          </w:tcPr>
          <w:p w14:paraId="69183F84">
            <w:pPr>
              <w:snapToGrid w:val="0"/>
              <w:ind w:firstLine="422" w:firstLineChars="200"/>
              <w:rPr>
                <w:rFonts w:ascii="Arial" w:hAnsi="Arial" w:cs="Arial"/>
                <w:b/>
                <w:bCs/>
                <w:color w:val="auto"/>
                <w:szCs w:val="21"/>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14:paraId="2898FA86">
            <w:pPr>
              <w:snapToGrid w:val="0"/>
              <w:ind w:firstLine="422" w:firstLineChars="200"/>
              <w:rPr>
                <w:rFonts w:ascii="Arial" w:hAnsi="Arial" w:cs="Arial"/>
                <w:b/>
                <w:bCs/>
                <w:color w:val="auto"/>
                <w:szCs w:val="21"/>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7179BC1D">
            <w:pPr>
              <w:snapToGrid w:val="0"/>
              <w:ind w:firstLine="422" w:firstLineChars="200"/>
              <w:rPr>
                <w:rFonts w:ascii="Arial" w:hAnsi="Arial" w:cs="Arial"/>
                <w:b/>
                <w:bCs/>
                <w:color w:val="auto"/>
                <w:szCs w:val="21"/>
                <w:highlight w:val="none"/>
              </w:rPr>
            </w:pPr>
          </w:p>
        </w:tc>
        <w:tc>
          <w:tcPr>
            <w:tcW w:w="630" w:type="dxa"/>
            <w:tcBorders>
              <w:top w:val="single" w:color="auto" w:sz="4" w:space="0"/>
              <w:left w:val="single" w:color="auto" w:sz="4" w:space="0"/>
              <w:bottom w:val="single" w:color="auto" w:sz="4" w:space="0"/>
              <w:right w:val="single" w:color="auto" w:sz="4" w:space="0"/>
            </w:tcBorders>
            <w:vAlign w:val="center"/>
          </w:tcPr>
          <w:p w14:paraId="0903D367">
            <w:pPr>
              <w:snapToGrid w:val="0"/>
              <w:ind w:firstLine="422" w:firstLineChars="200"/>
              <w:rPr>
                <w:rFonts w:ascii="Arial" w:hAnsi="Arial" w:cs="Arial"/>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vAlign w:val="center"/>
          </w:tcPr>
          <w:p w14:paraId="55AA3380">
            <w:pPr>
              <w:snapToGrid w:val="0"/>
              <w:ind w:firstLine="422" w:firstLineChars="200"/>
              <w:rPr>
                <w:rFonts w:ascii="Arial" w:hAnsi="Arial" w:cs="Arial"/>
                <w:b/>
                <w:bCs/>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26D7456">
            <w:pPr>
              <w:snapToGrid w:val="0"/>
              <w:ind w:firstLine="422" w:firstLineChars="200"/>
              <w:rPr>
                <w:rFonts w:ascii="Arial" w:hAnsi="Arial" w:cs="Arial"/>
                <w:b/>
                <w:bCs/>
                <w:color w:val="auto"/>
                <w:szCs w:val="21"/>
                <w:highlight w:val="none"/>
              </w:rPr>
            </w:pPr>
          </w:p>
        </w:tc>
      </w:tr>
    </w:tbl>
    <w:p w14:paraId="3791FA2F">
      <w:pPr>
        <w:spacing w:line="400" w:lineRule="exact"/>
        <w:rPr>
          <w:rFonts w:ascii="Arial" w:hAnsi="Arial" w:cs="Arial"/>
          <w:b/>
          <w:color w:val="auto"/>
          <w:szCs w:val="21"/>
          <w:highlight w:val="none"/>
        </w:rPr>
      </w:pPr>
      <w:r>
        <w:rPr>
          <w:rFonts w:ascii="Arial" w:hAnsi="Arial" w:cs="Arial"/>
          <w:b/>
          <w:color w:val="auto"/>
          <w:szCs w:val="21"/>
          <w:highlight w:val="none"/>
        </w:rPr>
        <w:t>附件4：售后服务承诺书[</w:t>
      </w:r>
      <w:r>
        <w:rPr>
          <w:rFonts w:ascii="Arial" w:hAnsi="Arial" w:cs="Arial"/>
          <w:color w:val="auto"/>
          <w:kern w:val="0"/>
          <w:szCs w:val="21"/>
          <w:highlight w:val="none"/>
        </w:rPr>
        <w:t>原则上须有生产厂家或省级（含省级）以上代理商的盖章]</w:t>
      </w:r>
      <w:r>
        <w:rPr>
          <w:rFonts w:ascii="Arial" w:hAnsi="Arial" w:cs="Arial"/>
          <w:b/>
          <w:color w:val="auto"/>
          <w:szCs w:val="21"/>
          <w:highlight w:val="none"/>
        </w:rPr>
        <w:t>。</w:t>
      </w:r>
    </w:p>
    <w:p w14:paraId="15598E4D">
      <w:pPr>
        <w:spacing w:line="400" w:lineRule="exact"/>
        <w:rPr>
          <w:rFonts w:ascii="Arial" w:hAnsi="Arial" w:cs="Arial"/>
          <w:b/>
          <w:color w:val="auto"/>
          <w:szCs w:val="21"/>
          <w:highlight w:val="none"/>
        </w:rPr>
      </w:pPr>
      <w:r>
        <w:rPr>
          <w:rFonts w:ascii="Arial" w:hAnsi="Arial" w:cs="Arial"/>
          <w:b/>
          <w:color w:val="auto"/>
          <w:szCs w:val="21"/>
          <w:highlight w:val="none"/>
        </w:rPr>
        <w:t>附件5：产品医疗器械注册证（如有必须提供）。</w:t>
      </w:r>
    </w:p>
    <w:p w14:paraId="0AA682F7">
      <w:pPr>
        <w:snapToGrid w:val="0"/>
        <w:spacing w:line="400" w:lineRule="exact"/>
        <w:rPr>
          <w:rFonts w:ascii="Arial" w:hAnsi="Arial" w:eastAsia="等线" w:cs="Arial"/>
          <w:color w:val="auto"/>
          <w:kern w:val="0"/>
          <w:sz w:val="20"/>
          <w:szCs w:val="20"/>
          <w:highlight w:val="none"/>
        </w:rPr>
      </w:pPr>
      <w:r>
        <w:rPr>
          <w:rFonts w:ascii="Arial" w:hAnsi="Arial" w:cs="Arial"/>
          <w:b/>
          <w:color w:val="auto"/>
          <w:szCs w:val="21"/>
          <w:highlight w:val="none"/>
        </w:rPr>
        <w:t>附件6：供应商的营业执照、医疗器械经营许可证、医疗器械经营备案凭证。</w:t>
      </w:r>
    </w:p>
    <w:tbl>
      <w:tblPr>
        <w:tblStyle w:val="47"/>
        <w:tblW w:w="927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592"/>
      </w:tblGrid>
      <w:tr w14:paraId="524C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680" w:type="dxa"/>
            <w:vAlign w:val="center"/>
          </w:tcPr>
          <w:p w14:paraId="37FCBE0C">
            <w:pPr>
              <w:snapToGrid w:val="0"/>
              <w:spacing w:line="400" w:lineRule="exact"/>
              <w:rPr>
                <w:rFonts w:ascii="Arial" w:hAnsi="Arial" w:cs="Arial"/>
                <w:color w:val="auto"/>
                <w:szCs w:val="21"/>
                <w:highlight w:val="none"/>
              </w:rPr>
            </w:pPr>
            <w:r>
              <w:rPr>
                <w:rFonts w:ascii="Arial" w:hAnsi="Arial" w:cs="Arial"/>
                <w:color w:val="auto"/>
                <w:szCs w:val="21"/>
                <w:highlight w:val="none"/>
              </w:rPr>
              <w:t xml:space="preserve">甲方（章）  桂林医学院附属医院 </w:t>
            </w:r>
          </w:p>
          <w:p w14:paraId="0C120609">
            <w:pPr>
              <w:snapToGrid w:val="0"/>
              <w:spacing w:line="400" w:lineRule="exact"/>
              <w:ind w:firstLine="2310" w:firstLineChars="1100"/>
              <w:rPr>
                <w:rFonts w:ascii="Arial" w:hAnsi="Arial" w:cs="Arial"/>
                <w:color w:val="auto"/>
                <w:szCs w:val="21"/>
                <w:highlight w:val="none"/>
              </w:rPr>
            </w:pPr>
            <w:r>
              <w:rPr>
                <w:rFonts w:ascii="Arial" w:hAnsi="Arial" w:cs="Arial"/>
                <w:color w:val="auto"/>
                <w:szCs w:val="21"/>
                <w:highlight w:val="none"/>
              </w:rPr>
              <w:t xml:space="preserve"> 年    月    日</w:t>
            </w:r>
          </w:p>
        </w:tc>
        <w:tc>
          <w:tcPr>
            <w:tcW w:w="4592" w:type="dxa"/>
            <w:vAlign w:val="center"/>
          </w:tcPr>
          <w:p w14:paraId="4D336416">
            <w:pPr>
              <w:snapToGrid w:val="0"/>
              <w:spacing w:line="400" w:lineRule="exact"/>
              <w:rPr>
                <w:rFonts w:ascii="Arial" w:hAnsi="Arial" w:cs="Arial"/>
                <w:color w:val="auto"/>
                <w:szCs w:val="21"/>
                <w:highlight w:val="none"/>
              </w:rPr>
            </w:pPr>
            <w:r>
              <w:rPr>
                <w:rFonts w:ascii="Arial" w:hAnsi="Arial" w:cs="Arial"/>
                <w:color w:val="auto"/>
                <w:szCs w:val="21"/>
                <w:highlight w:val="none"/>
              </w:rPr>
              <w:t xml:space="preserve">乙方（章）  </w:t>
            </w:r>
          </w:p>
          <w:p w14:paraId="5CE2F4F3">
            <w:pPr>
              <w:snapToGrid w:val="0"/>
              <w:spacing w:line="400" w:lineRule="exact"/>
              <w:ind w:firstLine="2520" w:firstLineChars="1200"/>
              <w:rPr>
                <w:rFonts w:ascii="Arial" w:hAnsi="Arial" w:cs="Arial"/>
                <w:color w:val="auto"/>
                <w:szCs w:val="21"/>
                <w:highlight w:val="none"/>
              </w:rPr>
            </w:pPr>
            <w:r>
              <w:rPr>
                <w:rFonts w:ascii="Arial" w:hAnsi="Arial" w:cs="Arial"/>
                <w:color w:val="auto"/>
                <w:szCs w:val="21"/>
                <w:highlight w:val="none"/>
              </w:rPr>
              <w:t>年    月    日</w:t>
            </w:r>
          </w:p>
        </w:tc>
      </w:tr>
      <w:tr w14:paraId="03A8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680" w:type="dxa"/>
            <w:vAlign w:val="center"/>
          </w:tcPr>
          <w:p w14:paraId="1805E468">
            <w:pPr>
              <w:snapToGrid w:val="0"/>
              <w:spacing w:beforeLines="50" w:afterLines="50"/>
              <w:rPr>
                <w:rFonts w:ascii="Arial" w:hAnsi="Arial" w:cs="Arial"/>
                <w:color w:val="auto"/>
                <w:szCs w:val="21"/>
                <w:highlight w:val="none"/>
              </w:rPr>
            </w:pPr>
            <w:r>
              <w:rPr>
                <w:rFonts w:ascii="Arial" w:hAnsi="Arial" w:cs="Arial"/>
                <w:color w:val="auto"/>
                <w:szCs w:val="21"/>
                <w:highlight w:val="none"/>
              </w:rPr>
              <w:t>单位地址：桂林市秀峰区乐群路15号</w:t>
            </w:r>
          </w:p>
        </w:tc>
        <w:tc>
          <w:tcPr>
            <w:tcW w:w="4592" w:type="dxa"/>
            <w:vAlign w:val="center"/>
          </w:tcPr>
          <w:p w14:paraId="37339FB6">
            <w:pPr>
              <w:snapToGrid w:val="0"/>
              <w:spacing w:beforeLines="50" w:afterLines="50"/>
              <w:rPr>
                <w:rFonts w:ascii="Arial" w:hAnsi="Arial" w:cs="Arial"/>
                <w:color w:val="auto"/>
                <w:szCs w:val="21"/>
                <w:highlight w:val="none"/>
              </w:rPr>
            </w:pPr>
            <w:r>
              <w:rPr>
                <w:rFonts w:ascii="Arial" w:hAnsi="Arial" w:cs="Arial"/>
                <w:color w:val="auto"/>
                <w:szCs w:val="21"/>
                <w:highlight w:val="none"/>
              </w:rPr>
              <w:t>单位地址：</w:t>
            </w:r>
          </w:p>
        </w:tc>
      </w:tr>
      <w:tr w14:paraId="7E9E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4680" w:type="dxa"/>
            <w:vAlign w:val="center"/>
          </w:tcPr>
          <w:p w14:paraId="14E96F6E">
            <w:pPr>
              <w:snapToGrid w:val="0"/>
              <w:spacing w:beforeLines="50" w:afterLines="50"/>
              <w:rPr>
                <w:rFonts w:ascii="Arial" w:hAnsi="Arial" w:cs="Arial"/>
                <w:color w:val="auto"/>
                <w:szCs w:val="21"/>
                <w:highlight w:val="none"/>
              </w:rPr>
            </w:pPr>
            <w:r>
              <w:rPr>
                <w:rFonts w:ascii="Arial" w:hAnsi="Arial" w:cs="Arial"/>
                <w:color w:val="auto"/>
                <w:szCs w:val="21"/>
                <w:highlight w:val="none"/>
              </w:rPr>
              <w:t>法定代表人：</w:t>
            </w:r>
          </w:p>
        </w:tc>
        <w:tc>
          <w:tcPr>
            <w:tcW w:w="4592" w:type="dxa"/>
            <w:vAlign w:val="center"/>
          </w:tcPr>
          <w:p w14:paraId="10DEDBA1">
            <w:pPr>
              <w:snapToGrid w:val="0"/>
              <w:spacing w:beforeLines="50" w:afterLines="50"/>
              <w:rPr>
                <w:rFonts w:ascii="Arial" w:hAnsi="Arial" w:cs="Arial"/>
                <w:color w:val="auto"/>
                <w:szCs w:val="21"/>
                <w:highlight w:val="none"/>
              </w:rPr>
            </w:pPr>
            <w:r>
              <w:rPr>
                <w:rFonts w:ascii="Arial" w:hAnsi="Arial" w:cs="Arial"/>
                <w:color w:val="auto"/>
                <w:szCs w:val="21"/>
                <w:highlight w:val="none"/>
              </w:rPr>
              <w:t>法定代表人：</w:t>
            </w:r>
          </w:p>
        </w:tc>
      </w:tr>
      <w:tr w14:paraId="477D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4680" w:type="dxa"/>
            <w:vAlign w:val="center"/>
          </w:tcPr>
          <w:p w14:paraId="0AABFF08">
            <w:pPr>
              <w:snapToGrid w:val="0"/>
              <w:spacing w:beforeLines="50" w:afterLines="50"/>
              <w:rPr>
                <w:rFonts w:ascii="Arial" w:hAnsi="Arial" w:cs="Arial"/>
                <w:color w:val="auto"/>
                <w:szCs w:val="21"/>
                <w:highlight w:val="none"/>
              </w:rPr>
            </w:pPr>
            <w:r>
              <w:rPr>
                <w:rFonts w:ascii="Arial" w:hAnsi="Arial" w:cs="Arial"/>
                <w:color w:val="auto"/>
                <w:szCs w:val="21"/>
                <w:highlight w:val="none"/>
              </w:rPr>
              <w:t>委托代理人：</w:t>
            </w:r>
          </w:p>
        </w:tc>
        <w:tc>
          <w:tcPr>
            <w:tcW w:w="4592" w:type="dxa"/>
            <w:vAlign w:val="center"/>
          </w:tcPr>
          <w:p w14:paraId="1E07216B">
            <w:pPr>
              <w:snapToGrid w:val="0"/>
              <w:spacing w:beforeLines="50" w:afterLines="50"/>
              <w:rPr>
                <w:rFonts w:ascii="Arial" w:hAnsi="Arial" w:cs="Arial"/>
                <w:color w:val="auto"/>
                <w:szCs w:val="21"/>
                <w:highlight w:val="none"/>
              </w:rPr>
            </w:pPr>
            <w:r>
              <w:rPr>
                <w:rFonts w:ascii="Arial" w:hAnsi="Arial" w:cs="Arial"/>
                <w:color w:val="auto"/>
                <w:szCs w:val="21"/>
                <w:highlight w:val="none"/>
              </w:rPr>
              <w:t>委托代理人</w:t>
            </w:r>
          </w:p>
        </w:tc>
      </w:tr>
      <w:tr w14:paraId="753F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680" w:type="dxa"/>
            <w:vAlign w:val="center"/>
          </w:tcPr>
          <w:p w14:paraId="2F24CC46">
            <w:pPr>
              <w:snapToGrid w:val="0"/>
              <w:spacing w:beforeLines="50" w:afterLines="50"/>
              <w:rPr>
                <w:rFonts w:ascii="Arial" w:hAnsi="Arial" w:cs="Arial"/>
                <w:color w:val="auto"/>
                <w:szCs w:val="21"/>
                <w:highlight w:val="none"/>
              </w:rPr>
            </w:pPr>
            <w:r>
              <w:rPr>
                <w:rFonts w:ascii="Arial" w:hAnsi="Arial" w:cs="Arial"/>
                <w:color w:val="auto"/>
                <w:szCs w:val="21"/>
                <w:highlight w:val="none"/>
              </w:rPr>
              <w:t>电话：0773-2802050招标办</w:t>
            </w:r>
          </w:p>
        </w:tc>
        <w:tc>
          <w:tcPr>
            <w:tcW w:w="4592" w:type="dxa"/>
            <w:vAlign w:val="center"/>
          </w:tcPr>
          <w:p w14:paraId="3D52A1C7">
            <w:pPr>
              <w:snapToGrid w:val="0"/>
              <w:spacing w:beforeLines="50" w:afterLines="50"/>
              <w:rPr>
                <w:rFonts w:ascii="Arial" w:hAnsi="Arial" w:cs="Arial"/>
                <w:color w:val="auto"/>
                <w:szCs w:val="21"/>
                <w:highlight w:val="none"/>
              </w:rPr>
            </w:pPr>
            <w:r>
              <w:rPr>
                <w:rFonts w:ascii="Arial" w:hAnsi="Arial" w:cs="Arial"/>
                <w:color w:val="auto"/>
                <w:szCs w:val="21"/>
                <w:highlight w:val="none"/>
              </w:rPr>
              <w:t>电话：</w:t>
            </w:r>
          </w:p>
        </w:tc>
      </w:tr>
      <w:tr w14:paraId="51C8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680" w:type="dxa"/>
            <w:vAlign w:val="center"/>
          </w:tcPr>
          <w:p w14:paraId="2A4323FC">
            <w:pPr>
              <w:snapToGrid w:val="0"/>
              <w:spacing w:beforeLines="50" w:afterLines="50"/>
              <w:rPr>
                <w:rFonts w:ascii="Arial" w:hAnsi="Arial" w:cs="Arial"/>
                <w:color w:val="auto"/>
                <w:szCs w:val="21"/>
                <w:highlight w:val="none"/>
              </w:rPr>
            </w:pPr>
            <w:r>
              <w:rPr>
                <w:rFonts w:ascii="Arial" w:hAnsi="Arial" w:cs="Arial"/>
                <w:color w:val="auto"/>
                <w:szCs w:val="21"/>
                <w:highlight w:val="none"/>
              </w:rPr>
              <w:t>电子邮箱：</w:t>
            </w:r>
          </w:p>
        </w:tc>
        <w:tc>
          <w:tcPr>
            <w:tcW w:w="4592" w:type="dxa"/>
            <w:vAlign w:val="center"/>
          </w:tcPr>
          <w:p w14:paraId="1BF142CE">
            <w:pPr>
              <w:snapToGrid w:val="0"/>
              <w:spacing w:beforeLines="50" w:afterLines="50"/>
              <w:rPr>
                <w:rFonts w:ascii="Arial" w:hAnsi="Arial" w:cs="Arial"/>
                <w:color w:val="auto"/>
                <w:szCs w:val="21"/>
                <w:highlight w:val="none"/>
              </w:rPr>
            </w:pPr>
            <w:r>
              <w:rPr>
                <w:rFonts w:ascii="Arial" w:hAnsi="Arial" w:cs="Arial"/>
                <w:color w:val="auto"/>
                <w:szCs w:val="21"/>
                <w:highlight w:val="none"/>
              </w:rPr>
              <w:t>电子邮箱：</w:t>
            </w:r>
          </w:p>
        </w:tc>
      </w:tr>
      <w:tr w14:paraId="5BC4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680" w:type="dxa"/>
            <w:vAlign w:val="center"/>
          </w:tcPr>
          <w:p w14:paraId="0A88A729">
            <w:pPr>
              <w:snapToGrid w:val="0"/>
              <w:spacing w:beforeLines="50" w:afterLines="50"/>
              <w:rPr>
                <w:rFonts w:ascii="Arial" w:hAnsi="Arial" w:cs="Arial"/>
                <w:color w:val="auto"/>
                <w:szCs w:val="21"/>
                <w:highlight w:val="none"/>
              </w:rPr>
            </w:pPr>
            <w:r>
              <w:rPr>
                <w:rFonts w:ascii="Arial" w:hAnsi="Arial" w:cs="Arial"/>
                <w:color w:val="auto"/>
                <w:szCs w:val="21"/>
                <w:highlight w:val="none"/>
              </w:rPr>
              <w:t>开户银行：</w:t>
            </w:r>
          </w:p>
        </w:tc>
        <w:tc>
          <w:tcPr>
            <w:tcW w:w="4592" w:type="dxa"/>
            <w:vAlign w:val="center"/>
          </w:tcPr>
          <w:p w14:paraId="54CB8982">
            <w:pPr>
              <w:snapToGrid w:val="0"/>
              <w:spacing w:beforeLines="50" w:afterLines="50"/>
              <w:rPr>
                <w:rFonts w:ascii="Arial" w:hAnsi="Arial" w:cs="Arial"/>
                <w:color w:val="auto"/>
                <w:szCs w:val="21"/>
                <w:highlight w:val="none"/>
              </w:rPr>
            </w:pPr>
            <w:r>
              <w:rPr>
                <w:rFonts w:ascii="Arial" w:hAnsi="Arial" w:cs="Arial"/>
                <w:color w:val="auto"/>
                <w:szCs w:val="21"/>
                <w:highlight w:val="none"/>
              </w:rPr>
              <w:t>开户银行：</w:t>
            </w:r>
          </w:p>
        </w:tc>
      </w:tr>
      <w:tr w14:paraId="3174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680" w:type="dxa"/>
            <w:vAlign w:val="center"/>
          </w:tcPr>
          <w:p w14:paraId="2809D3EF">
            <w:pPr>
              <w:snapToGrid w:val="0"/>
              <w:spacing w:beforeLines="50" w:afterLines="50"/>
              <w:rPr>
                <w:rFonts w:ascii="Arial" w:hAnsi="Arial" w:cs="Arial"/>
                <w:color w:val="auto"/>
                <w:szCs w:val="21"/>
                <w:highlight w:val="none"/>
              </w:rPr>
            </w:pPr>
            <w:r>
              <w:rPr>
                <w:rFonts w:ascii="Arial" w:hAnsi="Arial" w:cs="Arial"/>
                <w:color w:val="auto"/>
                <w:szCs w:val="21"/>
                <w:highlight w:val="none"/>
              </w:rPr>
              <w:t>账号：</w:t>
            </w:r>
          </w:p>
        </w:tc>
        <w:tc>
          <w:tcPr>
            <w:tcW w:w="4592" w:type="dxa"/>
            <w:vAlign w:val="center"/>
          </w:tcPr>
          <w:p w14:paraId="40B8B125">
            <w:pPr>
              <w:snapToGrid w:val="0"/>
              <w:spacing w:beforeLines="50" w:afterLines="50"/>
              <w:rPr>
                <w:rFonts w:ascii="Arial" w:hAnsi="Arial" w:cs="Arial"/>
                <w:color w:val="auto"/>
                <w:szCs w:val="21"/>
                <w:highlight w:val="none"/>
              </w:rPr>
            </w:pPr>
            <w:r>
              <w:rPr>
                <w:rFonts w:ascii="Arial" w:hAnsi="Arial" w:cs="Arial"/>
                <w:color w:val="auto"/>
                <w:szCs w:val="21"/>
                <w:highlight w:val="none"/>
              </w:rPr>
              <w:t>账号：</w:t>
            </w:r>
          </w:p>
        </w:tc>
      </w:tr>
      <w:tr w14:paraId="636A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680" w:type="dxa"/>
            <w:vAlign w:val="center"/>
          </w:tcPr>
          <w:p w14:paraId="748D45C7">
            <w:pPr>
              <w:snapToGrid w:val="0"/>
              <w:spacing w:beforeLines="50" w:afterLines="50"/>
              <w:rPr>
                <w:rFonts w:ascii="Arial" w:hAnsi="Arial" w:cs="Arial"/>
                <w:color w:val="auto"/>
                <w:szCs w:val="21"/>
                <w:highlight w:val="none"/>
              </w:rPr>
            </w:pPr>
            <w:r>
              <w:rPr>
                <w:rFonts w:ascii="Arial" w:hAnsi="Arial" w:cs="Arial"/>
                <w:color w:val="auto"/>
                <w:szCs w:val="21"/>
                <w:highlight w:val="none"/>
              </w:rPr>
              <w:t>邮政编码：</w:t>
            </w:r>
          </w:p>
        </w:tc>
        <w:tc>
          <w:tcPr>
            <w:tcW w:w="4592" w:type="dxa"/>
            <w:vAlign w:val="center"/>
          </w:tcPr>
          <w:p w14:paraId="64CCC2CF">
            <w:pPr>
              <w:snapToGrid w:val="0"/>
              <w:spacing w:beforeLines="50" w:afterLines="50"/>
              <w:rPr>
                <w:rFonts w:ascii="Arial" w:hAnsi="Arial" w:cs="Arial"/>
                <w:color w:val="auto"/>
                <w:szCs w:val="21"/>
                <w:highlight w:val="none"/>
              </w:rPr>
            </w:pPr>
            <w:r>
              <w:rPr>
                <w:rFonts w:ascii="Arial" w:hAnsi="Arial" w:cs="Arial"/>
                <w:color w:val="auto"/>
                <w:szCs w:val="21"/>
                <w:highlight w:val="none"/>
              </w:rPr>
              <w:t>邮政编码：</w:t>
            </w:r>
          </w:p>
        </w:tc>
      </w:tr>
    </w:tbl>
    <w:p w14:paraId="588EC152">
      <w:pPr>
        <w:rPr>
          <w:rFonts w:ascii="Arial" w:hAnsi="Arial" w:cs="Arial"/>
          <w:color w:val="auto"/>
          <w:highlight w:val="none"/>
        </w:rPr>
      </w:pPr>
    </w:p>
    <w:p w14:paraId="7562078F">
      <w:pPr>
        <w:spacing w:after="120"/>
        <w:rPr>
          <w:rFonts w:ascii="Arial" w:hAnsi="Arial" w:eastAsia="等线" w:cs="Arial"/>
          <w:color w:val="auto"/>
          <w:kern w:val="0"/>
          <w:sz w:val="20"/>
          <w:szCs w:val="20"/>
          <w:highlight w:val="none"/>
        </w:rPr>
      </w:pPr>
    </w:p>
    <w:p w14:paraId="5078D2E6">
      <w:pPr>
        <w:spacing w:line="400" w:lineRule="exact"/>
        <w:jc w:val="center"/>
        <w:rPr>
          <w:rFonts w:ascii="Arial" w:hAnsi="Arial" w:cs="Arial"/>
          <w:b/>
          <w:color w:val="auto"/>
          <w:sz w:val="36"/>
          <w:szCs w:val="36"/>
          <w:highlight w:val="none"/>
        </w:rPr>
      </w:pPr>
      <w:r>
        <w:rPr>
          <w:rFonts w:ascii="Arial" w:hAnsi="Arial" w:cs="Arial"/>
          <w:b/>
          <w:color w:val="auto"/>
          <w:szCs w:val="21"/>
          <w:highlight w:val="none"/>
        </w:rPr>
        <w:br w:type="page"/>
      </w:r>
      <w:r>
        <w:rPr>
          <w:rFonts w:ascii="Arial" w:hAnsi="Arial" w:cs="Arial"/>
          <w:b/>
          <w:color w:val="auto"/>
          <w:sz w:val="36"/>
          <w:szCs w:val="36"/>
          <w:highlight w:val="none"/>
        </w:rPr>
        <w:t>医疗卫生机构医药产品廉洁购销合同</w:t>
      </w:r>
    </w:p>
    <w:p w14:paraId="46251EEC">
      <w:pPr>
        <w:spacing w:line="400" w:lineRule="exact"/>
        <w:ind w:firstLine="1405" w:firstLineChars="500"/>
        <w:rPr>
          <w:rFonts w:ascii="宋体" w:hAnsi="宋体"/>
          <w:b/>
          <w:color w:val="auto"/>
          <w:sz w:val="28"/>
          <w:szCs w:val="28"/>
          <w:highlight w:val="none"/>
        </w:rPr>
      </w:pPr>
      <w:r>
        <w:rPr>
          <w:rFonts w:hint="eastAsia" w:ascii="宋体" w:hAnsi="宋体"/>
          <w:b/>
          <w:color w:val="auto"/>
          <w:sz w:val="28"/>
          <w:szCs w:val="28"/>
          <w:highlight w:val="none"/>
        </w:rPr>
        <w:t>（含设备、耗材、后勤物资、基建工程、行业服务等）</w:t>
      </w:r>
    </w:p>
    <w:p w14:paraId="08018DEE">
      <w:pPr>
        <w:spacing w:line="400" w:lineRule="exact"/>
        <w:rPr>
          <w:rFonts w:ascii="Arial" w:hAnsi="Arial" w:cs="Arial"/>
          <w:b/>
          <w:color w:val="auto"/>
          <w:sz w:val="24"/>
          <w:highlight w:val="none"/>
        </w:rPr>
      </w:pPr>
    </w:p>
    <w:p w14:paraId="555D928F">
      <w:pPr>
        <w:spacing w:line="360" w:lineRule="exact"/>
        <w:rPr>
          <w:rFonts w:ascii="Arial" w:hAnsi="Arial" w:cs="Arial"/>
          <w:b/>
          <w:color w:val="auto"/>
          <w:szCs w:val="21"/>
          <w:highlight w:val="none"/>
        </w:rPr>
      </w:pPr>
      <w:r>
        <w:rPr>
          <w:rFonts w:ascii="Arial" w:hAnsi="Arial" w:cs="Arial"/>
          <w:b/>
          <w:color w:val="auto"/>
          <w:szCs w:val="21"/>
          <w:highlight w:val="none"/>
        </w:rPr>
        <w:t>甲方（医疗卫生机构）：桂林医学院附属医院</w:t>
      </w:r>
    </w:p>
    <w:p w14:paraId="2AC4D579">
      <w:pPr>
        <w:spacing w:line="360" w:lineRule="exact"/>
        <w:rPr>
          <w:rFonts w:ascii="Arial" w:hAnsi="Arial" w:cs="Arial"/>
          <w:b/>
          <w:color w:val="auto"/>
          <w:szCs w:val="21"/>
          <w:highlight w:val="none"/>
        </w:rPr>
      </w:pPr>
      <w:r>
        <w:rPr>
          <w:rFonts w:ascii="Arial" w:hAnsi="Arial" w:cs="Arial"/>
          <w:b/>
          <w:color w:val="auto"/>
          <w:szCs w:val="21"/>
          <w:highlight w:val="none"/>
        </w:rPr>
        <w:t>乙方（医药生产经营企业及其代理人）：</w:t>
      </w:r>
    </w:p>
    <w:p w14:paraId="7AFE2EAC">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为进一步加强医疗卫生行风建设，规范医疗卫生机构医药购销行为，有效防范商业贿赂行为，营造公平交易、诚实守信的购销环境，经甲、乙双方协商，同意签订本合同，并共同遵守：</w:t>
      </w:r>
    </w:p>
    <w:p w14:paraId="380ABB7F">
      <w:pPr>
        <w:spacing w:line="360" w:lineRule="exact"/>
        <w:ind w:firstLine="430" w:firstLineChars="205"/>
        <w:rPr>
          <w:rFonts w:ascii="Arial" w:hAnsi="Arial" w:cs="Arial"/>
          <w:color w:val="auto"/>
          <w:szCs w:val="21"/>
          <w:highlight w:val="none"/>
        </w:rPr>
      </w:pPr>
      <w:r>
        <w:rPr>
          <w:rFonts w:ascii="Arial" w:hAnsi="Arial" w:cs="Arial"/>
          <w:color w:val="auto"/>
          <w:szCs w:val="21"/>
          <w:highlight w:val="none"/>
        </w:rPr>
        <w:t>一、甲乙双方按照《中华人民共和国民法典》及医药产品购销合同约定购销药品、医用设备、医用耗材试剂等医药产品。</w:t>
      </w:r>
    </w:p>
    <w:p w14:paraId="00481FDF">
      <w:pPr>
        <w:spacing w:line="360" w:lineRule="exact"/>
        <w:ind w:firstLine="430" w:firstLineChars="205"/>
        <w:rPr>
          <w:rFonts w:ascii="Arial" w:hAnsi="Arial" w:cs="Arial"/>
          <w:color w:val="auto"/>
          <w:szCs w:val="21"/>
          <w:highlight w:val="none"/>
        </w:rPr>
      </w:pPr>
      <w:r>
        <w:rPr>
          <w:rFonts w:ascii="Arial" w:hAnsi="Arial" w:cs="Arial"/>
          <w:color w:val="auto"/>
          <w:szCs w:val="21"/>
          <w:highlight w:val="none"/>
        </w:rPr>
        <w:t>二、甲方应当严格执行医药产品购销合同验收、入库制度，对采购医药产品及发票进行查验，不得违反有关规定合同外采购、违价采购或从非规定渠道采购。</w:t>
      </w:r>
    </w:p>
    <w:p w14:paraId="7F6D6D7B">
      <w:pPr>
        <w:spacing w:line="360" w:lineRule="exact"/>
        <w:ind w:firstLine="430" w:firstLineChars="205"/>
        <w:rPr>
          <w:rFonts w:ascii="Arial" w:hAnsi="Arial" w:cs="Arial"/>
          <w:color w:val="auto"/>
          <w:szCs w:val="21"/>
          <w:highlight w:val="none"/>
        </w:rPr>
      </w:pPr>
      <w:r>
        <w:rPr>
          <w:rFonts w:ascii="Arial" w:hAnsi="Arial" w:cs="Arial"/>
          <w:color w:val="auto"/>
          <w:szCs w:val="21"/>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0142E3E4">
      <w:pPr>
        <w:spacing w:line="360" w:lineRule="exact"/>
        <w:ind w:firstLine="430" w:firstLineChars="205"/>
        <w:rPr>
          <w:rFonts w:ascii="Arial" w:hAnsi="Arial" w:cs="Arial"/>
          <w:color w:val="auto"/>
          <w:szCs w:val="21"/>
          <w:highlight w:val="none"/>
        </w:rPr>
      </w:pPr>
      <w:r>
        <w:rPr>
          <w:rFonts w:ascii="Arial" w:hAnsi="Arial" w:cs="Arial"/>
          <w:color w:val="auto"/>
          <w:szCs w:val="21"/>
          <w:highlight w:val="none"/>
        </w:rPr>
        <w:t>四、严禁甲方工作人员利用任何途径和方式，为乙方统计医师个人及临床科室有关医药产品用量信息，或为乙方统计提供便利。</w:t>
      </w:r>
    </w:p>
    <w:p w14:paraId="566F590C">
      <w:pPr>
        <w:spacing w:line="360" w:lineRule="exact"/>
        <w:ind w:firstLine="430" w:firstLineChars="205"/>
        <w:rPr>
          <w:rFonts w:ascii="Arial" w:hAnsi="Arial" w:cs="Arial"/>
          <w:color w:val="auto"/>
          <w:szCs w:val="21"/>
          <w:highlight w:val="none"/>
        </w:rPr>
      </w:pPr>
      <w:r>
        <w:rPr>
          <w:rFonts w:ascii="Arial" w:hAnsi="Arial" w:cs="Arial"/>
          <w:color w:val="auto"/>
          <w:szCs w:val="21"/>
          <w:highlight w:val="none"/>
        </w:rPr>
        <w:t>五、乙方不得以回扣、宴请等方式影响甲方工作人员采购或使用医药产品的选择权，不得在学术活动中提供旅游、超标准支付食宿费用。</w:t>
      </w:r>
    </w:p>
    <w:p w14:paraId="3A88D9EA">
      <w:pPr>
        <w:spacing w:line="360" w:lineRule="exact"/>
        <w:ind w:firstLine="430" w:firstLineChars="205"/>
        <w:rPr>
          <w:rFonts w:ascii="Arial" w:hAnsi="Arial" w:cs="Arial"/>
          <w:color w:val="auto"/>
          <w:szCs w:val="21"/>
          <w:highlight w:val="none"/>
        </w:rPr>
      </w:pPr>
      <w:r>
        <w:rPr>
          <w:rFonts w:ascii="Arial" w:hAnsi="Arial" w:cs="Arial"/>
          <w:color w:val="auto"/>
          <w:szCs w:val="21"/>
          <w:highlight w:val="none"/>
        </w:rPr>
        <w:t>六、乙方指定</w:t>
      </w:r>
      <w:r>
        <w:rPr>
          <w:rFonts w:hint="eastAsia" w:asciiTheme="majorEastAsia" w:hAnsiTheme="majorEastAsia" w:eastAsiaTheme="majorEastAsia"/>
          <w:b/>
          <w:color w:val="auto"/>
          <w:szCs w:val="21"/>
          <w:highlight w:val="none"/>
          <w:u w:val="single"/>
          <w:lang w:val="en-US" w:eastAsia="zh-CN"/>
        </w:rPr>
        <w:t xml:space="preserve">        </w:t>
      </w:r>
      <w:r>
        <w:rPr>
          <w:rFonts w:ascii="Arial" w:hAnsi="Arial" w:cs="Arial"/>
          <w:color w:val="auto"/>
          <w:szCs w:val="21"/>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0132C096">
      <w:pPr>
        <w:spacing w:line="360" w:lineRule="exact"/>
        <w:ind w:firstLine="430" w:firstLineChars="205"/>
        <w:rPr>
          <w:rFonts w:ascii="Arial" w:hAnsi="Arial" w:cs="Arial"/>
          <w:color w:val="auto"/>
          <w:szCs w:val="21"/>
          <w:highlight w:val="none"/>
        </w:rPr>
      </w:pPr>
      <w:r>
        <w:rPr>
          <w:rFonts w:ascii="Arial" w:hAnsi="Arial" w:cs="Arial"/>
          <w:color w:val="auto"/>
          <w:szCs w:val="21"/>
          <w:highlight w:val="none"/>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14:paraId="28C99075">
      <w:pPr>
        <w:spacing w:line="360" w:lineRule="exact"/>
        <w:ind w:firstLine="430" w:firstLineChars="205"/>
        <w:rPr>
          <w:rFonts w:ascii="Arial" w:hAnsi="Arial" w:cs="Arial"/>
          <w:color w:val="auto"/>
          <w:szCs w:val="21"/>
          <w:highlight w:val="none"/>
        </w:rPr>
      </w:pPr>
      <w:r>
        <w:rPr>
          <w:rFonts w:ascii="Arial" w:hAnsi="Arial" w:cs="Arial"/>
          <w:color w:val="auto"/>
          <w:szCs w:val="21"/>
          <w:highlight w:val="none"/>
        </w:rPr>
        <w:t>八、本合同作为医药产品购销合同的重要组成部分，与购销合同一并执行，具有同等的法律效力。</w:t>
      </w:r>
    </w:p>
    <w:p w14:paraId="0DE1BD34">
      <w:pPr>
        <w:spacing w:line="360" w:lineRule="exact"/>
        <w:ind w:firstLine="430" w:firstLineChars="205"/>
        <w:rPr>
          <w:rFonts w:ascii="Arial" w:hAnsi="Arial" w:cs="Arial"/>
          <w:color w:val="auto"/>
          <w:szCs w:val="21"/>
          <w:highlight w:val="none"/>
        </w:rPr>
      </w:pPr>
      <w:r>
        <w:rPr>
          <w:rFonts w:ascii="Arial" w:hAnsi="Arial" w:cs="Arial"/>
          <w:color w:val="auto"/>
          <w:szCs w:val="21"/>
          <w:highlight w:val="none"/>
        </w:rPr>
        <w:t>九、本合同一式七份，甲方执伍份，乙方执一份，代理机构执一份，并从签订之日起生效。</w:t>
      </w:r>
    </w:p>
    <w:p w14:paraId="4D6401BA">
      <w:pPr>
        <w:spacing w:line="400" w:lineRule="exact"/>
        <w:rPr>
          <w:rFonts w:ascii="Arial" w:hAnsi="Arial" w:cs="Arial"/>
          <w:b/>
          <w:color w:val="auto"/>
          <w:szCs w:val="21"/>
          <w:highlight w:val="none"/>
        </w:rPr>
      </w:pPr>
    </w:p>
    <w:p w14:paraId="7ACF070B">
      <w:pPr>
        <w:spacing w:line="400" w:lineRule="exact"/>
        <w:rPr>
          <w:rFonts w:ascii="Arial" w:hAnsi="Arial" w:cs="Arial"/>
          <w:b/>
          <w:color w:val="auto"/>
          <w:szCs w:val="21"/>
          <w:highlight w:val="none"/>
        </w:rPr>
      </w:pPr>
      <w:r>
        <w:rPr>
          <w:rFonts w:ascii="Arial" w:hAnsi="Arial" w:cs="Arial"/>
          <w:b/>
          <w:color w:val="auto"/>
          <w:szCs w:val="21"/>
          <w:highlight w:val="none"/>
        </w:rPr>
        <w:t>甲方（盖章）：桂林医学院附属医院                         乙方（盖章）：</w:t>
      </w:r>
    </w:p>
    <w:p w14:paraId="0CC26A67">
      <w:pPr>
        <w:spacing w:line="400" w:lineRule="exact"/>
        <w:rPr>
          <w:rFonts w:ascii="Arial" w:hAnsi="Arial" w:cs="Arial"/>
          <w:b/>
          <w:color w:val="auto"/>
          <w:szCs w:val="21"/>
          <w:highlight w:val="none"/>
        </w:rPr>
      </w:pPr>
      <w:r>
        <w:rPr>
          <w:rFonts w:ascii="Arial" w:hAnsi="Arial" w:cs="Arial"/>
          <w:b/>
          <w:color w:val="auto"/>
          <w:szCs w:val="21"/>
          <w:highlight w:val="none"/>
        </w:rPr>
        <w:t>法定代表人（负责人）：                                   法定代表人（负责人）：</w:t>
      </w:r>
    </w:p>
    <w:p w14:paraId="41629D62">
      <w:pPr>
        <w:spacing w:line="400" w:lineRule="exact"/>
        <w:rPr>
          <w:rFonts w:ascii="Arial" w:hAnsi="Arial" w:cs="Arial"/>
          <w:b/>
          <w:color w:val="auto"/>
          <w:szCs w:val="21"/>
          <w:highlight w:val="none"/>
          <w:u w:val="single"/>
        </w:rPr>
      </w:pPr>
      <w:r>
        <w:rPr>
          <w:rFonts w:ascii="Arial" w:hAnsi="Arial" w:cs="Arial"/>
          <w:b/>
          <w:color w:val="auto"/>
          <w:szCs w:val="21"/>
          <w:highlight w:val="none"/>
        </w:rPr>
        <w:t xml:space="preserve">经办人签名：  </w:t>
      </w:r>
      <w:r>
        <w:rPr>
          <w:rFonts w:hint="eastAsia" w:ascii="Arial" w:hAnsi="Arial" w:cs="Arial"/>
          <w:b/>
          <w:color w:val="auto"/>
          <w:szCs w:val="21"/>
          <w:highlight w:val="none"/>
          <w:lang w:val="en-US" w:eastAsia="zh-CN"/>
        </w:rPr>
        <w:t xml:space="preserve">                                           </w:t>
      </w:r>
      <w:r>
        <w:rPr>
          <w:rFonts w:ascii="Arial" w:hAnsi="Arial" w:cs="Arial"/>
          <w:b/>
          <w:color w:val="auto"/>
          <w:szCs w:val="21"/>
          <w:highlight w:val="none"/>
        </w:rPr>
        <w:t>经办人签名：</w:t>
      </w:r>
    </w:p>
    <w:p w14:paraId="12ECE3E9">
      <w:pPr>
        <w:rPr>
          <w:color w:val="auto"/>
          <w:highlight w:val="none"/>
        </w:rPr>
      </w:pPr>
      <w:r>
        <w:rPr>
          <w:rFonts w:hint="eastAsia" w:ascii="Arial" w:hAnsi="Arial" w:cs="Arial"/>
          <w:b/>
          <w:color w:val="auto"/>
          <w:szCs w:val="21"/>
          <w:highlight w:val="none"/>
        </w:rPr>
        <w:t xml:space="preserve">签订日期： </w:t>
      </w:r>
      <w:r>
        <w:rPr>
          <w:rFonts w:ascii="Arial" w:hAnsi="Arial" w:cs="Arial"/>
          <w:b/>
          <w:color w:val="auto"/>
          <w:szCs w:val="21"/>
          <w:highlight w:val="none"/>
        </w:rPr>
        <w:t xml:space="preserve">  年   月   日</w:t>
      </w:r>
      <w:r>
        <w:rPr>
          <w:rFonts w:hint="eastAsia" w:ascii="Arial" w:hAnsi="Arial" w:cs="Arial"/>
          <w:b/>
          <w:color w:val="auto"/>
          <w:szCs w:val="21"/>
          <w:highlight w:val="none"/>
        </w:rPr>
        <w:t xml:space="preserve">   </w:t>
      </w:r>
      <w:r>
        <w:rPr>
          <w:rFonts w:hint="eastAsia" w:ascii="Arial" w:hAnsi="Arial" w:cs="Arial"/>
          <w:b/>
          <w:color w:val="auto"/>
          <w:szCs w:val="21"/>
          <w:highlight w:val="none"/>
          <w:lang w:val="en-US" w:eastAsia="zh-CN"/>
        </w:rPr>
        <w:t xml:space="preserve">                           </w:t>
      </w:r>
      <w:r>
        <w:rPr>
          <w:rFonts w:hint="eastAsia" w:ascii="Arial" w:hAnsi="Arial" w:cs="Arial"/>
          <w:b/>
          <w:color w:val="auto"/>
          <w:szCs w:val="21"/>
          <w:highlight w:val="none"/>
        </w:rPr>
        <w:t xml:space="preserve"> 签订日期： </w:t>
      </w:r>
      <w:r>
        <w:rPr>
          <w:rFonts w:ascii="Arial" w:hAnsi="Arial" w:cs="Arial"/>
          <w:b/>
          <w:color w:val="auto"/>
          <w:szCs w:val="21"/>
          <w:highlight w:val="none"/>
        </w:rPr>
        <w:t xml:space="preserve">   年   月   日</w:t>
      </w:r>
    </w:p>
    <w:p w14:paraId="27241769">
      <w:pPr>
        <w:spacing w:line="400" w:lineRule="exact"/>
        <w:jc w:val="center"/>
        <w:rPr>
          <w:rFonts w:asciiTheme="majorEastAsia" w:hAnsiTheme="majorEastAsia" w:eastAsiaTheme="majorEastAsia"/>
          <w:b/>
          <w:color w:val="auto"/>
          <w:szCs w:val="21"/>
          <w:highlight w:val="none"/>
        </w:rPr>
      </w:pPr>
    </w:p>
    <w:bookmarkEnd w:id="143"/>
    <w:p w14:paraId="5809A122">
      <w:pPr>
        <w:rPr>
          <w:rFonts w:ascii="宋体" w:hAnsi="宋体" w:cs="宋体"/>
          <w:bCs/>
          <w:color w:val="auto"/>
          <w:sz w:val="32"/>
          <w:szCs w:val="32"/>
          <w:highlight w:val="none"/>
        </w:rPr>
      </w:pPr>
    </w:p>
    <w:p w14:paraId="0E0A26AE">
      <w:pPr>
        <w:pStyle w:val="2"/>
        <w:ind w:firstLine="640"/>
        <w:rPr>
          <w:rFonts w:ascii="宋体" w:hAnsi="宋体" w:cs="宋体"/>
          <w:bCs/>
          <w:color w:val="auto"/>
          <w:szCs w:val="32"/>
          <w:highlight w:val="none"/>
        </w:rPr>
      </w:pPr>
    </w:p>
    <w:p w14:paraId="787C44C9">
      <w:pPr>
        <w:pStyle w:val="2"/>
        <w:ind w:firstLine="640"/>
        <w:rPr>
          <w:rFonts w:ascii="宋体" w:hAnsi="宋体" w:cs="宋体"/>
          <w:bCs/>
          <w:color w:val="auto"/>
          <w:szCs w:val="32"/>
          <w:highlight w:val="none"/>
        </w:rPr>
      </w:pPr>
    </w:p>
    <w:p w14:paraId="53C7054C">
      <w:pPr>
        <w:pStyle w:val="2"/>
        <w:ind w:firstLine="640"/>
        <w:rPr>
          <w:rFonts w:ascii="宋体" w:hAnsi="宋体" w:cs="宋体"/>
          <w:bCs/>
          <w:color w:val="auto"/>
          <w:szCs w:val="32"/>
          <w:highlight w:val="none"/>
        </w:rPr>
      </w:pPr>
    </w:p>
    <w:p w14:paraId="0C3A1991">
      <w:pPr>
        <w:pStyle w:val="2"/>
        <w:ind w:firstLine="640"/>
        <w:rPr>
          <w:rFonts w:ascii="宋体" w:hAnsi="宋体" w:cs="宋体"/>
          <w:bCs/>
          <w:color w:val="auto"/>
          <w:szCs w:val="32"/>
          <w:highlight w:val="none"/>
        </w:rPr>
      </w:pPr>
    </w:p>
    <w:p w14:paraId="1278CE29">
      <w:pPr>
        <w:pStyle w:val="2"/>
        <w:ind w:firstLine="640"/>
        <w:rPr>
          <w:rFonts w:ascii="宋体" w:hAnsi="宋体" w:cs="宋体"/>
          <w:bCs/>
          <w:color w:val="auto"/>
          <w:szCs w:val="32"/>
          <w:highlight w:val="none"/>
        </w:rPr>
      </w:pPr>
    </w:p>
    <w:p w14:paraId="4A895902">
      <w:pPr>
        <w:rPr>
          <w:rFonts w:ascii="宋体" w:hAnsi="宋体" w:cs="宋体"/>
          <w:bCs/>
          <w:color w:val="auto"/>
          <w:sz w:val="32"/>
          <w:szCs w:val="32"/>
          <w:highlight w:val="none"/>
        </w:rPr>
      </w:pPr>
    </w:p>
    <w:p w14:paraId="08530374">
      <w:pPr>
        <w:pStyle w:val="5"/>
        <w:rPr>
          <w:rFonts w:ascii="宋体" w:hAnsi="宋体" w:eastAsia="宋体" w:cs="宋体"/>
          <w:color w:val="auto"/>
          <w:highlight w:val="none"/>
        </w:rPr>
      </w:pPr>
    </w:p>
    <w:p w14:paraId="206B6149">
      <w:pPr>
        <w:rPr>
          <w:rFonts w:ascii="宋体" w:hAnsi="宋体" w:cs="宋体"/>
          <w:bCs/>
          <w:color w:val="auto"/>
          <w:sz w:val="32"/>
          <w:szCs w:val="32"/>
          <w:highlight w:val="none"/>
        </w:rPr>
      </w:pPr>
    </w:p>
    <w:p w14:paraId="22378B15">
      <w:pPr>
        <w:rPr>
          <w:rFonts w:ascii="宋体" w:hAnsi="宋体" w:cs="宋体"/>
          <w:bCs/>
          <w:color w:val="auto"/>
          <w:sz w:val="32"/>
          <w:szCs w:val="32"/>
          <w:highlight w:val="none"/>
        </w:rPr>
      </w:pPr>
    </w:p>
    <w:p w14:paraId="26EE2057">
      <w:pPr>
        <w:rPr>
          <w:rFonts w:ascii="宋体" w:hAnsi="宋体" w:cs="宋体"/>
          <w:bCs/>
          <w:color w:val="auto"/>
          <w:sz w:val="32"/>
          <w:szCs w:val="32"/>
          <w:highlight w:val="none"/>
        </w:rPr>
      </w:pPr>
    </w:p>
    <w:p w14:paraId="3A1C85C5">
      <w:pPr>
        <w:rPr>
          <w:rFonts w:ascii="宋体" w:hAnsi="宋体" w:cs="宋体"/>
          <w:bCs/>
          <w:color w:val="auto"/>
          <w:sz w:val="32"/>
          <w:szCs w:val="32"/>
          <w:highlight w:val="none"/>
        </w:rPr>
      </w:pPr>
    </w:p>
    <w:p w14:paraId="053681FE">
      <w:pPr>
        <w:pStyle w:val="4"/>
        <w:jc w:val="center"/>
        <w:rPr>
          <w:rFonts w:ascii="宋体" w:hAnsi="宋体" w:cs="宋体"/>
          <w:color w:val="auto"/>
          <w:highlight w:val="none"/>
        </w:rPr>
      </w:pPr>
      <w:bookmarkStart w:id="154" w:name="_Toc74320805"/>
      <w:bookmarkStart w:id="155" w:name="_Toc143259166"/>
      <w:r>
        <w:rPr>
          <w:rFonts w:hint="eastAsia" w:ascii="宋体" w:hAnsi="宋体" w:cs="宋体"/>
          <w:color w:val="auto"/>
          <w:highlight w:val="none"/>
        </w:rPr>
        <w:t>第六章  投标文件格式</w:t>
      </w:r>
      <w:bookmarkEnd w:id="154"/>
      <w:bookmarkEnd w:id="155"/>
    </w:p>
    <w:p w14:paraId="138CEA9E">
      <w:pPr>
        <w:snapToGrid w:val="0"/>
        <w:spacing w:before="50" w:after="50"/>
        <w:outlineLvl w:val="1"/>
        <w:rPr>
          <w:rFonts w:ascii="宋体" w:hAnsi="宋体" w:cs="宋体"/>
          <w:color w:val="auto"/>
          <w:sz w:val="32"/>
          <w:szCs w:val="20"/>
          <w:highlight w:val="none"/>
        </w:rPr>
      </w:pPr>
    </w:p>
    <w:p w14:paraId="6DED5E78">
      <w:pPr>
        <w:snapToGrid w:val="0"/>
        <w:spacing w:before="50" w:after="50"/>
        <w:outlineLvl w:val="1"/>
        <w:rPr>
          <w:rFonts w:ascii="宋体" w:hAnsi="宋体" w:cs="宋体"/>
          <w:color w:val="auto"/>
          <w:sz w:val="32"/>
          <w:szCs w:val="20"/>
          <w:highlight w:val="none"/>
        </w:rPr>
      </w:pPr>
    </w:p>
    <w:p w14:paraId="1A57976F">
      <w:pPr>
        <w:snapToGrid w:val="0"/>
        <w:spacing w:before="50" w:after="50"/>
        <w:outlineLvl w:val="1"/>
        <w:rPr>
          <w:rFonts w:ascii="宋体" w:hAnsi="宋体" w:cs="宋体"/>
          <w:color w:val="auto"/>
          <w:sz w:val="32"/>
          <w:szCs w:val="20"/>
          <w:highlight w:val="none"/>
        </w:rPr>
      </w:pPr>
    </w:p>
    <w:p w14:paraId="470BB9BE">
      <w:pPr>
        <w:snapToGrid w:val="0"/>
        <w:spacing w:before="50" w:after="50"/>
        <w:outlineLvl w:val="1"/>
        <w:rPr>
          <w:rFonts w:ascii="宋体" w:hAnsi="宋体" w:cs="宋体"/>
          <w:color w:val="auto"/>
          <w:sz w:val="32"/>
          <w:szCs w:val="20"/>
          <w:highlight w:val="none"/>
        </w:rPr>
      </w:pPr>
    </w:p>
    <w:p w14:paraId="4E66B720">
      <w:pPr>
        <w:snapToGrid w:val="0"/>
        <w:spacing w:before="50" w:after="50"/>
        <w:outlineLvl w:val="1"/>
        <w:rPr>
          <w:rFonts w:ascii="宋体" w:hAnsi="宋体" w:cs="宋体"/>
          <w:color w:val="auto"/>
          <w:sz w:val="32"/>
          <w:szCs w:val="20"/>
          <w:highlight w:val="none"/>
        </w:rPr>
      </w:pPr>
    </w:p>
    <w:p w14:paraId="34B57E6A">
      <w:pPr>
        <w:snapToGrid w:val="0"/>
        <w:spacing w:before="50" w:after="50"/>
        <w:outlineLvl w:val="1"/>
        <w:rPr>
          <w:rFonts w:ascii="宋体" w:hAnsi="宋体" w:cs="宋体"/>
          <w:color w:val="auto"/>
          <w:sz w:val="32"/>
          <w:szCs w:val="20"/>
          <w:highlight w:val="none"/>
        </w:rPr>
      </w:pPr>
    </w:p>
    <w:p w14:paraId="5D4ED640">
      <w:pPr>
        <w:snapToGrid w:val="0"/>
        <w:spacing w:before="50" w:after="50"/>
        <w:outlineLvl w:val="1"/>
        <w:rPr>
          <w:rFonts w:ascii="宋体" w:hAnsi="宋体" w:cs="宋体"/>
          <w:color w:val="auto"/>
          <w:sz w:val="32"/>
          <w:szCs w:val="20"/>
          <w:highlight w:val="none"/>
        </w:rPr>
      </w:pPr>
    </w:p>
    <w:p w14:paraId="015D3DA2">
      <w:pPr>
        <w:snapToGrid w:val="0"/>
        <w:spacing w:before="50" w:after="50"/>
        <w:outlineLvl w:val="1"/>
        <w:rPr>
          <w:rFonts w:ascii="宋体" w:hAnsi="宋体" w:cs="宋体"/>
          <w:color w:val="auto"/>
          <w:sz w:val="32"/>
          <w:szCs w:val="20"/>
          <w:highlight w:val="none"/>
        </w:rPr>
      </w:pPr>
    </w:p>
    <w:p w14:paraId="047EBD2D">
      <w:pPr>
        <w:snapToGrid w:val="0"/>
        <w:spacing w:before="50" w:after="50"/>
        <w:outlineLvl w:val="1"/>
        <w:rPr>
          <w:rFonts w:ascii="宋体" w:hAnsi="宋体" w:cs="宋体"/>
          <w:color w:val="auto"/>
          <w:sz w:val="32"/>
          <w:szCs w:val="20"/>
          <w:highlight w:val="none"/>
        </w:rPr>
      </w:pPr>
    </w:p>
    <w:p w14:paraId="1A146D3A">
      <w:pPr>
        <w:snapToGrid w:val="0"/>
        <w:spacing w:before="50" w:after="50"/>
        <w:outlineLvl w:val="1"/>
        <w:rPr>
          <w:rFonts w:ascii="宋体" w:hAnsi="宋体" w:cs="宋体"/>
          <w:color w:val="auto"/>
          <w:sz w:val="32"/>
          <w:szCs w:val="20"/>
          <w:highlight w:val="none"/>
        </w:rPr>
      </w:pPr>
    </w:p>
    <w:p w14:paraId="5EE45AF4">
      <w:pPr>
        <w:snapToGrid w:val="0"/>
        <w:spacing w:before="50" w:after="50"/>
        <w:outlineLvl w:val="1"/>
        <w:rPr>
          <w:rFonts w:ascii="宋体" w:hAnsi="宋体" w:cs="宋体"/>
          <w:color w:val="auto"/>
          <w:sz w:val="32"/>
          <w:szCs w:val="20"/>
          <w:highlight w:val="none"/>
        </w:rPr>
      </w:pPr>
    </w:p>
    <w:p w14:paraId="415285B1">
      <w:pPr>
        <w:snapToGrid w:val="0"/>
        <w:spacing w:before="50" w:after="50"/>
        <w:outlineLvl w:val="1"/>
        <w:rPr>
          <w:rFonts w:ascii="宋体" w:hAnsi="宋体" w:cs="宋体"/>
          <w:color w:val="auto"/>
          <w:sz w:val="32"/>
          <w:szCs w:val="20"/>
          <w:highlight w:val="none"/>
        </w:rPr>
      </w:pPr>
    </w:p>
    <w:p w14:paraId="7B32D48F">
      <w:pPr>
        <w:snapToGrid w:val="0"/>
        <w:spacing w:before="50" w:after="50"/>
        <w:outlineLvl w:val="1"/>
        <w:rPr>
          <w:rFonts w:ascii="宋体" w:hAnsi="宋体" w:cs="宋体"/>
          <w:color w:val="auto"/>
          <w:highlight w:val="none"/>
        </w:rPr>
      </w:pPr>
    </w:p>
    <w:p w14:paraId="708D1320">
      <w:pPr>
        <w:rPr>
          <w:rFonts w:ascii="宋体" w:hAnsi="宋体" w:cs="宋体"/>
          <w:b/>
          <w:color w:val="auto"/>
          <w:sz w:val="28"/>
          <w:szCs w:val="28"/>
          <w:highlight w:val="none"/>
        </w:rPr>
      </w:pPr>
      <w:bookmarkStart w:id="156" w:name="_Toc19686836"/>
      <w:bookmarkStart w:id="157" w:name="_Toc254970557"/>
      <w:bookmarkStart w:id="158" w:name="_Toc254970698"/>
      <w:r>
        <w:rPr>
          <w:rFonts w:hint="eastAsia" w:ascii="宋体" w:hAnsi="宋体" w:cs="宋体"/>
          <w:b/>
          <w:color w:val="auto"/>
          <w:sz w:val="28"/>
          <w:szCs w:val="28"/>
          <w:highlight w:val="none"/>
        </w:rPr>
        <w:t>一、报价文件格式</w:t>
      </w:r>
      <w:bookmarkEnd w:id="156"/>
    </w:p>
    <w:p w14:paraId="49F4CC52">
      <w:pPr>
        <w:snapToGrid w:val="0"/>
        <w:spacing w:beforeLines="50" w:after="50" w:line="360" w:lineRule="auto"/>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报价文件封面格式： </w:t>
      </w:r>
    </w:p>
    <w:p w14:paraId="006C0AB8">
      <w:pPr>
        <w:snapToGrid w:val="0"/>
        <w:spacing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1332F2B0">
      <w:pPr>
        <w:snapToGrid w:val="0"/>
        <w:spacing w:beforeLines="50" w:after="50" w:line="400" w:lineRule="exact"/>
        <w:jc w:val="left"/>
        <w:rPr>
          <w:rFonts w:ascii="宋体" w:hAnsi="宋体" w:cs="宋体"/>
          <w:bCs/>
          <w:color w:val="auto"/>
          <w:sz w:val="48"/>
          <w:szCs w:val="48"/>
          <w:highlight w:val="none"/>
        </w:rPr>
      </w:pPr>
    </w:p>
    <w:p w14:paraId="175613E1">
      <w:pPr>
        <w:snapToGrid w:val="0"/>
        <w:spacing w:beforeLines="50" w:after="50" w:line="4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报  价  文  件</w:t>
      </w:r>
    </w:p>
    <w:p w14:paraId="1D4DD050">
      <w:pPr>
        <w:snapToGrid w:val="0"/>
        <w:spacing w:beforeLines="50" w:after="50" w:line="400" w:lineRule="exact"/>
        <w:rPr>
          <w:rFonts w:ascii="宋体" w:hAnsi="宋体" w:cs="宋体"/>
          <w:bCs/>
          <w:color w:val="auto"/>
          <w:sz w:val="24"/>
          <w:szCs w:val="20"/>
          <w:highlight w:val="none"/>
        </w:rPr>
      </w:pPr>
    </w:p>
    <w:p w14:paraId="3760445E">
      <w:pPr>
        <w:snapToGrid w:val="0"/>
        <w:spacing w:beforeLines="50" w:after="50" w:line="400" w:lineRule="exact"/>
        <w:rPr>
          <w:rFonts w:ascii="宋体" w:hAnsi="宋体" w:cs="宋体"/>
          <w:bCs/>
          <w:color w:val="auto"/>
          <w:sz w:val="24"/>
          <w:szCs w:val="20"/>
          <w:highlight w:val="none"/>
        </w:rPr>
      </w:pPr>
    </w:p>
    <w:p w14:paraId="590312D9">
      <w:pPr>
        <w:snapToGrid w:val="0"/>
        <w:spacing w:beforeLines="50" w:after="50" w:line="400" w:lineRule="exact"/>
        <w:rPr>
          <w:rFonts w:ascii="宋体" w:hAnsi="宋体" w:cs="宋体"/>
          <w:bCs/>
          <w:color w:val="auto"/>
          <w:sz w:val="24"/>
          <w:szCs w:val="20"/>
          <w:highlight w:val="none"/>
        </w:rPr>
      </w:pPr>
    </w:p>
    <w:p w14:paraId="3B470483">
      <w:pPr>
        <w:snapToGrid w:val="0"/>
        <w:spacing w:beforeLines="50" w:after="50" w:line="400" w:lineRule="exact"/>
        <w:rPr>
          <w:rFonts w:ascii="宋体" w:hAnsi="宋体" w:cs="宋体"/>
          <w:bCs/>
          <w:color w:val="auto"/>
          <w:sz w:val="24"/>
          <w:szCs w:val="20"/>
          <w:highlight w:val="none"/>
        </w:rPr>
      </w:pPr>
    </w:p>
    <w:p w14:paraId="5A19A58A">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263FE4C1">
      <w:pPr>
        <w:snapToGrid w:val="0"/>
        <w:spacing w:beforeLines="50" w:after="50" w:line="400" w:lineRule="exact"/>
        <w:ind w:firstLine="360" w:firstLineChars="150"/>
        <w:rPr>
          <w:rFonts w:ascii="宋体" w:hAnsi="宋体" w:cs="宋体"/>
          <w:bCs/>
          <w:color w:val="auto"/>
          <w:sz w:val="24"/>
          <w:highlight w:val="none"/>
        </w:rPr>
      </w:pPr>
    </w:p>
    <w:p w14:paraId="5645CAD0">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031B9FD2">
      <w:pPr>
        <w:snapToGrid w:val="0"/>
        <w:spacing w:beforeLines="50" w:after="50" w:line="400" w:lineRule="exact"/>
        <w:ind w:firstLine="360" w:firstLineChars="150"/>
        <w:rPr>
          <w:rFonts w:ascii="宋体" w:hAnsi="宋体" w:cs="宋体"/>
          <w:bCs/>
          <w:color w:val="auto"/>
          <w:sz w:val="24"/>
          <w:highlight w:val="none"/>
        </w:rPr>
      </w:pPr>
    </w:p>
    <w:p w14:paraId="7A9BCF8C">
      <w:pPr>
        <w:snapToGrid w:val="0"/>
        <w:spacing w:beforeLines="50" w:after="50" w:line="400" w:lineRule="exact"/>
        <w:ind w:firstLine="360" w:firstLineChars="150"/>
        <w:rPr>
          <w:rFonts w:ascii="宋体" w:hAnsi="宋体" w:cs="宋体"/>
          <w:bCs/>
          <w:color w:val="auto"/>
          <w:sz w:val="24"/>
          <w:highlight w:val="none"/>
        </w:rPr>
      </w:pPr>
    </w:p>
    <w:p w14:paraId="11EC1BD0">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00BACBDE">
      <w:pPr>
        <w:snapToGrid w:val="0"/>
        <w:spacing w:beforeLines="50" w:after="50" w:line="400" w:lineRule="exact"/>
        <w:ind w:firstLine="360" w:firstLineChars="150"/>
        <w:rPr>
          <w:rFonts w:ascii="宋体" w:hAnsi="宋体" w:cs="宋体"/>
          <w:bCs/>
          <w:color w:val="auto"/>
          <w:sz w:val="24"/>
          <w:highlight w:val="none"/>
        </w:rPr>
      </w:pPr>
    </w:p>
    <w:p w14:paraId="31BDD290">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475F2199">
      <w:pPr>
        <w:pStyle w:val="8"/>
        <w:snapToGrid w:val="0"/>
        <w:spacing w:before="50" w:after="50" w:line="400" w:lineRule="exact"/>
        <w:ind w:firstLine="960" w:firstLineChars="400"/>
        <w:rPr>
          <w:rFonts w:ascii="宋体" w:hAnsi="宋体" w:cs="宋体"/>
          <w:bCs/>
          <w:color w:val="auto"/>
          <w:sz w:val="24"/>
          <w:szCs w:val="24"/>
          <w:highlight w:val="none"/>
        </w:rPr>
      </w:pPr>
    </w:p>
    <w:p w14:paraId="76687A39">
      <w:pPr>
        <w:snapToGrid w:val="0"/>
        <w:spacing w:beforeLines="50" w:after="50" w:line="400" w:lineRule="exac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47322EF4">
      <w:pPr>
        <w:snapToGrid w:val="0"/>
        <w:spacing w:beforeLines="50" w:after="50" w:line="360" w:lineRule="auto"/>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w:t>
      </w:r>
      <w:r>
        <w:rPr>
          <w:rFonts w:hint="eastAsia" w:ascii="宋体" w:hAnsi="宋体" w:cs="宋体"/>
          <w:b/>
          <w:bCs/>
          <w:color w:val="auto"/>
          <w:sz w:val="24"/>
          <w:highlight w:val="none"/>
        </w:rPr>
        <w:t>报价文件目录</w:t>
      </w:r>
    </w:p>
    <w:p w14:paraId="1FBAD144">
      <w:pPr>
        <w:snapToGrid w:val="0"/>
        <w:spacing w:before="50" w:afterLines="50" w:line="360" w:lineRule="auto"/>
        <w:jc w:val="left"/>
        <w:rPr>
          <w:rFonts w:ascii="宋体" w:hAnsi="宋体" w:cs="宋体"/>
          <w:b/>
          <w:color w:val="auto"/>
          <w:sz w:val="24"/>
          <w:highlight w:val="none"/>
        </w:rPr>
      </w:pPr>
      <w:r>
        <w:rPr>
          <w:rFonts w:hint="eastAsia" w:ascii="宋体" w:hAnsi="宋体" w:cs="宋体"/>
          <w:color w:val="auto"/>
          <w:szCs w:val="21"/>
          <w:highlight w:val="none"/>
        </w:rPr>
        <w:t>根据招标文件规定及投标人提供的材料自行编写目录。</w:t>
      </w:r>
    </w:p>
    <w:p w14:paraId="332BF8B5">
      <w:pPr>
        <w:snapToGrid w:val="0"/>
        <w:spacing w:beforeLines="50" w:after="50"/>
        <w:rPr>
          <w:rFonts w:ascii="宋体" w:hAnsi="宋体" w:cs="宋体"/>
          <w:b/>
          <w:color w:val="auto"/>
          <w:sz w:val="24"/>
          <w:highlight w:val="none"/>
        </w:rPr>
      </w:pPr>
    </w:p>
    <w:p w14:paraId="54360CF5">
      <w:pPr>
        <w:snapToGrid w:val="0"/>
        <w:spacing w:beforeLines="50" w:after="50"/>
        <w:rPr>
          <w:rFonts w:ascii="宋体" w:hAnsi="宋体" w:cs="宋体"/>
          <w:b/>
          <w:color w:val="auto"/>
          <w:sz w:val="24"/>
          <w:highlight w:val="none"/>
        </w:rPr>
      </w:pPr>
    </w:p>
    <w:p w14:paraId="30306DA3">
      <w:pPr>
        <w:snapToGrid w:val="0"/>
        <w:spacing w:beforeLines="50" w:after="50"/>
        <w:rPr>
          <w:rFonts w:ascii="宋体" w:hAnsi="宋体" w:cs="宋体"/>
          <w:b/>
          <w:color w:val="auto"/>
          <w:sz w:val="24"/>
          <w:highlight w:val="none"/>
        </w:rPr>
      </w:pPr>
    </w:p>
    <w:p w14:paraId="5DF5A51A">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3.部分</w:t>
      </w:r>
      <w:r>
        <w:rPr>
          <w:rFonts w:hint="eastAsia" w:ascii="宋体" w:hAnsi="宋体" w:cs="宋体"/>
          <w:b/>
          <w:bCs/>
          <w:color w:val="auto"/>
          <w:sz w:val="24"/>
          <w:highlight w:val="none"/>
        </w:rPr>
        <w:t>报价</w:t>
      </w:r>
      <w:r>
        <w:rPr>
          <w:rFonts w:hint="eastAsia" w:ascii="宋体" w:hAnsi="宋体" w:cs="宋体"/>
          <w:b/>
          <w:color w:val="auto"/>
          <w:sz w:val="24"/>
          <w:highlight w:val="none"/>
        </w:rPr>
        <w:t>文件格式</w:t>
      </w:r>
    </w:p>
    <w:p w14:paraId="7A04DDBB">
      <w:pPr>
        <w:snapToGrid w:val="0"/>
        <w:spacing w:beforeLines="50" w:after="50"/>
        <w:ind w:left="142"/>
        <w:jc w:val="left"/>
        <w:rPr>
          <w:rFonts w:ascii="宋体" w:hAnsi="宋体" w:cs="宋体"/>
          <w:b/>
          <w:color w:val="auto"/>
          <w:sz w:val="24"/>
          <w:highlight w:val="none"/>
        </w:rPr>
      </w:pPr>
    </w:p>
    <w:p w14:paraId="6A72E41D">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投标函：</w:t>
      </w:r>
    </w:p>
    <w:p w14:paraId="67BF9A12">
      <w:pPr>
        <w:snapToGrid w:val="0"/>
        <w:spacing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投 标 函</w:t>
      </w:r>
    </w:p>
    <w:p w14:paraId="7A6C92B7">
      <w:pPr>
        <w:snapToGrid w:val="0"/>
        <w:spacing w:beforeLines="50" w:after="50" w:line="320" w:lineRule="exact"/>
        <w:jc w:val="center"/>
        <w:rPr>
          <w:rFonts w:ascii="宋体" w:hAnsi="宋体" w:cs="宋体"/>
          <w:b/>
          <w:color w:val="auto"/>
          <w:sz w:val="32"/>
          <w:szCs w:val="32"/>
          <w:highlight w:val="none"/>
        </w:rPr>
      </w:pPr>
    </w:p>
    <w:p w14:paraId="4F4FA7F0">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678E6DED">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（项目编号：</w:t>
      </w:r>
      <w:r>
        <w:rPr>
          <w:rFonts w:hint="eastAsia" w:asciiTheme="majorEastAsia" w:hAnsiTheme="majorEastAsia" w:eastAsiaTheme="majorEastAsia"/>
          <w:b/>
          <w:color w:val="auto"/>
          <w:szCs w:val="21"/>
          <w:highlight w:val="none"/>
          <w:u w:val="single"/>
          <w:lang w:val="en-US" w:eastAsia="zh-CN"/>
        </w:rPr>
        <w:t xml:space="preserve">          </w:t>
      </w:r>
      <w:r>
        <w:rPr>
          <w:rFonts w:hint="eastAsia" w:ascii="宋体" w:hAnsi="宋体" w:cs="宋体"/>
          <w:color w:val="auto"/>
          <w:sz w:val="24"/>
          <w:highlight w:val="none"/>
        </w:rPr>
        <w:t>）的招标公告，签字代表______（姓名）经正式授权并代表投标人</w:t>
      </w:r>
      <w:r>
        <w:rPr>
          <w:rFonts w:hint="eastAsia" w:asciiTheme="majorEastAsia" w:hAnsiTheme="majorEastAsia" w:eastAsiaTheme="majorEastAsia"/>
          <w:b/>
          <w:color w:val="auto"/>
          <w:szCs w:val="21"/>
          <w:highlight w:val="none"/>
          <w:u w:val="single"/>
          <w:lang w:val="en-US" w:eastAsia="zh-CN"/>
        </w:rPr>
        <w:t xml:space="preserve">            </w:t>
      </w:r>
      <w:r>
        <w:rPr>
          <w:rFonts w:hint="eastAsia" w:ascii="宋体" w:hAnsi="宋体" w:cs="宋体"/>
          <w:color w:val="auto"/>
          <w:sz w:val="24"/>
          <w:highlight w:val="none"/>
        </w:rPr>
        <w:t>（投标人名称）提交投标文件。</w:t>
      </w:r>
    </w:p>
    <w:p w14:paraId="459495B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据此函，我方宣布同意如下：</w:t>
      </w:r>
    </w:p>
    <w:p w14:paraId="2064CAE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71CF88D1">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2.我方在投标之前已经完全理解并接受招标文件的各项规定和要求，对招标文件的合理性、合法性不再有异议。</w:t>
      </w:r>
    </w:p>
    <w:p w14:paraId="190A2B6F">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3.本投标有效期自投标截止之日起180日。</w:t>
      </w:r>
    </w:p>
    <w:p w14:paraId="7F217937">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4.如中标，本投标文件至本项目合同履行完毕止均保持有效，我方将按“招标文件”及政府采购法律、法规的规定履行合同责任和义务。</w:t>
      </w:r>
    </w:p>
    <w:p w14:paraId="2D9C205C">
      <w:pPr>
        <w:spacing w:line="400" w:lineRule="exact"/>
        <w:ind w:firstLine="420"/>
        <w:rPr>
          <w:rFonts w:ascii="宋体" w:hAnsi="宋体" w:cs="宋体"/>
          <w:color w:val="auto"/>
          <w:kern w:val="0"/>
          <w:sz w:val="24"/>
          <w:highlight w:val="none"/>
        </w:rPr>
      </w:pPr>
      <w:r>
        <w:rPr>
          <w:rFonts w:hint="eastAsia" w:ascii="宋体" w:hAnsi="宋体" w:cs="宋体"/>
          <w:color w:val="auto"/>
          <w:sz w:val="24"/>
          <w:highlight w:val="none"/>
        </w:rPr>
        <w:t>5.我方承诺，</w:t>
      </w:r>
      <w:r>
        <w:rPr>
          <w:rFonts w:hint="eastAsia" w:ascii="宋体" w:hAnsi="宋体" w:cs="宋体"/>
          <w:color w:val="auto"/>
          <w:kern w:val="0"/>
          <w:sz w:val="24"/>
          <w:highlight w:val="none"/>
        </w:rPr>
        <w:t>如我方中标，我方保证按本项目招标文件的规定及标准向贵单位一次性足额支付代理服务费。代理服务费发票我方选择开具：□</w:t>
      </w:r>
      <w:r>
        <w:rPr>
          <w:rFonts w:hint="eastAsia" w:ascii="宋体" w:hAnsi="宋体" w:cs="宋体"/>
          <w:color w:val="auto"/>
          <w:kern w:val="0"/>
          <w:sz w:val="24"/>
          <w:highlight w:val="none"/>
          <w:u w:val="single"/>
        </w:rPr>
        <w:t>增值税普通发票</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增值税专用发票</w:t>
      </w:r>
      <w:r>
        <w:rPr>
          <w:rFonts w:hint="eastAsia" w:ascii="宋体" w:hAnsi="宋体" w:cs="宋体"/>
          <w:color w:val="auto"/>
          <w:kern w:val="0"/>
          <w:sz w:val="24"/>
          <w:highlight w:val="none"/>
        </w:rPr>
        <w:t>，开票信息如下：</w:t>
      </w:r>
    </w:p>
    <w:p w14:paraId="476EC1E1">
      <w:pPr>
        <w:spacing w:line="400" w:lineRule="exact"/>
        <w:ind w:firstLine="420"/>
        <w:rPr>
          <w:rFonts w:ascii="宋体" w:hAnsi="宋体" w:cs="宋体"/>
          <w:color w:val="auto"/>
          <w:kern w:val="0"/>
          <w:sz w:val="24"/>
          <w:highlight w:val="none"/>
        </w:rPr>
      </w:pPr>
      <w:r>
        <w:rPr>
          <w:rFonts w:hint="eastAsia" w:ascii="宋体" w:hAnsi="宋体" w:cs="宋体"/>
          <w:color w:val="auto"/>
          <w:kern w:val="0"/>
          <w:sz w:val="24"/>
          <w:highlight w:val="none"/>
        </w:rPr>
        <w:t>①公司名称：</w:t>
      </w:r>
      <w:r>
        <w:rPr>
          <w:rFonts w:hint="eastAsia" w:asciiTheme="majorEastAsia" w:hAnsiTheme="majorEastAsia" w:eastAsiaTheme="majorEastAsia"/>
          <w:b/>
          <w:color w:val="auto"/>
          <w:szCs w:val="21"/>
          <w:highlight w:val="none"/>
          <w:u w:val="single"/>
          <w:lang w:val="en-US" w:eastAsia="zh-CN"/>
        </w:rPr>
        <w:t xml:space="preserve">          </w:t>
      </w:r>
    </w:p>
    <w:p w14:paraId="3218B71A">
      <w:pPr>
        <w:spacing w:line="400" w:lineRule="exact"/>
        <w:ind w:firstLine="420"/>
        <w:rPr>
          <w:rFonts w:ascii="宋体" w:hAnsi="宋体" w:cs="宋体"/>
          <w:color w:val="auto"/>
          <w:kern w:val="0"/>
          <w:sz w:val="24"/>
          <w:highlight w:val="none"/>
        </w:rPr>
      </w:pPr>
      <w:r>
        <w:rPr>
          <w:rFonts w:hint="eastAsia" w:ascii="宋体" w:hAnsi="宋体" w:cs="宋体"/>
          <w:color w:val="auto"/>
          <w:kern w:val="0"/>
          <w:sz w:val="24"/>
          <w:highlight w:val="none"/>
        </w:rPr>
        <w:t>②纳税人识别号：</w:t>
      </w:r>
      <w:r>
        <w:rPr>
          <w:rFonts w:hint="eastAsia" w:asciiTheme="majorEastAsia" w:hAnsiTheme="majorEastAsia" w:eastAsiaTheme="majorEastAsia"/>
          <w:b/>
          <w:color w:val="auto"/>
          <w:szCs w:val="21"/>
          <w:highlight w:val="none"/>
          <w:u w:val="single"/>
          <w:lang w:val="en-US" w:eastAsia="zh-CN"/>
        </w:rPr>
        <w:t xml:space="preserve">          </w:t>
      </w:r>
    </w:p>
    <w:p w14:paraId="5E8083FF">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6.我方同意按照贵方要求提供与投标有关的一切数据或者资料。</w:t>
      </w:r>
    </w:p>
    <w:p w14:paraId="40ADDE1D">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7.我方向贵方提交的所有投标文件、资料都是准确的和真实的。</w:t>
      </w:r>
    </w:p>
    <w:p w14:paraId="368D842D">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6D1EB12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9.根据《中华人民共和国政府采购法实施条例》第五十条要求对政府采购合同进行公告，但政府采购合同中涉及国家秘密、商业秘密的内容除外。我方就对本次投标文件进行注明如下：（两项内容中必须选择一项）</w:t>
      </w:r>
    </w:p>
    <w:p w14:paraId="79686CC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E7695C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涉及商业秘密的内容有：</w:t>
      </w:r>
      <w:r>
        <w:rPr>
          <w:rFonts w:hint="eastAsia" w:ascii="宋体" w:hAnsi="宋体" w:cs="宋体"/>
          <w:color w:val="auto"/>
          <w:sz w:val="24"/>
          <w:highlight w:val="none"/>
          <w:u w:val="single"/>
        </w:rPr>
        <w:t xml:space="preserve">          ；</w:t>
      </w:r>
    </w:p>
    <w:p w14:paraId="6FB9546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10.与本投标有关的一切正式往来信函请寄：</w:t>
      </w:r>
    </w:p>
    <w:p w14:paraId="6AC52090">
      <w:pPr>
        <w:spacing w:line="360" w:lineRule="auto"/>
        <w:ind w:firstLine="480" w:firstLineChars="200"/>
        <w:contextualSpacing/>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_               </w:t>
      </w:r>
    </w:p>
    <w:p w14:paraId="59B0D3D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 xml:space="preserve"> 电子邮箱：</w:t>
      </w:r>
      <w:r>
        <w:rPr>
          <w:rFonts w:hint="eastAsia" w:ascii="宋体" w:hAnsi="宋体" w:cs="宋体"/>
          <w:color w:val="auto"/>
          <w:sz w:val="24"/>
          <w:highlight w:val="none"/>
          <w:u w:val="single"/>
        </w:rPr>
        <w:t xml:space="preserve">_               </w:t>
      </w:r>
    </w:p>
    <w:p w14:paraId="45A52A3F">
      <w:pPr>
        <w:spacing w:line="360" w:lineRule="auto"/>
        <w:ind w:firstLine="480" w:firstLineChars="200"/>
        <w:contextualSpacing/>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_               </w:t>
      </w:r>
    </w:p>
    <w:p w14:paraId="70B6231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 xml:space="preserve">   银行账号：</w:t>
      </w:r>
      <w:r>
        <w:rPr>
          <w:rFonts w:hint="eastAsia" w:ascii="宋体" w:hAnsi="宋体" w:cs="宋体"/>
          <w:color w:val="auto"/>
          <w:sz w:val="24"/>
          <w:highlight w:val="none"/>
          <w:u w:val="single"/>
        </w:rPr>
        <w:t xml:space="preserve">_               </w:t>
      </w:r>
    </w:p>
    <w:p w14:paraId="53F5164A">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法定代表人或者委托代理人（签字或者电子签名）:___________ </w:t>
      </w:r>
    </w:p>
    <w:p w14:paraId="4A573939">
      <w:pPr>
        <w:pStyle w:val="25"/>
        <w:spacing w:line="360" w:lineRule="auto"/>
        <w:contextualSpacing/>
        <w:jc w:val="center"/>
        <w:rPr>
          <w:rFonts w:hAnsi="宋体" w:cs="宋体"/>
          <w:color w:val="auto"/>
          <w:sz w:val="24"/>
          <w:highlight w:val="none"/>
        </w:rPr>
      </w:pPr>
    </w:p>
    <w:p w14:paraId="6B0ED127">
      <w:pPr>
        <w:pStyle w:val="25"/>
        <w:spacing w:line="360" w:lineRule="auto"/>
        <w:contextualSpacing/>
        <w:jc w:val="center"/>
        <w:rPr>
          <w:rFonts w:hAnsi="宋体" w:cs="宋体"/>
          <w:color w:val="auto"/>
          <w:sz w:val="24"/>
          <w:highlight w:val="none"/>
        </w:rPr>
      </w:pPr>
    </w:p>
    <w:p w14:paraId="79848262">
      <w:pPr>
        <w:pStyle w:val="25"/>
        <w:spacing w:line="360" w:lineRule="auto"/>
        <w:contextualSpacing/>
        <w:jc w:val="center"/>
        <w:rPr>
          <w:rFonts w:hAnsi="宋体" w:cs="宋体"/>
          <w:color w:val="auto"/>
          <w:sz w:val="24"/>
          <w:szCs w:val="24"/>
          <w:highlight w:val="none"/>
          <w:u w:val="single"/>
        </w:rPr>
      </w:pPr>
      <w:r>
        <w:rPr>
          <w:rFonts w:hint="eastAsia" w:hAnsi="宋体" w:cs="宋体"/>
          <w:color w:val="auto"/>
          <w:sz w:val="24"/>
          <w:highlight w:val="none"/>
        </w:rPr>
        <w:t>投标人名称（电子签章）：</w:t>
      </w:r>
    </w:p>
    <w:p w14:paraId="4F390AFF">
      <w:pPr>
        <w:pStyle w:val="25"/>
        <w:spacing w:line="360" w:lineRule="auto"/>
        <w:ind w:firstLine="3360" w:firstLineChars="1400"/>
        <w:contextualSpacing/>
        <w:rPr>
          <w:rFonts w:hAnsi="宋体" w:cs="宋体"/>
          <w:color w:val="auto"/>
          <w:sz w:val="24"/>
          <w:highlight w:val="none"/>
        </w:rPr>
      </w:pPr>
      <w:r>
        <w:rPr>
          <w:rFonts w:hint="eastAsia" w:hAnsi="宋体" w:cs="宋体"/>
          <w:color w:val="auto"/>
          <w:sz w:val="24"/>
          <w:szCs w:val="24"/>
          <w:highlight w:val="none"/>
        </w:rPr>
        <w:t>年  月  日</w:t>
      </w:r>
    </w:p>
    <w:p w14:paraId="16F6A2B5">
      <w:pPr>
        <w:snapToGrid w:val="0"/>
        <w:spacing w:beforeLines="50" w:after="50"/>
        <w:jc w:val="left"/>
        <w:rPr>
          <w:rFonts w:ascii="宋体" w:hAnsi="宋体" w:cs="宋体"/>
          <w:b/>
          <w:color w:val="auto"/>
          <w:sz w:val="24"/>
          <w:szCs w:val="20"/>
          <w:highlight w:val="none"/>
        </w:rPr>
      </w:pPr>
      <w:r>
        <w:rPr>
          <w:rFonts w:hint="eastAsia" w:ascii="宋体" w:hAnsi="宋体" w:cs="宋体"/>
          <w:color w:val="auto"/>
          <w:highlight w:val="none"/>
          <w:u w:val="single"/>
        </w:rPr>
        <w:br w:type="page"/>
      </w:r>
      <w:r>
        <w:rPr>
          <w:rFonts w:hint="eastAsia" w:ascii="宋体" w:hAnsi="宋体" w:cs="宋体"/>
          <w:b/>
          <w:color w:val="auto"/>
          <w:sz w:val="24"/>
          <w:highlight w:val="none"/>
        </w:rPr>
        <w:t>开标一览表</w:t>
      </w:r>
    </w:p>
    <w:p w14:paraId="30865833">
      <w:pPr>
        <w:snapToGrid w:val="0"/>
        <w:spacing w:before="50" w:after="50" w:line="340" w:lineRule="exact"/>
        <w:jc w:val="center"/>
        <w:rPr>
          <w:rFonts w:ascii="宋体" w:hAnsi="宋体" w:cs="宋体"/>
          <w:b/>
          <w:color w:val="auto"/>
          <w:sz w:val="30"/>
          <w:highlight w:val="none"/>
        </w:rPr>
      </w:pPr>
      <w:r>
        <w:rPr>
          <w:rFonts w:hint="eastAsia" w:ascii="宋体" w:hAnsi="宋体" w:cs="宋体"/>
          <w:b/>
          <w:color w:val="auto"/>
          <w:sz w:val="30"/>
          <w:highlight w:val="none"/>
        </w:rPr>
        <w:t>开标一览表</w:t>
      </w:r>
    </w:p>
    <w:p w14:paraId="21322B29">
      <w:pPr>
        <w:snapToGrid w:val="0"/>
        <w:spacing w:before="50" w:after="50" w:line="340" w:lineRule="exact"/>
        <w:jc w:val="center"/>
        <w:rPr>
          <w:rFonts w:ascii="宋体" w:hAnsi="宋体" w:cs="宋体"/>
          <w:b/>
          <w:color w:val="auto"/>
          <w:sz w:val="30"/>
          <w:szCs w:val="20"/>
          <w:highlight w:val="none"/>
        </w:rPr>
      </w:pPr>
    </w:p>
    <w:p w14:paraId="5FE3119B">
      <w:pPr>
        <w:snapToGrid w:val="0"/>
        <w:spacing w:before="50" w:after="50" w:line="340" w:lineRule="exact"/>
        <w:rPr>
          <w:rFonts w:ascii="宋体" w:hAnsi="宋体" w:cs="宋体"/>
          <w:color w:val="auto"/>
          <w:sz w:val="24"/>
          <w:highlight w:val="none"/>
        </w:rPr>
      </w:pPr>
      <w:r>
        <w:rPr>
          <w:rFonts w:hint="eastAsia" w:ascii="宋体" w:hAnsi="宋体" w:cs="宋体"/>
          <w:color w:val="auto"/>
          <w:sz w:val="24"/>
          <w:highlight w:val="none"/>
        </w:rPr>
        <w:t xml:space="preserve">项目名称：                         项目编号：            </w:t>
      </w:r>
    </w:p>
    <w:p w14:paraId="7D4F4901">
      <w:pPr>
        <w:snapToGrid w:val="0"/>
        <w:spacing w:before="50" w:after="50" w:line="340" w:lineRule="exact"/>
        <w:rPr>
          <w:rFonts w:ascii="宋体" w:hAnsi="宋体" w:cs="宋体"/>
          <w:color w:val="auto"/>
          <w:sz w:val="24"/>
          <w:highlight w:val="none"/>
        </w:rPr>
      </w:pPr>
      <w:r>
        <w:rPr>
          <w:rFonts w:hint="eastAsia" w:ascii="宋体" w:hAnsi="宋体" w:cs="宋体"/>
          <w:color w:val="auto"/>
          <w:sz w:val="24"/>
          <w:highlight w:val="none"/>
        </w:rPr>
        <w:t>投标人名称：                       单位：元</w:t>
      </w:r>
    </w:p>
    <w:tbl>
      <w:tblPr>
        <w:tblStyle w:val="47"/>
        <w:tblW w:w="493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15"/>
        <w:gridCol w:w="710"/>
        <w:gridCol w:w="1011"/>
        <w:gridCol w:w="623"/>
        <w:gridCol w:w="876"/>
        <w:gridCol w:w="807"/>
        <w:gridCol w:w="1084"/>
        <w:gridCol w:w="1175"/>
      </w:tblGrid>
      <w:tr w14:paraId="21550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46" w:type="pct"/>
            <w:tcBorders>
              <w:top w:val="single" w:color="auto" w:sz="4" w:space="0"/>
              <w:left w:val="single" w:color="auto" w:sz="4" w:space="0"/>
              <w:bottom w:val="single" w:color="auto" w:sz="4" w:space="0"/>
              <w:right w:val="single" w:color="auto" w:sz="4" w:space="0"/>
            </w:tcBorders>
            <w:vAlign w:val="center"/>
          </w:tcPr>
          <w:p w14:paraId="5C9D8494">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标的的名称</w:t>
            </w:r>
          </w:p>
        </w:tc>
        <w:tc>
          <w:tcPr>
            <w:tcW w:w="413" w:type="pct"/>
            <w:tcBorders>
              <w:top w:val="single" w:color="auto" w:sz="4" w:space="0"/>
              <w:left w:val="single" w:color="auto" w:sz="4" w:space="0"/>
              <w:bottom w:val="single" w:color="auto" w:sz="4" w:space="0"/>
              <w:right w:val="single" w:color="auto" w:sz="4" w:space="0"/>
            </w:tcBorders>
            <w:vAlign w:val="center"/>
          </w:tcPr>
          <w:p w14:paraId="3CAE8682">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588" w:type="pct"/>
            <w:tcBorders>
              <w:top w:val="single" w:color="auto" w:sz="4" w:space="0"/>
              <w:left w:val="single" w:color="auto" w:sz="4" w:space="0"/>
              <w:bottom w:val="single" w:color="auto" w:sz="4" w:space="0"/>
              <w:right w:val="single" w:color="auto" w:sz="4" w:space="0"/>
            </w:tcBorders>
            <w:vAlign w:val="center"/>
          </w:tcPr>
          <w:p w14:paraId="605D91EE">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生产厂家（制造商）</w:t>
            </w:r>
          </w:p>
        </w:tc>
        <w:tc>
          <w:tcPr>
            <w:tcW w:w="362" w:type="pct"/>
            <w:tcBorders>
              <w:top w:val="single" w:color="auto" w:sz="4" w:space="0"/>
              <w:left w:val="single" w:color="auto" w:sz="4" w:space="0"/>
              <w:bottom w:val="single" w:color="auto" w:sz="4" w:space="0"/>
              <w:right w:val="single" w:color="auto" w:sz="4" w:space="0"/>
            </w:tcBorders>
            <w:vAlign w:val="center"/>
          </w:tcPr>
          <w:p w14:paraId="5BD8F694">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509" w:type="pct"/>
            <w:tcBorders>
              <w:top w:val="single" w:color="auto" w:sz="4" w:space="0"/>
              <w:left w:val="single" w:color="auto" w:sz="4" w:space="0"/>
              <w:bottom w:val="single" w:color="auto" w:sz="4" w:space="0"/>
              <w:right w:val="single" w:color="auto" w:sz="4" w:space="0"/>
            </w:tcBorders>
            <w:vAlign w:val="center"/>
          </w:tcPr>
          <w:p w14:paraId="68E394D6">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469" w:type="pct"/>
            <w:tcBorders>
              <w:top w:val="single" w:color="auto" w:sz="4" w:space="0"/>
              <w:left w:val="single" w:color="auto" w:sz="4" w:space="0"/>
              <w:bottom w:val="single" w:color="auto" w:sz="4" w:space="0"/>
              <w:right w:val="single" w:color="auto" w:sz="4" w:space="0"/>
            </w:tcBorders>
            <w:vAlign w:val="center"/>
          </w:tcPr>
          <w:p w14:paraId="6DB4CE9B">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数量及单位①</w:t>
            </w:r>
          </w:p>
        </w:tc>
        <w:tc>
          <w:tcPr>
            <w:tcW w:w="630" w:type="pct"/>
            <w:tcBorders>
              <w:top w:val="single" w:color="auto" w:sz="4" w:space="0"/>
              <w:left w:val="single" w:color="auto" w:sz="4" w:space="0"/>
              <w:bottom w:val="single" w:color="auto" w:sz="4" w:space="0"/>
              <w:right w:val="single" w:color="auto" w:sz="4" w:space="0"/>
            </w:tcBorders>
            <w:vAlign w:val="center"/>
          </w:tcPr>
          <w:p w14:paraId="695B8BE1">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p w14:paraId="324B8F89">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②</w:t>
            </w:r>
          </w:p>
        </w:tc>
        <w:tc>
          <w:tcPr>
            <w:tcW w:w="682" w:type="pct"/>
            <w:tcBorders>
              <w:top w:val="single" w:color="auto" w:sz="4" w:space="0"/>
              <w:left w:val="single" w:color="auto" w:sz="4" w:space="0"/>
              <w:bottom w:val="single" w:color="auto" w:sz="4" w:space="0"/>
              <w:right w:val="single" w:color="auto" w:sz="4" w:space="0"/>
            </w:tcBorders>
            <w:vAlign w:val="center"/>
          </w:tcPr>
          <w:p w14:paraId="48144573">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w:t>
            </w:r>
          </w:p>
          <w:p w14:paraId="1CEDFE1D">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③=①×②</w:t>
            </w:r>
          </w:p>
        </w:tc>
      </w:tr>
      <w:tr w14:paraId="4908B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1346" w:type="pct"/>
            <w:tcBorders>
              <w:top w:val="single" w:color="auto" w:sz="4" w:space="0"/>
              <w:left w:val="single" w:color="auto" w:sz="4" w:space="0"/>
              <w:bottom w:val="single" w:color="auto" w:sz="4" w:space="0"/>
              <w:right w:val="single" w:color="auto" w:sz="4" w:space="0"/>
            </w:tcBorders>
            <w:vAlign w:val="center"/>
          </w:tcPr>
          <w:p w14:paraId="4FB04781">
            <w:pPr>
              <w:tabs>
                <w:tab w:val="left" w:pos="180"/>
                <w:tab w:val="left" w:pos="1620"/>
              </w:tabs>
              <w:adjustRightInd w:val="0"/>
              <w:snapToGrid w:val="0"/>
              <w:spacing w:line="360" w:lineRule="exact"/>
              <w:jc w:val="center"/>
              <w:rPr>
                <w:rFonts w:ascii="宋体" w:hAnsi="宋体" w:cs="宋体"/>
                <w:b/>
                <w:color w:val="auto"/>
                <w:sz w:val="24"/>
                <w:highlight w:val="none"/>
              </w:rPr>
            </w:pPr>
          </w:p>
        </w:tc>
        <w:tc>
          <w:tcPr>
            <w:tcW w:w="413" w:type="pct"/>
            <w:tcBorders>
              <w:top w:val="single" w:color="auto" w:sz="4" w:space="0"/>
              <w:left w:val="single" w:color="auto" w:sz="4" w:space="0"/>
              <w:bottom w:val="single" w:color="auto" w:sz="4" w:space="0"/>
              <w:right w:val="single" w:color="auto" w:sz="4" w:space="0"/>
            </w:tcBorders>
            <w:vAlign w:val="center"/>
          </w:tcPr>
          <w:p w14:paraId="4D0F5ECB">
            <w:pPr>
              <w:snapToGrid w:val="0"/>
              <w:spacing w:before="50" w:after="50" w:line="360" w:lineRule="auto"/>
              <w:jc w:val="center"/>
              <w:rPr>
                <w:rFonts w:ascii="宋体" w:hAnsi="宋体" w:cs="宋体"/>
                <w:b/>
                <w:color w:val="auto"/>
                <w:sz w:val="24"/>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54A22826">
            <w:pPr>
              <w:snapToGrid w:val="0"/>
              <w:spacing w:before="50" w:after="50" w:line="360" w:lineRule="auto"/>
              <w:jc w:val="center"/>
              <w:rPr>
                <w:rFonts w:ascii="宋体" w:hAnsi="宋体" w:cs="宋体"/>
                <w:b/>
                <w:color w:val="auto"/>
                <w:sz w:val="24"/>
                <w:highlight w:val="none"/>
              </w:rPr>
            </w:pPr>
          </w:p>
        </w:tc>
        <w:tc>
          <w:tcPr>
            <w:tcW w:w="362" w:type="pct"/>
            <w:tcBorders>
              <w:top w:val="single" w:color="auto" w:sz="4" w:space="0"/>
              <w:left w:val="single" w:color="auto" w:sz="4" w:space="0"/>
              <w:bottom w:val="single" w:color="auto" w:sz="4" w:space="0"/>
              <w:right w:val="single" w:color="auto" w:sz="4" w:space="0"/>
            </w:tcBorders>
            <w:vAlign w:val="center"/>
          </w:tcPr>
          <w:p w14:paraId="1FF7BB1E">
            <w:pPr>
              <w:snapToGrid w:val="0"/>
              <w:spacing w:before="50" w:after="50" w:line="360" w:lineRule="auto"/>
              <w:rPr>
                <w:rFonts w:ascii="宋体" w:hAnsi="宋体" w:cs="宋体"/>
                <w:color w:val="auto"/>
                <w:sz w:val="24"/>
                <w:highlight w:val="none"/>
              </w:rPr>
            </w:pPr>
          </w:p>
        </w:tc>
        <w:tc>
          <w:tcPr>
            <w:tcW w:w="509" w:type="pct"/>
            <w:tcBorders>
              <w:top w:val="single" w:color="auto" w:sz="4" w:space="0"/>
              <w:left w:val="single" w:color="auto" w:sz="4" w:space="0"/>
              <w:bottom w:val="single" w:color="auto" w:sz="4" w:space="0"/>
              <w:right w:val="single" w:color="auto" w:sz="4" w:space="0"/>
            </w:tcBorders>
          </w:tcPr>
          <w:p w14:paraId="79916EA2">
            <w:pPr>
              <w:snapToGrid w:val="0"/>
              <w:spacing w:before="50" w:after="50" w:line="360" w:lineRule="auto"/>
              <w:rPr>
                <w:rFonts w:ascii="宋体" w:hAnsi="宋体" w:cs="宋体"/>
                <w:color w:val="auto"/>
                <w:sz w:val="24"/>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3291BC74">
            <w:pPr>
              <w:snapToGrid w:val="0"/>
              <w:spacing w:before="50" w:after="50" w:line="360" w:lineRule="auto"/>
              <w:rPr>
                <w:rFonts w:ascii="宋体" w:hAnsi="宋体" w:cs="宋体"/>
                <w:color w:val="auto"/>
                <w:sz w:val="24"/>
                <w:highlight w:val="none"/>
              </w:rPr>
            </w:pPr>
          </w:p>
        </w:tc>
        <w:tc>
          <w:tcPr>
            <w:tcW w:w="630" w:type="pct"/>
            <w:tcBorders>
              <w:top w:val="single" w:color="auto" w:sz="4" w:space="0"/>
              <w:left w:val="single" w:color="auto" w:sz="4" w:space="0"/>
              <w:bottom w:val="single" w:color="auto" w:sz="4" w:space="0"/>
              <w:right w:val="single" w:color="auto" w:sz="4" w:space="0"/>
            </w:tcBorders>
            <w:vAlign w:val="center"/>
          </w:tcPr>
          <w:p w14:paraId="67B9D6F1">
            <w:pPr>
              <w:snapToGrid w:val="0"/>
              <w:spacing w:before="50" w:after="50" w:line="360" w:lineRule="auto"/>
              <w:rPr>
                <w:rFonts w:ascii="宋体" w:hAnsi="宋体" w:cs="宋体"/>
                <w:color w:val="auto"/>
                <w:sz w:val="24"/>
                <w:highlight w:val="none"/>
              </w:rPr>
            </w:pPr>
          </w:p>
        </w:tc>
        <w:tc>
          <w:tcPr>
            <w:tcW w:w="682" w:type="pct"/>
            <w:tcBorders>
              <w:top w:val="single" w:color="auto" w:sz="4" w:space="0"/>
              <w:left w:val="single" w:color="auto" w:sz="4" w:space="0"/>
              <w:bottom w:val="single" w:color="auto" w:sz="4" w:space="0"/>
              <w:right w:val="single" w:color="auto" w:sz="4" w:space="0"/>
            </w:tcBorders>
            <w:vAlign w:val="center"/>
          </w:tcPr>
          <w:p w14:paraId="6535C52B">
            <w:pPr>
              <w:snapToGrid w:val="0"/>
              <w:spacing w:before="50" w:after="50" w:line="360" w:lineRule="auto"/>
              <w:rPr>
                <w:rFonts w:ascii="宋体" w:hAnsi="宋体" w:cs="宋体"/>
                <w:color w:val="auto"/>
                <w:sz w:val="24"/>
                <w:highlight w:val="none"/>
              </w:rPr>
            </w:pPr>
          </w:p>
        </w:tc>
      </w:tr>
      <w:tr w14:paraId="572A2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8"/>
            <w:tcBorders>
              <w:top w:val="single" w:color="auto" w:sz="4" w:space="0"/>
              <w:left w:val="single" w:color="auto" w:sz="4" w:space="0"/>
              <w:bottom w:val="single" w:color="auto" w:sz="4" w:space="0"/>
              <w:right w:val="single" w:color="auto" w:sz="4" w:space="0"/>
            </w:tcBorders>
          </w:tcPr>
          <w:p w14:paraId="00710657">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c>
      </w:tr>
    </w:tbl>
    <w:p w14:paraId="67FBA8E8">
      <w:pPr>
        <w:snapToGrid w:val="0"/>
        <w:spacing w:line="280" w:lineRule="exact"/>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36F91C15">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1.投标人的开标一览表必须加盖供应商CA电子签章并由法定代表人或者委托代理人签字或者电子签名，</w:t>
      </w:r>
      <w:r>
        <w:rPr>
          <w:rFonts w:hint="eastAsia" w:ascii="宋体" w:hAnsi="宋体" w:cs="宋体"/>
          <w:b/>
          <w:color w:val="auto"/>
          <w:sz w:val="24"/>
          <w:highlight w:val="none"/>
        </w:rPr>
        <w:t>否则其投标作无效标处理</w:t>
      </w:r>
      <w:r>
        <w:rPr>
          <w:rFonts w:hint="eastAsia" w:ascii="宋体" w:hAnsi="宋体" w:cs="宋体"/>
          <w:color w:val="auto"/>
          <w:sz w:val="24"/>
          <w:highlight w:val="none"/>
        </w:rPr>
        <w:t>。</w:t>
      </w:r>
    </w:p>
    <w:p w14:paraId="1A455445">
      <w:pPr>
        <w:snapToGrid w:val="0"/>
        <w:spacing w:line="280" w:lineRule="exact"/>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报价一经涂改，应在涂改处加盖投标人公章或者加盖电子签章或者由法定代表人或者委托代理人签字（或者电子签名）</w:t>
      </w:r>
      <w:r>
        <w:rPr>
          <w:rFonts w:hint="eastAsia" w:ascii="宋体" w:hAnsi="宋体" w:cs="宋体"/>
          <w:b/>
          <w:color w:val="auto"/>
          <w:sz w:val="24"/>
          <w:highlight w:val="none"/>
        </w:rPr>
        <w:t>，否则其投标作无效标处理。</w:t>
      </w:r>
    </w:p>
    <w:p w14:paraId="5FD98331">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3.招标文件中列明采购专用耗材的，应按招标文件规定的耗材量或者按耗材的常规使用量提供报价。</w:t>
      </w:r>
    </w:p>
    <w:p w14:paraId="4954F921">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4.如为联合体投标，“投标人名称”处必须列明联合体各方名称，并标注联合体牵头人名称，</w:t>
      </w:r>
      <w:r>
        <w:rPr>
          <w:rFonts w:hint="eastAsia" w:ascii="宋体" w:hAnsi="宋体" w:cs="宋体"/>
          <w:b/>
          <w:color w:val="auto"/>
          <w:sz w:val="24"/>
          <w:highlight w:val="none"/>
        </w:rPr>
        <w:t>否则其投标作无效标处理。</w:t>
      </w:r>
    </w:p>
    <w:p w14:paraId="32EF70F4">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5.本项目货物各项号标的的“产地、生产厂家（制造商）、品牌、规格、型号、数量及单位、单价、投标报价”必须如实填写完整，</w:t>
      </w:r>
      <w:r>
        <w:rPr>
          <w:rFonts w:hint="eastAsia" w:ascii="宋体" w:hAnsi="宋体" w:cs="宋体"/>
          <w:b/>
          <w:color w:val="auto"/>
          <w:sz w:val="24"/>
          <w:highlight w:val="none"/>
        </w:rPr>
        <w:t>填写有缺漏的，投标作无效标处理。</w:t>
      </w:r>
    </w:p>
    <w:p w14:paraId="1FF21712">
      <w:pPr>
        <w:snapToGrid w:val="0"/>
        <w:spacing w:line="280" w:lineRule="exact"/>
        <w:ind w:firstLine="456" w:firstLineChars="200"/>
        <w:jc w:val="left"/>
        <w:rPr>
          <w:rFonts w:ascii="宋体" w:hAnsi="宋体" w:cs="宋体"/>
          <w:color w:val="auto"/>
          <w:spacing w:val="-6"/>
          <w:sz w:val="24"/>
          <w:highlight w:val="none"/>
        </w:rPr>
      </w:pPr>
      <w:r>
        <w:rPr>
          <w:rFonts w:hint="eastAsia" w:ascii="宋体" w:hAnsi="宋体" w:cs="宋体"/>
          <w:color w:val="auto"/>
          <w:spacing w:val="-6"/>
          <w:sz w:val="24"/>
          <w:highlight w:val="none"/>
        </w:rPr>
        <w:t>6.如为联合体投标，盖章处须加盖联合体牵头人电子签章，</w:t>
      </w:r>
      <w:r>
        <w:rPr>
          <w:rFonts w:hint="eastAsia" w:ascii="宋体" w:hAnsi="宋体" w:cs="宋体"/>
          <w:b/>
          <w:color w:val="auto"/>
          <w:spacing w:val="-6"/>
          <w:sz w:val="24"/>
          <w:highlight w:val="none"/>
        </w:rPr>
        <w:t>否则其投标作无效标处理。</w:t>
      </w:r>
    </w:p>
    <w:p w14:paraId="41472F5C">
      <w:pPr>
        <w:snapToGrid w:val="0"/>
        <w:spacing w:line="300" w:lineRule="exact"/>
        <w:ind w:firstLine="482" w:firstLineChars="200"/>
        <w:rPr>
          <w:rFonts w:ascii="宋体" w:hAnsi="宋体" w:cs="宋体"/>
          <w:b/>
          <w:color w:val="auto"/>
          <w:sz w:val="24"/>
          <w:highlight w:val="none"/>
        </w:rPr>
      </w:pPr>
    </w:p>
    <w:p w14:paraId="1A31E5DF">
      <w:pPr>
        <w:snapToGrid w:val="0"/>
        <w:spacing w:line="300" w:lineRule="exact"/>
        <w:ind w:left="-2" w:leftChars="-1" w:right="-817" w:rightChars="-389"/>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法定代表人或者委托代理人（签字或者电子签名）：</w:t>
      </w:r>
    </w:p>
    <w:p w14:paraId="40D1367A">
      <w:pPr>
        <w:snapToGrid w:val="0"/>
        <w:spacing w:line="300" w:lineRule="exact"/>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1646AD6B">
      <w:pPr>
        <w:snapToGrid w:val="0"/>
        <w:spacing w:line="300" w:lineRule="exact"/>
        <w:ind w:left="-3" w:leftChars="-15" w:right="-817" w:rightChars="-389" w:hanging="28" w:hangingChars="12"/>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20A35A8D">
      <w:pPr>
        <w:rPr>
          <w:rFonts w:ascii="宋体" w:hAnsi="宋体" w:cs="宋体"/>
          <w:b/>
          <w:color w:val="auto"/>
          <w:sz w:val="28"/>
          <w:szCs w:val="28"/>
          <w:highlight w:val="none"/>
        </w:rPr>
      </w:pPr>
      <w:r>
        <w:rPr>
          <w:rFonts w:hint="eastAsia" w:ascii="宋体" w:hAnsi="宋体" w:cs="宋体"/>
          <w:b/>
          <w:bCs/>
          <w:color w:val="auto"/>
          <w:sz w:val="24"/>
          <w:highlight w:val="none"/>
        </w:rPr>
        <w:br w:type="page"/>
      </w:r>
      <w:bookmarkStart w:id="159" w:name="_Toc19686837"/>
      <w:r>
        <w:rPr>
          <w:rFonts w:hint="eastAsia" w:ascii="宋体" w:hAnsi="宋体" w:cs="宋体"/>
          <w:b/>
          <w:color w:val="auto"/>
          <w:sz w:val="28"/>
          <w:szCs w:val="28"/>
          <w:highlight w:val="none"/>
        </w:rPr>
        <w:t>二、资格证明文件格式</w:t>
      </w:r>
      <w:bookmarkEnd w:id="157"/>
      <w:bookmarkEnd w:id="158"/>
      <w:bookmarkEnd w:id="159"/>
    </w:p>
    <w:p w14:paraId="7532B85B">
      <w:pPr>
        <w:numPr>
          <w:ilvl w:val="2"/>
          <w:numId w:val="8"/>
        </w:numPr>
        <w:snapToGrid w:val="0"/>
        <w:spacing w:beforeLines="50" w:after="50" w:line="360" w:lineRule="auto"/>
        <w:ind w:left="0" w:firstLine="0"/>
        <w:jc w:val="left"/>
        <w:rPr>
          <w:rFonts w:ascii="宋体" w:hAnsi="宋体" w:cs="宋体"/>
          <w:b/>
          <w:color w:val="auto"/>
          <w:sz w:val="24"/>
          <w:highlight w:val="none"/>
        </w:rPr>
      </w:pPr>
      <w:r>
        <w:rPr>
          <w:rFonts w:hint="eastAsia" w:ascii="宋体" w:hAnsi="宋体" w:cs="宋体"/>
          <w:b/>
          <w:color w:val="auto"/>
          <w:sz w:val="24"/>
          <w:highlight w:val="none"/>
        </w:rPr>
        <w:t xml:space="preserve">资格证明文件封面格式： </w:t>
      </w:r>
    </w:p>
    <w:p w14:paraId="6F0C6E9A">
      <w:pPr>
        <w:snapToGrid w:val="0"/>
        <w:spacing w:beforeLines="50" w:after="50"/>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7DB3B13D">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119F29A4">
      <w:pPr>
        <w:snapToGrid w:val="0"/>
        <w:spacing w:beforeLines="50" w:after="50"/>
        <w:rPr>
          <w:rFonts w:ascii="宋体" w:hAnsi="宋体" w:cs="宋体"/>
          <w:bCs/>
          <w:color w:val="auto"/>
          <w:sz w:val="24"/>
          <w:szCs w:val="20"/>
          <w:highlight w:val="none"/>
        </w:rPr>
      </w:pPr>
    </w:p>
    <w:p w14:paraId="32ADBE57">
      <w:pPr>
        <w:snapToGrid w:val="0"/>
        <w:spacing w:beforeLines="50" w:after="50"/>
        <w:rPr>
          <w:rFonts w:ascii="宋体" w:hAnsi="宋体" w:cs="宋体"/>
          <w:bCs/>
          <w:color w:val="auto"/>
          <w:sz w:val="24"/>
          <w:szCs w:val="20"/>
          <w:highlight w:val="none"/>
        </w:rPr>
      </w:pPr>
    </w:p>
    <w:p w14:paraId="4FF97489">
      <w:pPr>
        <w:snapToGrid w:val="0"/>
        <w:spacing w:beforeLines="50" w:after="50"/>
        <w:rPr>
          <w:rFonts w:ascii="宋体" w:hAnsi="宋体" w:cs="宋体"/>
          <w:bCs/>
          <w:color w:val="auto"/>
          <w:sz w:val="24"/>
          <w:szCs w:val="20"/>
          <w:highlight w:val="none"/>
        </w:rPr>
      </w:pPr>
    </w:p>
    <w:p w14:paraId="230D61D1">
      <w:pPr>
        <w:snapToGrid w:val="0"/>
        <w:spacing w:beforeLines="50" w:after="50"/>
        <w:rPr>
          <w:rFonts w:ascii="宋体" w:hAnsi="宋体" w:cs="宋体"/>
          <w:bCs/>
          <w:color w:val="auto"/>
          <w:sz w:val="24"/>
          <w:szCs w:val="20"/>
          <w:highlight w:val="none"/>
        </w:rPr>
      </w:pPr>
    </w:p>
    <w:p w14:paraId="1A7A25F9">
      <w:pPr>
        <w:snapToGrid w:val="0"/>
        <w:spacing w:beforeLines="50" w:after="50"/>
        <w:rPr>
          <w:rFonts w:ascii="宋体" w:hAnsi="宋体" w:cs="宋体"/>
          <w:bCs/>
          <w:color w:val="auto"/>
          <w:sz w:val="24"/>
          <w:szCs w:val="20"/>
          <w:highlight w:val="none"/>
        </w:rPr>
      </w:pPr>
    </w:p>
    <w:p w14:paraId="32A92947">
      <w:pPr>
        <w:snapToGrid w:val="0"/>
        <w:spacing w:beforeLines="50" w:after="50"/>
        <w:rPr>
          <w:rFonts w:ascii="宋体" w:hAnsi="宋体" w:cs="宋体"/>
          <w:bCs/>
          <w:color w:val="auto"/>
          <w:sz w:val="24"/>
          <w:szCs w:val="20"/>
          <w:highlight w:val="none"/>
        </w:rPr>
      </w:pPr>
    </w:p>
    <w:p w14:paraId="3AF78C77">
      <w:pPr>
        <w:snapToGrid w:val="0"/>
        <w:spacing w:beforeLines="50" w:after="50"/>
        <w:rPr>
          <w:rFonts w:ascii="宋体" w:hAnsi="宋体" w:cs="宋体"/>
          <w:bCs/>
          <w:color w:val="auto"/>
          <w:sz w:val="24"/>
          <w:szCs w:val="20"/>
          <w:highlight w:val="none"/>
        </w:rPr>
      </w:pPr>
    </w:p>
    <w:p w14:paraId="253E8D0D">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7835671F">
      <w:pPr>
        <w:snapToGrid w:val="0"/>
        <w:spacing w:beforeLines="50" w:after="50"/>
        <w:ind w:firstLine="540" w:firstLineChars="225"/>
        <w:rPr>
          <w:rFonts w:ascii="宋体" w:hAnsi="宋体" w:cs="宋体"/>
          <w:bCs/>
          <w:color w:val="auto"/>
          <w:sz w:val="24"/>
          <w:szCs w:val="20"/>
          <w:highlight w:val="none"/>
        </w:rPr>
      </w:pPr>
    </w:p>
    <w:p w14:paraId="004F6A23">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4A747194">
      <w:pPr>
        <w:snapToGrid w:val="0"/>
        <w:spacing w:beforeLines="50" w:after="50"/>
        <w:ind w:firstLine="540" w:firstLineChars="225"/>
        <w:rPr>
          <w:rFonts w:ascii="宋体" w:hAnsi="宋体" w:cs="宋体"/>
          <w:bCs/>
          <w:color w:val="auto"/>
          <w:sz w:val="24"/>
          <w:szCs w:val="20"/>
          <w:highlight w:val="none"/>
        </w:rPr>
      </w:pPr>
    </w:p>
    <w:p w14:paraId="3A584B0A">
      <w:pPr>
        <w:pStyle w:val="8"/>
        <w:snapToGrid w:val="0"/>
        <w:spacing w:before="50" w:after="50"/>
        <w:ind w:firstLine="540" w:firstLineChars="225"/>
        <w:rPr>
          <w:rFonts w:ascii="宋体" w:hAnsi="宋体" w:cs="宋体"/>
          <w:bCs/>
          <w:color w:val="auto"/>
          <w:sz w:val="24"/>
          <w:szCs w:val="24"/>
          <w:highlight w:val="none"/>
        </w:rPr>
      </w:pPr>
    </w:p>
    <w:p w14:paraId="3EAE3B95">
      <w:pPr>
        <w:pStyle w:val="8"/>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640F5F85">
      <w:pPr>
        <w:pStyle w:val="8"/>
        <w:snapToGrid w:val="0"/>
        <w:spacing w:before="50" w:after="50"/>
        <w:ind w:firstLine="540" w:firstLineChars="225"/>
        <w:rPr>
          <w:rFonts w:ascii="宋体" w:hAnsi="宋体" w:cs="宋体"/>
          <w:bCs/>
          <w:color w:val="auto"/>
          <w:sz w:val="24"/>
          <w:szCs w:val="24"/>
          <w:highlight w:val="none"/>
        </w:rPr>
      </w:pPr>
    </w:p>
    <w:p w14:paraId="7B67CA2F">
      <w:pPr>
        <w:pStyle w:val="8"/>
        <w:snapToGrid w:val="0"/>
        <w:spacing w:before="50" w:after="50"/>
        <w:ind w:firstLine="960" w:firstLineChars="400"/>
        <w:rPr>
          <w:rFonts w:ascii="宋体" w:hAnsi="宋体" w:cs="宋体"/>
          <w:bCs/>
          <w:color w:val="auto"/>
          <w:sz w:val="24"/>
          <w:szCs w:val="24"/>
          <w:highlight w:val="none"/>
        </w:rPr>
      </w:pPr>
    </w:p>
    <w:p w14:paraId="07864D26">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0D60D1FD">
      <w:pPr>
        <w:snapToGrid w:val="0"/>
        <w:spacing w:beforeLines="50" w:after="50"/>
        <w:rPr>
          <w:rFonts w:ascii="宋体" w:hAnsi="宋体" w:cs="宋体"/>
          <w:color w:val="auto"/>
          <w:sz w:val="24"/>
          <w:szCs w:val="20"/>
          <w:highlight w:val="none"/>
        </w:rPr>
      </w:pPr>
    </w:p>
    <w:p w14:paraId="799FA3BE">
      <w:pPr>
        <w:snapToGrid w:val="0"/>
        <w:spacing w:beforeLines="50" w:after="50"/>
        <w:rPr>
          <w:rFonts w:ascii="宋体" w:hAnsi="宋体" w:cs="宋体"/>
          <w:color w:val="auto"/>
          <w:sz w:val="24"/>
          <w:szCs w:val="20"/>
          <w:highlight w:val="none"/>
        </w:rPr>
      </w:pPr>
    </w:p>
    <w:p w14:paraId="4DD082F1">
      <w:pPr>
        <w:numPr>
          <w:ilvl w:val="2"/>
          <w:numId w:val="8"/>
        </w:numPr>
        <w:snapToGrid w:val="0"/>
        <w:spacing w:beforeLines="50" w:after="50" w:line="360" w:lineRule="auto"/>
        <w:ind w:left="0" w:firstLine="0"/>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14:paraId="6869304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7D30D731">
      <w:pPr>
        <w:snapToGrid w:val="0"/>
        <w:spacing w:before="50" w:afterLines="50"/>
        <w:jc w:val="left"/>
        <w:rPr>
          <w:rFonts w:ascii="宋体" w:hAnsi="宋体" w:cs="宋体"/>
          <w:color w:val="auto"/>
          <w:sz w:val="24"/>
          <w:highlight w:val="none"/>
        </w:rPr>
      </w:pPr>
    </w:p>
    <w:p w14:paraId="3081EC4D">
      <w:pPr>
        <w:snapToGrid w:val="0"/>
        <w:spacing w:before="50" w:afterLines="50"/>
        <w:jc w:val="left"/>
        <w:rPr>
          <w:rFonts w:ascii="宋体" w:hAnsi="宋体" w:cs="宋体"/>
          <w:color w:val="auto"/>
          <w:sz w:val="24"/>
          <w:highlight w:val="none"/>
        </w:rPr>
      </w:pPr>
    </w:p>
    <w:p w14:paraId="3C7EC6C8">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w:t>
      </w:r>
      <w:r>
        <w:rPr>
          <w:rFonts w:hint="eastAsia" w:ascii="宋体" w:hAnsi="宋体" w:cs="宋体"/>
          <w:b/>
          <w:color w:val="auto"/>
          <w:sz w:val="28"/>
          <w:szCs w:val="28"/>
          <w:highlight w:val="none"/>
        </w:rPr>
        <w:t>投标人直接控股股东信息表</w:t>
      </w:r>
    </w:p>
    <w:p w14:paraId="5943D69F">
      <w:pPr>
        <w:snapToGrid w:val="0"/>
        <w:spacing w:before="50" w:afterLines="50"/>
        <w:jc w:val="center"/>
        <w:rPr>
          <w:rFonts w:ascii="宋体" w:hAnsi="宋体" w:cs="宋体"/>
          <w:b/>
          <w:color w:val="auto"/>
          <w:sz w:val="28"/>
          <w:szCs w:val="28"/>
          <w:highlight w:val="none"/>
        </w:rPr>
      </w:pPr>
    </w:p>
    <w:p w14:paraId="14EB0BCF">
      <w:pPr>
        <w:snapToGrid w:val="0"/>
        <w:spacing w:before="5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4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0E4F18D">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E231DB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18F55F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75E688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D83C64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837188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DCBE54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B9326C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CA820B0">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ED7C68C">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ADB9E5D">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B53F71D">
            <w:pPr>
              <w:spacing w:line="360" w:lineRule="auto"/>
              <w:jc w:val="center"/>
              <w:rPr>
                <w:rFonts w:ascii="宋体" w:hAnsi="宋体" w:cs="宋体"/>
                <w:color w:val="auto"/>
                <w:kern w:val="0"/>
                <w:sz w:val="24"/>
                <w:highlight w:val="none"/>
              </w:rPr>
            </w:pPr>
          </w:p>
        </w:tc>
      </w:tr>
      <w:tr w14:paraId="3B2B305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2DC9AF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636EE25">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140E0A5">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8264967">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CA72B8">
            <w:pPr>
              <w:spacing w:line="360" w:lineRule="auto"/>
              <w:jc w:val="center"/>
              <w:rPr>
                <w:rFonts w:ascii="宋体" w:hAnsi="宋体" w:cs="宋体"/>
                <w:color w:val="auto"/>
                <w:kern w:val="0"/>
                <w:sz w:val="24"/>
                <w:highlight w:val="none"/>
              </w:rPr>
            </w:pPr>
          </w:p>
        </w:tc>
      </w:tr>
      <w:tr w14:paraId="213D969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E1DC3B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568B44B">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049D7ED">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40E613C">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A9BC822">
            <w:pPr>
              <w:spacing w:line="360" w:lineRule="auto"/>
              <w:jc w:val="center"/>
              <w:rPr>
                <w:rFonts w:ascii="宋体" w:hAnsi="宋体" w:cs="宋体"/>
                <w:color w:val="auto"/>
                <w:kern w:val="0"/>
                <w:sz w:val="24"/>
                <w:highlight w:val="none"/>
              </w:rPr>
            </w:pPr>
          </w:p>
        </w:tc>
      </w:tr>
      <w:tr w14:paraId="6D4AF29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618E42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5812482">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41EB8A4">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60035B5">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EED2445">
            <w:pPr>
              <w:spacing w:line="360" w:lineRule="auto"/>
              <w:jc w:val="center"/>
              <w:rPr>
                <w:rFonts w:ascii="宋体" w:hAnsi="宋体" w:cs="宋体"/>
                <w:color w:val="auto"/>
                <w:kern w:val="0"/>
                <w:sz w:val="24"/>
                <w:highlight w:val="none"/>
              </w:rPr>
            </w:pPr>
          </w:p>
        </w:tc>
      </w:tr>
    </w:tbl>
    <w:p w14:paraId="147F774F">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4A1629EF">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5DC7E30">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7E77927">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7CF81A32">
      <w:pPr>
        <w:snapToGrid w:val="0"/>
        <w:spacing w:line="360" w:lineRule="auto"/>
        <w:jc w:val="left"/>
        <w:rPr>
          <w:rFonts w:ascii="宋体" w:hAnsi="宋体" w:cs="宋体"/>
          <w:color w:val="auto"/>
          <w:sz w:val="24"/>
          <w:highlight w:val="none"/>
        </w:rPr>
      </w:pPr>
    </w:p>
    <w:p w14:paraId="5BA88452">
      <w:pPr>
        <w:snapToGrid w:val="0"/>
        <w:spacing w:line="360" w:lineRule="auto"/>
        <w:jc w:val="left"/>
        <w:rPr>
          <w:rFonts w:ascii="宋体" w:hAnsi="宋体" w:cs="宋体"/>
          <w:color w:val="auto"/>
          <w:sz w:val="24"/>
          <w:highlight w:val="none"/>
        </w:rPr>
      </w:pPr>
    </w:p>
    <w:p w14:paraId="67F3A1A1">
      <w:pPr>
        <w:snapToGrid w:val="0"/>
        <w:spacing w:line="360" w:lineRule="auto"/>
        <w:jc w:val="left"/>
        <w:rPr>
          <w:rFonts w:ascii="宋体" w:hAnsi="宋体" w:cs="宋体"/>
          <w:color w:val="auto"/>
          <w:sz w:val="24"/>
          <w:highlight w:val="none"/>
        </w:rPr>
      </w:pPr>
    </w:p>
    <w:p w14:paraId="6FB89D6A">
      <w:pPr>
        <w:snapToGrid w:val="0"/>
        <w:spacing w:line="360" w:lineRule="auto"/>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             法定代表人或者委托代理人（签字或者电子签名）：</w:t>
      </w:r>
    </w:p>
    <w:p w14:paraId="21401571">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6E59ACE1">
      <w:pPr>
        <w:snapToGrid w:val="0"/>
        <w:spacing w:line="360" w:lineRule="auto"/>
        <w:jc w:val="left"/>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22A88E16">
      <w:pPr>
        <w:snapToGrid w:val="0"/>
        <w:jc w:val="center"/>
        <w:rPr>
          <w:rFonts w:ascii="宋体" w:hAnsi="宋体" w:cs="宋体"/>
          <w:b/>
          <w:color w:val="auto"/>
          <w:sz w:val="28"/>
          <w:szCs w:val="28"/>
          <w:highlight w:val="none"/>
        </w:rPr>
      </w:pPr>
    </w:p>
    <w:p w14:paraId="368F4A4E">
      <w:pPr>
        <w:snapToGrid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24"/>
          <w:highlight w:val="none"/>
        </w:rPr>
        <w:t>4.</w:t>
      </w:r>
      <w:r>
        <w:rPr>
          <w:rFonts w:hint="eastAsia" w:ascii="宋体" w:hAnsi="宋体" w:cs="宋体"/>
          <w:b/>
          <w:color w:val="auto"/>
          <w:sz w:val="28"/>
          <w:szCs w:val="28"/>
          <w:highlight w:val="none"/>
        </w:rPr>
        <w:t>投标人直接管理关系信息表</w:t>
      </w:r>
    </w:p>
    <w:p w14:paraId="53C176DB">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4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0D0EAC1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66579F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343FEB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41607F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CAA4C0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0CD055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D99F04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085179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35134B9">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7813DB">
            <w:pPr>
              <w:spacing w:line="360" w:lineRule="auto"/>
              <w:jc w:val="center"/>
              <w:rPr>
                <w:rFonts w:ascii="宋体" w:hAnsi="宋体" w:cs="宋体"/>
                <w:color w:val="auto"/>
                <w:kern w:val="0"/>
                <w:sz w:val="24"/>
                <w:highlight w:val="none"/>
              </w:rPr>
            </w:pPr>
          </w:p>
        </w:tc>
      </w:tr>
      <w:tr w14:paraId="0C3B4C1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5D8A3D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CB3424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ACDFE9B">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0112BDB">
            <w:pPr>
              <w:spacing w:line="360" w:lineRule="auto"/>
              <w:jc w:val="center"/>
              <w:rPr>
                <w:rFonts w:ascii="宋体" w:hAnsi="宋体" w:cs="宋体"/>
                <w:color w:val="auto"/>
                <w:kern w:val="0"/>
                <w:sz w:val="24"/>
                <w:highlight w:val="none"/>
              </w:rPr>
            </w:pPr>
          </w:p>
        </w:tc>
      </w:tr>
      <w:tr w14:paraId="2C5ED44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0B08AE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7296D5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43406EA">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14487FE">
            <w:pPr>
              <w:spacing w:line="360" w:lineRule="auto"/>
              <w:jc w:val="center"/>
              <w:rPr>
                <w:rFonts w:ascii="宋体" w:hAnsi="宋体" w:cs="宋体"/>
                <w:color w:val="auto"/>
                <w:kern w:val="0"/>
                <w:sz w:val="24"/>
                <w:highlight w:val="none"/>
              </w:rPr>
            </w:pPr>
          </w:p>
        </w:tc>
      </w:tr>
      <w:tr w14:paraId="6EB840A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933F73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4428118">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B4A7AE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C9B9B1D">
            <w:pPr>
              <w:spacing w:line="360" w:lineRule="auto"/>
              <w:jc w:val="center"/>
              <w:rPr>
                <w:rFonts w:ascii="宋体" w:hAnsi="宋体" w:cs="宋体"/>
                <w:color w:val="auto"/>
                <w:kern w:val="0"/>
                <w:sz w:val="24"/>
                <w:highlight w:val="none"/>
              </w:rPr>
            </w:pPr>
          </w:p>
        </w:tc>
      </w:tr>
    </w:tbl>
    <w:p w14:paraId="571EA6D7">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2ABA4CB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707BCF6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12F6EA9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12718D60">
      <w:pPr>
        <w:snapToGrid w:val="0"/>
        <w:spacing w:line="360" w:lineRule="auto"/>
        <w:jc w:val="left"/>
        <w:rPr>
          <w:rFonts w:ascii="宋体" w:hAnsi="宋体" w:cs="宋体"/>
          <w:color w:val="auto"/>
          <w:sz w:val="24"/>
          <w:highlight w:val="none"/>
        </w:rPr>
      </w:pPr>
    </w:p>
    <w:p w14:paraId="05B70361">
      <w:pPr>
        <w:snapToGrid w:val="0"/>
        <w:spacing w:line="360" w:lineRule="auto"/>
        <w:jc w:val="left"/>
        <w:rPr>
          <w:rFonts w:ascii="宋体" w:hAnsi="宋体" w:cs="宋体"/>
          <w:color w:val="auto"/>
          <w:sz w:val="24"/>
          <w:highlight w:val="none"/>
        </w:rPr>
      </w:pPr>
    </w:p>
    <w:p w14:paraId="02CC5893">
      <w:pPr>
        <w:snapToGrid w:val="0"/>
        <w:spacing w:line="360" w:lineRule="auto"/>
        <w:jc w:val="left"/>
        <w:rPr>
          <w:rFonts w:ascii="宋体" w:hAnsi="宋体" w:cs="宋体"/>
          <w:color w:val="auto"/>
          <w:sz w:val="24"/>
          <w:highlight w:val="none"/>
        </w:rPr>
      </w:pPr>
    </w:p>
    <w:p w14:paraId="6594B7B4">
      <w:pPr>
        <w:snapToGrid w:val="0"/>
        <w:spacing w:line="360" w:lineRule="auto"/>
        <w:jc w:val="left"/>
        <w:rPr>
          <w:rFonts w:ascii="宋体" w:hAnsi="宋体" w:cs="宋体"/>
          <w:color w:val="auto"/>
          <w:sz w:val="24"/>
          <w:highlight w:val="none"/>
        </w:rPr>
      </w:pPr>
    </w:p>
    <w:p w14:paraId="636957D2">
      <w:pPr>
        <w:snapToGrid w:val="0"/>
        <w:spacing w:line="360" w:lineRule="auto"/>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            法定代表人或者委托代理人（签字或者电子签名）：</w:t>
      </w:r>
    </w:p>
    <w:p w14:paraId="1DCC8CCC">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3285B727">
      <w:pPr>
        <w:snapToGrid w:val="0"/>
        <w:spacing w:line="360" w:lineRule="auto"/>
        <w:ind w:right="480" w:firstLine="240" w:firstLineChars="100"/>
        <w:jc w:val="left"/>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01683537">
      <w:pPr>
        <w:snapToGrid w:val="0"/>
        <w:spacing w:beforeLines="50" w:after="50"/>
        <w:jc w:val="left"/>
        <w:rPr>
          <w:rFonts w:ascii="宋体" w:hAnsi="宋体" w:cs="宋体"/>
          <w:b/>
          <w:color w:val="auto"/>
          <w:sz w:val="24"/>
          <w:szCs w:val="20"/>
          <w:highlight w:val="none"/>
        </w:rPr>
      </w:pPr>
    </w:p>
    <w:p w14:paraId="024C4457">
      <w:pPr>
        <w:snapToGrid w:val="0"/>
        <w:spacing w:line="360" w:lineRule="auto"/>
        <w:ind w:right="480" w:firstLine="210" w:firstLineChars="100"/>
        <w:jc w:val="left"/>
        <w:rPr>
          <w:rFonts w:ascii="宋体" w:hAnsi="宋体" w:cs="宋体"/>
          <w:color w:val="auto"/>
          <w:szCs w:val="21"/>
          <w:highlight w:val="none"/>
        </w:rPr>
      </w:pPr>
    </w:p>
    <w:p w14:paraId="737DC701">
      <w:pPr>
        <w:snapToGrid w:val="0"/>
        <w:spacing w:beforeLines="50" w:after="50"/>
        <w:jc w:val="left"/>
        <w:rPr>
          <w:rFonts w:ascii="宋体" w:hAnsi="宋体" w:cs="宋体"/>
          <w:b/>
          <w:color w:val="auto"/>
          <w:sz w:val="24"/>
          <w:szCs w:val="20"/>
          <w:highlight w:val="none"/>
        </w:rPr>
      </w:pPr>
    </w:p>
    <w:p w14:paraId="6DE642F1">
      <w:pPr>
        <w:snapToGrid w:val="0"/>
        <w:spacing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5.投标声明</w:t>
      </w:r>
    </w:p>
    <w:p w14:paraId="1FA1386D">
      <w:pPr>
        <w:snapToGrid w:val="0"/>
        <w:spacing w:before="50" w:afterLines="50"/>
        <w:jc w:val="left"/>
        <w:rPr>
          <w:rFonts w:ascii="宋体" w:hAnsi="宋体" w:cs="宋体"/>
          <w:color w:val="auto"/>
          <w:highlight w:val="none"/>
        </w:rPr>
      </w:pPr>
    </w:p>
    <w:p w14:paraId="45169671">
      <w:pPr>
        <w:snapToGrid w:val="0"/>
        <w:spacing w:before="50" w:afterLines="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投标声明</w:t>
      </w:r>
    </w:p>
    <w:p w14:paraId="256AE621">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（采购人名称）：</w:t>
      </w:r>
    </w:p>
    <w:p w14:paraId="5C29EE71">
      <w:pPr>
        <w:spacing w:line="400" w:lineRule="exact"/>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我方参加贵单位组织项目</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）的政府采购活动。我方在此郑重声明：</w:t>
      </w:r>
    </w:p>
    <w:p w14:paraId="352D70EA">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C0F3892">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54FBC500">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 我方承诺符合《中华人民共和国政府采购法》第二十二条规定：</w:t>
      </w:r>
    </w:p>
    <w:p w14:paraId="2D99A9D9">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65AC1C4A">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5F3F4A98">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6796A1EA">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52544053">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6706BB08">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128E6F42">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14:paraId="4B711D1B">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14:paraId="570DB892">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法定代表人或者委托代理人</w:t>
      </w:r>
      <w:r>
        <w:rPr>
          <w:rFonts w:hint="eastAsia" w:ascii="宋体" w:hAnsi="宋体" w:cs="宋体"/>
          <w:color w:val="auto"/>
          <w:spacing w:val="20"/>
          <w:sz w:val="24"/>
          <w:highlight w:val="none"/>
        </w:rPr>
        <w:t>（签字或者电子签名）：</w:t>
      </w:r>
    </w:p>
    <w:p w14:paraId="45738083">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3E9191B5">
      <w:pPr>
        <w:spacing w:line="400" w:lineRule="exact"/>
        <w:contextualSpacing/>
        <w:jc w:val="left"/>
        <w:rPr>
          <w:rFonts w:ascii="宋体" w:hAnsi="宋体" w:cs="宋体"/>
          <w:color w:val="auto"/>
          <w:highlight w:val="none"/>
        </w:rPr>
      </w:pPr>
      <w:r>
        <w:rPr>
          <w:rFonts w:hint="eastAsia" w:ascii="宋体" w:hAnsi="宋体" w:cs="宋体"/>
          <w:color w:val="auto"/>
          <w:sz w:val="24"/>
          <w:highlight w:val="none"/>
        </w:rPr>
        <w:t xml:space="preserve">                                                  年    月    日</w:t>
      </w:r>
    </w:p>
    <w:p w14:paraId="12AC8B23">
      <w:pPr>
        <w:spacing w:line="440" w:lineRule="exact"/>
        <w:contextualSpacing/>
        <w:rPr>
          <w:rFonts w:ascii="宋体" w:hAnsi="宋体" w:cs="宋体"/>
          <w:b/>
          <w:color w:val="auto"/>
          <w:sz w:val="24"/>
          <w:highlight w:val="none"/>
        </w:rPr>
      </w:pPr>
      <w:bookmarkStart w:id="160" w:name="_Toc19686838"/>
      <w:r>
        <w:rPr>
          <w:rFonts w:hint="eastAsia" w:ascii="宋体" w:hAnsi="宋体" w:cs="宋体"/>
          <w:b/>
          <w:color w:val="auto"/>
          <w:sz w:val="24"/>
          <w:highlight w:val="none"/>
        </w:rPr>
        <w:t>注：如为联合体投标，盖章处须加盖联合体牵头人电子签章并由联合体各方法定代表人分别签字或者盖章或者电子签名，否则投标无效。</w:t>
      </w:r>
    </w:p>
    <w:p w14:paraId="59CEE173">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三、商务文件格式</w:t>
      </w:r>
      <w:bookmarkEnd w:id="160"/>
    </w:p>
    <w:p w14:paraId="7C03D039">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1.商务文件封面格式： </w:t>
      </w:r>
    </w:p>
    <w:p w14:paraId="1F6A0B5E">
      <w:pPr>
        <w:snapToGrid w:val="0"/>
        <w:spacing w:beforeLines="50" w:after="50"/>
        <w:jc w:val="center"/>
        <w:rPr>
          <w:rFonts w:ascii="宋体" w:hAnsi="宋体" w:cs="宋体"/>
          <w:color w:val="auto"/>
          <w:sz w:val="24"/>
          <w:highlight w:val="none"/>
        </w:rPr>
      </w:pPr>
      <w:r>
        <w:rPr>
          <w:rFonts w:hint="eastAsia" w:ascii="宋体" w:hAnsi="宋体" w:cs="宋体"/>
          <w:bCs/>
          <w:color w:val="auto"/>
          <w:sz w:val="48"/>
          <w:szCs w:val="48"/>
          <w:highlight w:val="none"/>
        </w:rPr>
        <w:t>电子投标文件</w:t>
      </w:r>
    </w:p>
    <w:p w14:paraId="3302E8F5">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文  件</w:t>
      </w:r>
    </w:p>
    <w:p w14:paraId="305EF19F">
      <w:pPr>
        <w:snapToGrid w:val="0"/>
        <w:spacing w:beforeLines="50" w:after="50"/>
        <w:rPr>
          <w:rFonts w:ascii="宋体" w:hAnsi="宋体" w:cs="宋体"/>
          <w:bCs/>
          <w:color w:val="auto"/>
          <w:sz w:val="24"/>
          <w:szCs w:val="20"/>
          <w:highlight w:val="none"/>
        </w:rPr>
      </w:pPr>
    </w:p>
    <w:p w14:paraId="7A80A2CE">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09D1935A">
      <w:pPr>
        <w:snapToGrid w:val="0"/>
        <w:spacing w:beforeLines="50" w:after="50"/>
        <w:ind w:firstLine="540" w:firstLineChars="225"/>
        <w:rPr>
          <w:rFonts w:ascii="宋体" w:hAnsi="宋体" w:cs="宋体"/>
          <w:bCs/>
          <w:color w:val="auto"/>
          <w:sz w:val="24"/>
          <w:szCs w:val="20"/>
          <w:highlight w:val="none"/>
        </w:rPr>
      </w:pPr>
    </w:p>
    <w:p w14:paraId="40B11688">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46070F90">
      <w:pPr>
        <w:snapToGrid w:val="0"/>
        <w:spacing w:beforeLines="50" w:after="50"/>
        <w:ind w:firstLine="540" w:firstLineChars="225"/>
        <w:rPr>
          <w:rFonts w:ascii="宋体" w:hAnsi="宋体" w:cs="宋体"/>
          <w:bCs/>
          <w:color w:val="auto"/>
          <w:sz w:val="24"/>
          <w:szCs w:val="20"/>
          <w:highlight w:val="none"/>
        </w:rPr>
      </w:pPr>
    </w:p>
    <w:p w14:paraId="6978CAEE">
      <w:pPr>
        <w:snapToGrid w:val="0"/>
        <w:spacing w:beforeLines="50" w:after="50"/>
        <w:ind w:firstLine="540" w:firstLineChars="225"/>
        <w:rPr>
          <w:rFonts w:ascii="宋体" w:hAnsi="宋体" w:cs="宋体"/>
          <w:bCs/>
          <w:color w:val="auto"/>
          <w:sz w:val="24"/>
          <w:szCs w:val="20"/>
          <w:highlight w:val="none"/>
        </w:rPr>
      </w:pPr>
    </w:p>
    <w:p w14:paraId="61A5CB3B">
      <w:pPr>
        <w:pStyle w:val="8"/>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7C81BD31">
      <w:pPr>
        <w:pStyle w:val="8"/>
        <w:snapToGrid w:val="0"/>
        <w:spacing w:before="50" w:after="50"/>
        <w:ind w:firstLine="540" w:firstLineChars="225"/>
        <w:rPr>
          <w:rFonts w:ascii="宋体" w:hAnsi="宋体" w:cs="宋体"/>
          <w:bCs/>
          <w:color w:val="auto"/>
          <w:sz w:val="24"/>
          <w:szCs w:val="24"/>
          <w:highlight w:val="none"/>
        </w:rPr>
      </w:pPr>
    </w:p>
    <w:p w14:paraId="59284C4C">
      <w:pPr>
        <w:pStyle w:val="8"/>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00BF8B28">
      <w:pPr>
        <w:pStyle w:val="8"/>
        <w:snapToGrid w:val="0"/>
        <w:spacing w:before="50" w:after="50"/>
        <w:ind w:firstLine="960" w:firstLineChars="400"/>
        <w:rPr>
          <w:rFonts w:ascii="宋体" w:hAnsi="宋体" w:cs="宋体"/>
          <w:bCs/>
          <w:color w:val="auto"/>
          <w:sz w:val="24"/>
          <w:szCs w:val="24"/>
          <w:highlight w:val="none"/>
        </w:rPr>
      </w:pPr>
    </w:p>
    <w:p w14:paraId="40BE0142">
      <w:pPr>
        <w:snapToGrid w:val="0"/>
        <w:spacing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31BE32F5">
      <w:pPr>
        <w:snapToGrid w:val="0"/>
        <w:spacing w:beforeLines="50" w:after="50"/>
        <w:rPr>
          <w:rFonts w:ascii="宋体" w:hAnsi="宋体" w:cs="宋体"/>
          <w:color w:val="auto"/>
          <w:sz w:val="24"/>
          <w:szCs w:val="20"/>
          <w:highlight w:val="none"/>
        </w:rPr>
      </w:pPr>
    </w:p>
    <w:p w14:paraId="15D47BB0">
      <w:pPr>
        <w:snapToGrid w:val="0"/>
        <w:spacing w:line="360" w:lineRule="auto"/>
        <w:jc w:val="left"/>
        <w:rPr>
          <w:rFonts w:ascii="宋体" w:hAnsi="宋体" w:cs="宋体"/>
          <w:b/>
          <w:color w:val="auto"/>
          <w:sz w:val="24"/>
          <w:highlight w:val="none"/>
        </w:rPr>
      </w:pPr>
      <w:r>
        <w:rPr>
          <w:rFonts w:hint="eastAsia" w:ascii="宋体" w:hAnsi="宋体" w:cs="宋体"/>
          <w:color w:val="auto"/>
          <w:sz w:val="24"/>
          <w:szCs w:val="20"/>
          <w:highlight w:val="none"/>
        </w:rPr>
        <w:br w:type="page"/>
      </w:r>
      <w:r>
        <w:rPr>
          <w:rFonts w:hint="eastAsia" w:ascii="宋体" w:hAnsi="宋体" w:cs="宋体"/>
          <w:b/>
          <w:color w:val="auto"/>
          <w:sz w:val="24"/>
          <w:highlight w:val="none"/>
        </w:rPr>
        <w:t>2.商务文件目录</w:t>
      </w:r>
    </w:p>
    <w:p w14:paraId="1436F1B8">
      <w:pPr>
        <w:snapToGrid w:val="0"/>
        <w:spacing w:before="50" w:afterLines="50" w:line="360" w:lineRule="auto"/>
        <w:ind w:firstLine="560" w:firstLineChars="200"/>
        <w:jc w:val="left"/>
        <w:rPr>
          <w:rFonts w:ascii="宋体" w:hAnsi="宋体" w:cs="宋体"/>
          <w:b/>
          <w:bCs/>
          <w:color w:val="auto"/>
          <w:sz w:val="32"/>
          <w:szCs w:val="32"/>
          <w:highlight w:val="none"/>
        </w:rPr>
      </w:pPr>
      <w:r>
        <w:rPr>
          <w:rFonts w:hint="eastAsia" w:ascii="宋体" w:hAnsi="宋体" w:cs="宋体"/>
          <w:color w:val="auto"/>
          <w:sz w:val="28"/>
          <w:szCs w:val="28"/>
          <w:highlight w:val="none"/>
        </w:rPr>
        <w:t>根据招标文件规定及投标人提供的材料自行编写目录。</w:t>
      </w:r>
    </w:p>
    <w:p w14:paraId="4FFA34CC">
      <w:pPr>
        <w:snapToGrid w:val="0"/>
        <w:spacing w:before="50" w:afterLines="50"/>
        <w:jc w:val="left"/>
        <w:rPr>
          <w:rFonts w:ascii="宋体" w:hAnsi="宋体" w:cs="宋体"/>
          <w:color w:val="auto"/>
          <w:highlight w:val="none"/>
        </w:rPr>
      </w:pPr>
    </w:p>
    <w:p w14:paraId="3BA4777E">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3.部分商务文件格式</w:t>
      </w:r>
    </w:p>
    <w:p w14:paraId="4C8CD8B8">
      <w:pPr>
        <w:snapToGrid w:val="0"/>
        <w:spacing w:beforeLines="50" w:after="50"/>
        <w:jc w:val="left"/>
        <w:rPr>
          <w:rFonts w:ascii="宋体" w:hAnsi="宋体" w:cs="宋体"/>
          <w:b/>
          <w:color w:val="auto"/>
          <w:sz w:val="24"/>
          <w:highlight w:val="none"/>
        </w:rPr>
      </w:pPr>
    </w:p>
    <w:p w14:paraId="2F68A508">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投标人参加本项目无围标串标行为的承诺</w:t>
      </w:r>
    </w:p>
    <w:p w14:paraId="4633CBEA">
      <w:pPr>
        <w:spacing w:line="360" w:lineRule="auto"/>
        <w:ind w:left="420"/>
        <w:contextualSpacing/>
        <w:jc w:val="center"/>
        <w:rPr>
          <w:rFonts w:ascii="宋体" w:hAnsi="宋体" w:cs="宋体"/>
          <w:b/>
          <w:color w:val="auto"/>
          <w:sz w:val="24"/>
          <w:highlight w:val="none"/>
        </w:rPr>
      </w:pPr>
      <w:r>
        <w:rPr>
          <w:rFonts w:hint="eastAsia" w:ascii="宋体" w:hAnsi="宋体" w:cs="宋体"/>
          <w:bCs/>
          <w:color w:val="auto"/>
          <w:spacing w:val="-11"/>
          <w:sz w:val="44"/>
          <w:szCs w:val="44"/>
          <w:highlight w:val="none"/>
        </w:rPr>
        <w:t>投标人参加本项目无围标串标行为的承诺函</w:t>
      </w:r>
    </w:p>
    <w:p w14:paraId="67B67BFD">
      <w:pPr>
        <w:spacing w:line="400" w:lineRule="exact"/>
        <w:contextualSpacing/>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2DDC8E8F">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79418670">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29189DFD">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1522A657">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0A3A321C">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7528D9CC">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62C1B2A4">
      <w:pPr>
        <w:spacing w:line="400" w:lineRule="exact"/>
        <w:contextualSpacing/>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17C0A031">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1.投标人直接或者间接从采购人或者采购代理机构处获得其他投标人的相关信息并修改其投标文件或者响应文件；</w:t>
      </w:r>
    </w:p>
    <w:p w14:paraId="6070EF40">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2.投标人按照采购人或者采购代理机构的授意撤换、修改投标文件或者响应文件；</w:t>
      </w:r>
    </w:p>
    <w:p w14:paraId="48E34A08">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3.投标人之间协商报价、技术方案等投标文件或者响应文件的实质性内容；</w:t>
      </w:r>
    </w:p>
    <w:p w14:paraId="6B8CD9A6">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415CF935">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18643862">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3C040E5D">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01A9346E">
      <w:pPr>
        <w:spacing w:line="400" w:lineRule="exact"/>
        <w:ind w:firstLine="472" w:firstLineChars="196"/>
        <w:contextualSpacing/>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501DC0DC">
      <w:pPr>
        <w:pStyle w:val="25"/>
        <w:spacing w:line="440" w:lineRule="exact"/>
        <w:ind w:firstLine="6840" w:firstLineChars="2850"/>
        <w:contextualSpacing/>
        <w:rPr>
          <w:rFonts w:hAnsi="宋体" w:cs="宋体"/>
          <w:color w:val="auto"/>
          <w:sz w:val="24"/>
          <w:szCs w:val="24"/>
          <w:highlight w:val="none"/>
        </w:rPr>
      </w:pPr>
    </w:p>
    <w:p w14:paraId="6303CD15">
      <w:pPr>
        <w:pStyle w:val="25"/>
        <w:spacing w:line="440" w:lineRule="exact"/>
        <w:contextualSpacing/>
        <w:jc w:val="center"/>
        <w:rPr>
          <w:rFonts w:hAnsi="宋体" w:cs="宋体"/>
          <w:color w:val="auto"/>
          <w:sz w:val="24"/>
          <w:szCs w:val="24"/>
          <w:highlight w:val="none"/>
        </w:rPr>
      </w:pPr>
      <w:r>
        <w:rPr>
          <w:rFonts w:hint="eastAsia" w:hAnsi="宋体" w:cs="宋体"/>
          <w:color w:val="auto"/>
          <w:sz w:val="24"/>
          <w:szCs w:val="24"/>
          <w:highlight w:val="none"/>
        </w:rPr>
        <w:t>投标人名称（电子签章）</w:t>
      </w:r>
    </w:p>
    <w:p w14:paraId="0F3D40FA">
      <w:pPr>
        <w:pStyle w:val="25"/>
        <w:spacing w:line="440" w:lineRule="exact"/>
        <w:ind w:firstLine="4200" w:firstLineChars="1750"/>
        <w:contextualSpacing/>
        <w:rPr>
          <w:rFonts w:hAnsi="宋体" w:cs="宋体"/>
          <w:color w:val="auto"/>
          <w:sz w:val="24"/>
          <w:highlight w:val="none"/>
        </w:rPr>
      </w:pPr>
      <w:r>
        <w:rPr>
          <w:rFonts w:hint="eastAsia" w:hAnsi="宋体" w:cs="宋体"/>
          <w:color w:val="auto"/>
          <w:sz w:val="24"/>
          <w:highlight w:val="none"/>
        </w:rPr>
        <w:t>年   月   日</w:t>
      </w:r>
    </w:p>
    <w:p w14:paraId="7EA0B23D">
      <w:pPr>
        <w:snapToGrid w:val="0"/>
        <w:spacing w:beforeLines="50" w:after="50"/>
        <w:jc w:val="left"/>
        <w:rPr>
          <w:rFonts w:ascii="宋体" w:hAnsi="宋体" w:cs="宋体"/>
          <w:b/>
          <w:color w:val="auto"/>
          <w:sz w:val="24"/>
          <w:highlight w:val="none"/>
        </w:rPr>
      </w:pPr>
    </w:p>
    <w:p w14:paraId="1E22D401">
      <w:pPr>
        <w:snapToGrid w:val="0"/>
        <w:spacing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t>法定代表人身份证明</w:t>
      </w:r>
    </w:p>
    <w:p w14:paraId="6E920731">
      <w:pPr>
        <w:spacing w:beforeLines="100" w:afterLines="50"/>
        <w:ind w:left="54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法定代表人身份证明</w:t>
      </w:r>
    </w:p>
    <w:p w14:paraId="012C813C">
      <w:pPr>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_               </w:t>
      </w:r>
    </w:p>
    <w:p w14:paraId="27E6A993">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_               </w:t>
      </w:r>
    </w:p>
    <w:p w14:paraId="31B7A00C">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_               </w:t>
      </w:r>
    </w:p>
    <w:p w14:paraId="471D0C30">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_               </w:t>
      </w:r>
    </w:p>
    <w:p w14:paraId="108B077F">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_               </w:t>
      </w:r>
    </w:p>
    <w:p w14:paraId="35B51A09">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788C77CA">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5752F888">
      <w:pPr>
        <w:spacing w:line="500" w:lineRule="exact"/>
        <w:ind w:left="540"/>
        <w:rPr>
          <w:rFonts w:ascii="宋体" w:hAnsi="宋体" w:cs="宋体"/>
          <w:color w:val="auto"/>
          <w:sz w:val="24"/>
          <w:highlight w:val="none"/>
        </w:rPr>
      </w:pPr>
    </w:p>
    <w:p w14:paraId="6BC05DB0">
      <w:pPr>
        <w:spacing w:line="500" w:lineRule="exact"/>
        <w:ind w:left="540"/>
        <w:rPr>
          <w:rFonts w:ascii="宋体" w:hAnsi="宋体" w:cs="宋体"/>
          <w:color w:val="auto"/>
          <w:sz w:val="24"/>
          <w:highlight w:val="none"/>
        </w:rPr>
      </w:pPr>
    </w:p>
    <w:p w14:paraId="17BE2F04">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7B37E661">
      <w:pPr>
        <w:spacing w:line="500" w:lineRule="exact"/>
        <w:ind w:left="540"/>
        <w:rPr>
          <w:rFonts w:ascii="宋体" w:hAnsi="宋体" w:cs="宋体"/>
          <w:color w:val="auto"/>
          <w:sz w:val="24"/>
          <w:highlight w:val="none"/>
        </w:rPr>
      </w:pPr>
    </w:p>
    <w:p w14:paraId="7E7B7F3B">
      <w:pPr>
        <w:spacing w:line="500" w:lineRule="exact"/>
        <w:ind w:left="540"/>
        <w:jc w:val="right"/>
        <w:rPr>
          <w:rFonts w:ascii="宋体" w:hAnsi="宋体" w:cs="宋体"/>
          <w:color w:val="auto"/>
          <w:sz w:val="24"/>
          <w:highlight w:val="none"/>
        </w:rPr>
      </w:pPr>
      <w:r>
        <w:rPr>
          <w:rFonts w:hint="eastAsia" w:ascii="宋体" w:hAnsi="宋体" w:cs="宋体"/>
          <w:color w:val="auto"/>
          <w:sz w:val="24"/>
          <w:highlight w:val="none"/>
        </w:rPr>
        <w:t>投标人名称（电子签章）</w:t>
      </w:r>
    </w:p>
    <w:p w14:paraId="5450662C">
      <w:pPr>
        <w:spacing w:line="500" w:lineRule="exact"/>
        <w:ind w:left="540"/>
        <w:jc w:val="right"/>
        <w:rPr>
          <w:rFonts w:ascii="宋体" w:hAnsi="宋体" w:cs="宋体"/>
          <w:color w:val="auto"/>
          <w:sz w:val="24"/>
          <w:highlight w:val="none"/>
        </w:rPr>
      </w:pPr>
    </w:p>
    <w:p w14:paraId="519E3168">
      <w:pPr>
        <w:wordWrap w:val="0"/>
        <w:snapToGrid w:val="0"/>
        <w:spacing w:beforeLines="50" w:after="50"/>
        <w:ind w:left="540"/>
        <w:jc w:val="right"/>
        <w:rPr>
          <w:rFonts w:ascii="宋体" w:hAnsi="宋体" w:cs="宋体"/>
          <w:color w:val="auto"/>
          <w:sz w:val="24"/>
          <w:highlight w:val="none"/>
        </w:rPr>
      </w:pPr>
      <w:r>
        <w:rPr>
          <w:rFonts w:hint="eastAsia" w:ascii="宋体" w:hAnsi="宋体" w:cs="宋体"/>
          <w:color w:val="auto"/>
          <w:sz w:val="24"/>
          <w:highlight w:val="none"/>
        </w:rPr>
        <w:t>年  月  日</w:t>
      </w:r>
    </w:p>
    <w:p w14:paraId="630FB2D0">
      <w:pPr>
        <w:snapToGrid w:val="0"/>
        <w:spacing w:beforeLines="50" w:after="50"/>
        <w:jc w:val="center"/>
        <w:rPr>
          <w:rFonts w:ascii="宋体" w:hAnsi="宋体" w:cs="宋体"/>
          <w:b/>
          <w:color w:val="auto"/>
          <w:sz w:val="24"/>
          <w:highlight w:val="none"/>
        </w:rPr>
      </w:pPr>
    </w:p>
    <w:p w14:paraId="7D00E9EB">
      <w:pPr>
        <w:snapToGrid w:val="0"/>
        <w:spacing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522E5BFF">
      <w:pPr>
        <w:snapToGrid w:val="0"/>
        <w:spacing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授权委托书格式</w:t>
      </w:r>
    </w:p>
    <w:p w14:paraId="4D0A894C">
      <w:pPr>
        <w:snapToGrid w:val="0"/>
        <w:spacing w:beforeLines="50" w:after="50"/>
        <w:jc w:val="center"/>
        <w:rPr>
          <w:rFonts w:ascii="宋体" w:hAnsi="宋体" w:cs="宋体"/>
          <w:b/>
          <w:color w:val="auto"/>
          <w:sz w:val="44"/>
          <w:szCs w:val="44"/>
          <w:highlight w:val="none"/>
        </w:rPr>
      </w:pPr>
    </w:p>
    <w:p w14:paraId="2289D2FE">
      <w:pPr>
        <w:spacing w:line="360" w:lineRule="auto"/>
        <w:contextualSpacing/>
        <w:jc w:val="center"/>
        <w:rPr>
          <w:rFonts w:ascii="宋体" w:hAnsi="宋体" w:cs="宋体"/>
          <w:bCs/>
          <w:color w:val="auto"/>
          <w:sz w:val="44"/>
          <w:szCs w:val="44"/>
          <w:highlight w:val="none"/>
        </w:rPr>
      </w:pPr>
      <w:r>
        <w:rPr>
          <w:rFonts w:hint="eastAsia" w:ascii="宋体" w:hAnsi="宋体" w:cs="宋体"/>
          <w:bCs/>
          <w:color w:val="auto"/>
          <w:sz w:val="44"/>
          <w:szCs w:val="44"/>
          <w:highlight w:val="none"/>
        </w:rPr>
        <w:t>授权委托书</w:t>
      </w:r>
    </w:p>
    <w:p w14:paraId="42959913">
      <w:pPr>
        <w:spacing w:line="360" w:lineRule="auto"/>
        <w:contextualSpacing/>
        <w:jc w:val="center"/>
        <w:rPr>
          <w:rFonts w:ascii="宋体" w:hAnsi="宋体" w:cs="宋体"/>
          <w:bCs/>
          <w:color w:val="auto"/>
          <w:sz w:val="32"/>
          <w:szCs w:val="32"/>
          <w:highlight w:val="none"/>
        </w:rPr>
      </w:pPr>
      <w:r>
        <w:rPr>
          <w:rFonts w:hint="eastAsia" w:ascii="宋体" w:hAnsi="宋体" w:cs="宋体"/>
          <w:bCs/>
          <w:color w:val="auto"/>
          <w:sz w:val="32"/>
          <w:szCs w:val="32"/>
          <w:highlight w:val="none"/>
        </w:rPr>
        <w:t>（非联合体投标格式）</w:t>
      </w:r>
    </w:p>
    <w:p w14:paraId="571160F7">
      <w:pPr>
        <w:spacing w:line="360" w:lineRule="auto"/>
        <w:contextualSpacing/>
        <w:jc w:val="center"/>
        <w:rPr>
          <w:rFonts w:ascii="宋体" w:hAnsi="宋体" w:cs="宋体"/>
          <w:bCs/>
          <w:color w:val="auto"/>
          <w:sz w:val="24"/>
          <w:highlight w:val="none"/>
        </w:rPr>
      </w:pPr>
      <w:r>
        <w:rPr>
          <w:rFonts w:hint="eastAsia" w:ascii="宋体" w:hAnsi="宋体" w:cs="宋体"/>
          <w:bCs/>
          <w:color w:val="auto"/>
          <w:sz w:val="32"/>
          <w:szCs w:val="32"/>
          <w:highlight w:val="none"/>
        </w:rPr>
        <w:t>（如有委托时）</w:t>
      </w:r>
    </w:p>
    <w:p w14:paraId="3A13E843">
      <w:pPr>
        <w:spacing w:line="440" w:lineRule="exact"/>
        <w:contextualSpacing/>
        <w:jc w:val="center"/>
        <w:rPr>
          <w:rFonts w:ascii="宋体" w:hAnsi="宋体" w:cs="宋体"/>
          <w:b/>
          <w:color w:val="auto"/>
          <w:sz w:val="24"/>
          <w:highlight w:val="none"/>
        </w:rPr>
      </w:pPr>
    </w:p>
    <w:p w14:paraId="1824CD40">
      <w:pPr>
        <w:spacing w:line="440" w:lineRule="exact"/>
        <w:contextualSpacing/>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23C66909">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我（姓名）</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以我方的名义参加项目的投标活动，并代表我方全权办理针对上述项目的所有采购程序和环节的具体事务和签署相关文件。</w:t>
      </w:r>
    </w:p>
    <w:p w14:paraId="0222E052">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 xml:space="preserve">    我方对委托代理人的签字或者电子签名事项负全部责任。</w:t>
      </w:r>
    </w:p>
    <w:p w14:paraId="343A4DED">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3D3FB9DA">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18E1EF4">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7DBC7292">
      <w:pPr>
        <w:spacing w:line="440" w:lineRule="exact"/>
        <w:contextualSpacing/>
        <w:rPr>
          <w:rFonts w:ascii="宋体" w:hAnsi="宋体" w:cs="宋体"/>
          <w:color w:val="auto"/>
          <w:sz w:val="24"/>
          <w:highlight w:val="none"/>
        </w:rPr>
      </w:pPr>
    </w:p>
    <w:p w14:paraId="59F10240">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委托代理人（签字或者电子签名）：</w:t>
      </w:r>
    </w:p>
    <w:p w14:paraId="70980DD9">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委托代理人身份证号码：</w:t>
      </w:r>
    </w:p>
    <w:p w14:paraId="1A542451">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法定代表人（签字或者盖章或者电子签名）：</w:t>
      </w:r>
    </w:p>
    <w:p w14:paraId="56083236">
      <w:pPr>
        <w:spacing w:line="440" w:lineRule="exact"/>
        <w:contextualSpacing/>
        <w:rPr>
          <w:rFonts w:ascii="宋体" w:hAnsi="宋体" w:cs="宋体"/>
          <w:color w:val="auto"/>
          <w:sz w:val="24"/>
          <w:highlight w:val="none"/>
        </w:rPr>
      </w:pPr>
    </w:p>
    <w:p w14:paraId="19D9B574">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CA98D30">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3A29887B">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注：1.</w:t>
      </w:r>
      <w:bookmarkStart w:id="161" w:name="_Hlk65851555"/>
      <w:bookmarkStart w:id="162" w:name="_Hlk65851620"/>
      <w:r>
        <w:rPr>
          <w:rFonts w:hint="eastAsia" w:ascii="宋体" w:hAnsi="宋体" w:cs="宋体"/>
          <w:color w:val="auto"/>
          <w:sz w:val="24"/>
          <w:highlight w:val="none"/>
        </w:rPr>
        <w:t>法定代表人必须在授权委托书上签字或者盖章或者电子签名，</w:t>
      </w:r>
      <w:bookmarkEnd w:id="161"/>
      <w:r>
        <w:rPr>
          <w:rFonts w:hint="eastAsia" w:ascii="宋体" w:hAnsi="宋体" w:cs="宋体"/>
          <w:color w:val="auto"/>
          <w:sz w:val="24"/>
          <w:highlight w:val="none"/>
        </w:rPr>
        <w:t>委托代理人必须在授权委托书上签字或者电子签名，</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bookmarkEnd w:id="162"/>
    </w:p>
    <w:p w14:paraId="58700712">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14:paraId="084D587D">
      <w:pPr>
        <w:snapToGrid w:val="0"/>
        <w:spacing w:beforeLines="50" w:after="50"/>
        <w:ind w:firstLine="566" w:firstLineChars="236"/>
        <w:jc w:val="center"/>
        <w:rPr>
          <w:rFonts w:ascii="宋体" w:hAnsi="宋体" w:cs="宋体"/>
          <w:color w:val="auto"/>
          <w:sz w:val="44"/>
          <w:szCs w:val="44"/>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授权委托书</w:t>
      </w:r>
    </w:p>
    <w:p w14:paraId="1E3FBCF9">
      <w:pPr>
        <w:snapToGrid w:val="0"/>
        <w:spacing w:beforeLines="50" w:after="50"/>
        <w:ind w:firstLine="755" w:firstLineChars="236"/>
        <w:jc w:val="center"/>
        <w:rPr>
          <w:rFonts w:ascii="宋体" w:hAnsi="宋体" w:cs="宋体"/>
          <w:color w:val="auto"/>
          <w:sz w:val="32"/>
          <w:szCs w:val="32"/>
          <w:highlight w:val="none"/>
        </w:rPr>
      </w:pPr>
      <w:r>
        <w:rPr>
          <w:rFonts w:hint="eastAsia" w:ascii="宋体" w:hAnsi="宋体" w:cs="宋体"/>
          <w:color w:val="auto"/>
          <w:sz w:val="32"/>
          <w:szCs w:val="32"/>
          <w:highlight w:val="none"/>
        </w:rPr>
        <w:t>（联合体投标格式）</w:t>
      </w:r>
    </w:p>
    <w:p w14:paraId="212E6A5C">
      <w:pPr>
        <w:snapToGrid w:val="0"/>
        <w:spacing w:beforeLines="50" w:after="50"/>
        <w:ind w:firstLine="755" w:firstLineChars="236"/>
        <w:jc w:val="center"/>
        <w:rPr>
          <w:rFonts w:ascii="宋体" w:hAnsi="宋体" w:cs="宋体"/>
          <w:color w:val="auto"/>
          <w:sz w:val="24"/>
          <w:highlight w:val="none"/>
        </w:rPr>
      </w:pPr>
      <w:r>
        <w:rPr>
          <w:rFonts w:hint="eastAsia" w:ascii="宋体" w:hAnsi="宋体" w:cs="宋体"/>
          <w:color w:val="auto"/>
          <w:sz w:val="32"/>
          <w:szCs w:val="32"/>
          <w:highlight w:val="none"/>
        </w:rPr>
        <w:t>（如有委托时）</w:t>
      </w:r>
    </w:p>
    <w:p w14:paraId="2C257863">
      <w:pPr>
        <w:spacing w:line="440" w:lineRule="exact"/>
        <w:contextualSpacing/>
        <w:jc w:val="left"/>
        <w:rPr>
          <w:rFonts w:ascii="宋体" w:hAnsi="宋体" w:cs="宋体"/>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6A8BEE4">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 xml:space="preserve">根据 </w:t>
      </w:r>
      <w:r>
        <w:rPr>
          <w:rFonts w:hint="eastAsia" w:ascii="宋体" w:hAnsi="宋体" w:cs="宋体"/>
          <w:color w:val="auto"/>
          <w:sz w:val="24"/>
          <w:highlight w:val="none"/>
          <w:u w:val="single"/>
        </w:rPr>
        <w:t xml:space="preserve"> （牵头人名称）</w:t>
      </w:r>
      <w:r>
        <w:rPr>
          <w:rFonts w:hint="eastAsia" w:ascii="宋体" w:hAnsi="宋体" w:cs="宋体"/>
          <w:color w:val="auto"/>
          <w:sz w:val="24"/>
          <w:highlight w:val="none"/>
        </w:rPr>
        <w:t>与</w:t>
      </w:r>
      <w:r>
        <w:rPr>
          <w:rFonts w:hint="eastAsia" w:ascii="宋体" w:hAnsi="宋体" w:cs="宋体"/>
          <w:color w:val="auto"/>
          <w:sz w:val="24"/>
          <w:highlight w:val="none"/>
          <w:u w:val="single"/>
        </w:rPr>
        <w:t>（联合体其他成员名称）</w:t>
      </w:r>
      <w:r>
        <w:rPr>
          <w:rFonts w:hint="eastAsia" w:ascii="宋体" w:hAnsi="宋体" w:cs="宋体"/>
          <w:color w:val="auto"/>
          <w:sz w:val="24"/>
          <w:highlight w:val="none"/>
        </w:rPr>
        <w:t>签订的《联合体投标协议书》的内容，</w:t>
      </w:r>
      <w:r>
        <w:rPr>
          <w:rFonts w:hint="eastAsia" w:ascii="宋体" w:hAnsi="宋体" w:cs="宋体"/>
          <w:color w:val="auto"/>
          <w:sz w:val="24"/>
          <w:highlight w:val="none"/>
          <w:u w:val="single"/>
        </w:rPr>
        <w:t>（牵头人名称）</w:t>
      </w:r>
      <w:r>
        <w:rPr>
          <w:rFonts w:hint="eastAsia" w:ascii="宋体" w:hAnsi="宋体" w:cs="宋体"/>
          <w:color w:val="auto"/>
          <w:sz w:val="24"/>
          <w:highlight w:val="none"/>
        </w:rPr>
        <w:t>的法定代表人</w:t>
      </w:r>
      <w:r>
        <w:rPr>
          <w:rFonts w:hint="eastAsia" w:ascii="宋体" w:hAnsi="宋体" w:cs="宋体"/>
          <w:color w:val="auto"/>
          <w:sz w:val="24"/>
          <w:highlight w:val="none"/>
          <w:u w:val="single"/>
        </w:rPr>
        <w:t>（姓名）</w:t>
      </w:r>
      <w:r>
        <w:rPr>
          <w:rFonts w:hint="eastAsia" w:ascii="宋体" w:hAnsi="宋体" w:cs="宋体"/>
          <w:color w:val="auto"/>
          <w:sz w:val="24"/>
          <w:highlight w:val="none"/>
        </w:rPr>
        <w:t>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以我方的名义参加项目的投标活动，并代表我方全权办理针对上述项目的所有采购程序和环节的具体事务和签署相关文件。</w:t>
      </w:r>
    </w:p>
    <w:p w14:paraId="20B940CF">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我方对委托代理人的签字或者电子签名事项负全部责任。</w:t>
      </w:r>
    </w:p>
    <w:p w14:paraId="4DAC6424">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3C012DAD">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1F983670">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附：牵头人法定代表人身份证明及委托代理人有效身份证正反面复印件</w:t>
      </w:r>
    </w:p>
    <w:p w14:paraId="57711B05">
      <w:pPr>
        <w:spacing w:line="440" w:lineRule="exact"/>
        <w:ind w:firstLine="566" w:firstLineChars="236"/>
        <w:contextualSpacing/>
        <w:rPr>
          <w:rFonts w:ascii="宋体" w:hAnsi="宋体" w:cs="宋体"/>
          <w:color w:val="auto"/>
          <w:sz w:val="24"/>
          <w:highlight w:val="none"/>
        </w:rPr>
      </w:pPr>
    </w:p>
    <w:p w14:paraId="0D65F48A">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牵头人法定代表人（签字或者盖章或者电子签名）：</w:t>
      </w:r>
    </w:p>
    <w:p w14:paraId="260E416B">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牵头人（电子签章）：</w:t>
      </w:r>
    </w:p>
    <w:p w14:paraId="4EE1DD16">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75E43930">
      <w:pPr>
        <w:spacing w:line="440" w:lineRule="exact"/>
        <w:ind w:firstLine="566" w:firstLineChars="236"/>
        <w:contextualSpacing/>
        <w:rPr>
          <w:rFonts w:ascii="宋体" w:hAnsi="宋体" w:cs="宋体"/>
          <w:color w:val="auto"/>
          <w:sz w:val="24"/>
          <w:highlight w:val="none"/>
        </w:rPr>
      </w:pPr>
    </w:p>
    <w:p w14:paraId="7F5A7843">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被授权人（签字或者电子签名）：</w:t>
      </w:r>
    </w:p>
    <w:p w14:paraId="69A29EF1">
      <w:pPr>
        <w:spacing w:line="440" w:lineRule="exact"/>
        <w:ind w:firstLine="566" w:firstLineChars="236"/>
        <w:contextualSpacing/>
        <w:rPr>
          <w:rFonts w:ascii="宋体" w:hAnsi="宋体" w:cs="宋体"/>
          <w:color w:val="auto"/>
          <w:sz w:val="32"/>
          <w:szCs w:val="32"/>
          <w:highlight w:val="none"/>
        </w:rPr>
      </w:pPr>
      <w:r>
        <w:rPr>
          <w:rFonts w:hint="eastAsia" w:ascii="宋体" w:hAnsi="宋体" w:cs="宋体"/>
          <w:color w:val="auto"/>
          <w:sz w:val="24"/>
          <w:highlight w:val="none"/>
        </w:rPr>
        <w:t>日期：    年   月   日</w:t>
      </w:r>
    </w:p>
    <w:p w14:paraId="6BD0E3E8">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注：1.法定代表人必须在授权委托书上签字或者盖章或者电子签名，委托代理人必须在授权委托书上签字或者电子签名，</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p>
    <w:p w14:paraId="4EEA2270">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14:paraId="5C180654">
      <w:pPr>
        <w:snapToGrid w:val="0"/>
        <w:spacing w:before="50" w:afterLines="50"/>
        <w:jc w:val="left"/>
        <w:rPr>
          <w:rFonts w:ascii="宋体" w:hAnsi="宋体" w:cs="宋体"/>
          <w:color w:val="auto"/>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992" w:gutter="0"/>
          <w:pgNumType w:start="0"/>
          <w:cols w:space="720" w:num="1"/>
          <w:titlePg/>
          <w:docGrid w:linePitch="312" w:charSpace="0"/>
        </w:sectPr>
      </w:pPr>
    </w:p>
    <w:p w14:paraId="05D196CD">
      <w:pPr>
        <w:rPr>
          <w:rFonts w:ascii="宋体" w:hAnsi="宋体" w:cs="宋体"/>
          <w:color w:val="auto"/>
          <w:sz w:val="24"/>
          <w:highlight w:val="none"/>
        </w:rPr>
      </w:pPr>
    </w:p>
    <w:p w14:paraId="1C905D93">
      <w:pPr>
        <w:rPr>
          <w:rFonts w:ascii="宋体" w:hAnsi="宋体" w:cs="宋体"/>
          <w:b/>
          <w:color w:val="auto"/>
          <w:sz w:val="24"/>
          <w:szCs w:val="20"/>
          <w:highlight w:val="none"/>
        </w:rPr>
      </w:pPr>
      <w:r>
        <w:rPr>
          <w:rFonts w:hint="eastAsia" w:ascii="宋体" w:hAnsi="宋体" w:cs="宋体"/>
          <w:b/>
          <w:color w:val="auto"/>
          <w:sz w:val="24"/>
          <w:highlight w:val="none"/>
        </w:rPr>
        <w:t>商务要求承诺响应表格式</w:t>
      </w:r>
    </w:p>
    <w:p w14:paraId="15D36035">
      <w:pPr>
        <w:snapToGrid w:val="0"/>
        <w:spacing w:before="50"/>
        <w:jc w:val="left"/>
        <w:rPr>
          <w:rFonts w:ascii="宋体" w:hAnsi="宋体" w:cs="宋体"/>
          <w:color w:val="auto"/>
          <w:sz w:val="24"/>
          <w:highlight w:val="none"/>
        </w:rPr>
      </w:pPr>
    </w:p>
    <w:tbl>
      <w:tblPr>
        <w:tblStyle w:val="4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2"/>
        <w:gridCol w:w="5495"/>
      </w:tblGrid>
      <w:tr w14:paraId="463A0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2552" w:type="dxa"/>
            <w:tcBorders>
              <w:top w:val="single" w:color="auto" w:sz="4" w:space="0"/>
              <w:left w:val="single" w:color="auto" w:sz="4" w:space="0"/>
              <w:bottom w:val="single" w:color="auto" w:sz="4" w:space="0"/>
              <w:right w:val="single" w:color="auto" w:sz="4" w:space="0"/>
            </w:tcBorders>
            <w:vAlign w:val="center"/>
          </w:tcPr>
          <w:p w14:paraId="3542F4F9">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5495" w:type="dxa"/>
            <w:tcBorders>
              <w:top w:val="single" w:color="auto" w:sz="4" w:space="0"/>
              <w:left w:val="single" w:color="auto" w:sz="4" w:space="0"/>
              <w:bottom w:val="single" w:color="auto" w:sz="4" w:space="0"/>
              <w:right w:val="single" w:color="auto" w:sz="4" w:space="0"/>
            </w:tcBorders>
            <w:vAlign w:val="center"/>
          </w:tcPr>
          <w:p w14:paraId="42EB10C9">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投标人对应“招标文件商务要求”的详细承诺响应</w:t>
            </w:r>
          </w:p>
        </w:tc>
      </w:tr>
      <w:tr w14:paraId="78685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2552" w:type="dxa"/>
            <w:tcBorders>
              <w:top w:val="single" w:color="auto" w:sz="4" w:space="0"/>
              <w:left w:val="single" w:color="auto" w:sz="4" w:space="0"/>
              <w:bottom w:val="single" w:color="auto" w:sz="4" w:space="0"/>
              <w:right w:val="single" w:color="auto" w:sz="4" w:space="0"/>
            </w:tcBorders>
            <w:vAlign w:val="center"/>
          </w:tcPr>
          <w:p w14:paraId="61C84AF6">
            <w:pPr>
              <w:snapToGrid w:val="0"/>
              <w:spacing w:beforeLines="50"/>
              <w:jc w:val="center"/>
              <w:rPr>
                <w:rFonts w:ascii="宋体" w:hAnsi="宋体" w:eastAsia="宋体" w:cs="宋体"/>
                <w:color w:val="auto"/>
                <w:sz w:val="24"/>
                <w:highlight w:val="none"/>
              </w:rPr>
            </w:pPr>
            <w:r>
              <w:rPr>
                <w:rFonts w:hint="eastAsia" w:ascii="宋体" w:hAnsi="宋体" w:eastAsia="宋体" w:cs="宋体"/>
                <w:color w:val="auto"/>
                <w:sz w:val="24"/>
                <w:highlight w:val="none"/>
              </w:rPr>
              <w:t>（一）售后服务基本要求</w:t>
            </w:r>
          </w:p>
        </w:tc>
        <w:tc>
          <w:tcPr>
            <w:tcW w:w="5495" w:type="dxa"/>
            <w:tcBorders>
              <w:top w:val="single" w:color="auto" w:sz="4" w:space="0"/>
              <w:left w:val="single" w:color="auto" w:sz="4" w:space="0"/>
              <w:bottom w:val="single" w:color="auto" w:sz="4" w:space="0"/>
              <w:right w:val="single" w:color="auto" w:sz="4" w:space="0"/>
            </w:tcBorders>
          </w:tcPr>
          <w:p w14:paraId="6FF0C75B">
            <w:pPr>
              <w:snapToGrid w:val="0"/>
              <w:spacing w:beforeLines="50"/>
              <w:jc w:val="center"/>
              <w:rPr>
                <w:rFonts w:ascii="宋体" w:hAnsi="宋体" w:cs="宋体"/>
                <w:color w:val="auto"/>
                <w:sz w:val="24"/>
                <w:highlight w:val="none"/>
              </w:rPr>
            </w:pPr>
          </w:p>
        </w:tc>
      </w:tr>
      <w:tr w14:paraId="7530A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2552" w:type="dxa"/>
            <w:tcBorders>
              <w:top w:val="single" w:color="auto" w:sz="4" w:space="0"/>
              <w:left w:val="single" w:color="auto" w:sz="4" w:space="0"/>
              <w:bottom w:val="single" w:color="auto" w:sz="4" w:space="0"/>
              <w:right w:val="single" w:color="auto" w:sz="4" w:space="0"/>
            </w:tcBorders>
            <w:vAlign w:val="center"/>
          </w:tcPr>
          <w:p w14:paraId="2C31F8AC">
            <w:pPr>
              <w:snapToGrid w:val="0"/>
              <w:spacing w:beforeLines="50"/>
              <w:jc w:val="center"/>
              <w:rPr>
                <w:rFonts w:ascii="宋体" w:hAnsi="宋体" w:eastAsia="宋体" w:cs="宋体"/>
                <w:color w:val="auto"/>
                <w:sz w:val="24"/>
                <w:highlight w:val="none"/>
              </w:rPr>
            </w:pPr>
            <w:r>
              <w:rPr>
                <w:rFonts w:hint="eastAsia" w:ascii="宋体" w:hAnsi="宋体" w:eastAsia="宋体" w:cs="宋体"/>
                <w:color w:val="auto"/>
                <w:sz w:val="24"/>
                <w:highlight w:val="none"/>
              </w:rPr>
              <w:t>（二）合同签订时间</w:t>
            </w:r>
          </w:p>
        </w:tc>
        <w:tc>
          <w:tcPr>
            <w:tcW w:w="5495" w:type="dxa"/>
            <w:tcBorders>
              <w:top w:val="single" w:color="auto" w:sz="4" w:space="0"/>
              <w:left w:val="single" w:color="auto" w:sz="4" w:space="0"/>
              <w:bottom w:val="single" w:color="auto" w:sz="4" w:space="0"/>
              <w:right w:val="single" w:color="auto" w:sz="4" w:space="0"/>
            </w:tcBorders>
          </w:tcPr>
          <w:p w14:paraId="0E679273">
            <w:pPr>
              <w:snapToGrid w:val="0"/>
              <w:spacing w:beforeLines="50"/>
              <w:ind w:left="43"/>
              <w:jc w:val="center"/>
              <w:rPr>
                <w:rFonts w:ascii="宋体" w:hAnsi="宋体" w:cs="宋体"/>
                <w:color w:val="auto"/>
                <w:sz w:val="24"/>
                <w:highlight w:val="none"/>
              </w:rPr>
            </w:pPr>
          </w:p>
        </w:tc>
      </w:tr>
      <w:tr w14:paraId="16098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2552" w:type="dxa"/>
            <w:tcBorders>
              <w:top w:val="single" w:color="auto" w:sz="4" w:space="0"/>
              <w:left w:val="single" w:color="auto" w:sz="4" w:space="0"/>
              <w:bottom w:val="single" w:color="auto" w:sz="4" w:space="0"/>
              <w:right w:val="single" w:color="auto" w:sz="4" w:space="0"/>
            </w:tcBorders>
            <w:vAlign w:val="center"/>
          </w:tcPr>
          <w:p w14:paraId="22F47573">
            <w:pPr>
              <w:snapToGrid w:val="0"/>
              <w:spacing w:beforeLines="50"/>
              <w:jc w:val="center"/>
              <w:rPr>
                <w:rFonts w:ascii="宋体" w:hAnsi="宋体" w:eastAsia="宋体" w:cs="宋体"/>
                <w:color w:val="auto"/>
                <w:sz w:val="24"/>
                <w:highlight w:val="none"/>
              </w:rPr>
            </w:pPr>
            <w:r>
              <w:rPr>
                <w:rFonts w:hint="eastAsia" w:ascii="宋体" w:hAnsi="宋体" w:eastAsia="宋体" w:cs="宋体"/>
                <w:color w:val="auto"/>
                <w:sz w:val="24"/>
                <w:highlight w:val="none"/>
              </w:rPr>
              <w:t>（三）交付时间和地点</w:t>
            </w:r>
          </w:p>
        </w:tc>
        <w:tc>
          <w:tcPr>
            <w:tcW w:w="5495" w:type="dxa"/>
            <w:tcBorders>
              <w:top w:val="single" w:color="auto" w:sz="4" w:space="0"/>
              <w:left w:val="single" w:color="auto" w:sz="4" w:space="0"/>
              <w:bottom w:val="single" w:color="auto" w:sz="4" w:space="0"/>
              <w:right w:val="single" w:color="auto" w:sz="4" w:space="0"/>
            </w:tcBorders>
          </w:tcPr>
          <w:p w14:paraId="0AE23A7F">
            <w:pPr>
              <w:snapToGrid w:val="0"/>
              <w:spacing w:beforeLines="50"/>
              <w:jc w:val="center"/>
              <w:rPr>
                <w:rFonts w:ascii="宋体" w:hAnsi="宋体" w:cs="宋体"/>
                <w:color w:val="auto"/>
                <w:sz w:val="24"/>
                <w:highlight w:val="none"/>
              </w:rPr>
            </w:pPr>
          </w:p>
        </w:tc>
      </w:tr>
      <w:tr w14:paraId="417D5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2552" w:type="dxa"/>
            <w:tcBorders>
              <w:top w:val="single" w:color="auto" w:sz="4" w:space="0"/>
              <w:left w:val="single" w:color="auto" w:sz="4" w:space="0"/>
              <w:bottom w:val="single" w:color="auto" w:sz="4" w:space="0"/>
              <w:right w:val="single" w:color="auto" w:sz="4" w:space="0"/>
            </w:tcBorders>
            <w:vAlign w:val="center"/>
          </w:tcPr>
          <w:p w14:paraId="2A85F924">
            <w:pPr>
              <w:snapToGrid w:val="0"/>
              <w:spacing w:beforeLines="50"/>
              <w:jc w:val="center"/>
              <w:rPr>
                <w:rFonts w:ascii="宋体" w:hAnsi="宋体" w:eastAsia="宋体" w:cs="宋体"/>
                <w:color w:val="auto"/>
                <w:sz w:val="24"/>
                <w:highlight w:val="none"/>
              </w:rPr>
            </w:pPr>
            <w:r>
              <w:rPr>
                <w:rFonts w:hint="eastAsia" w:ascii="宋体" w:hAnsi="宋体" w:eastAsia="宋体" w:cs="宋体"/>
                <w:color w:val="auto"/>
                <w:sz w:val="24"/>
                <w:highlight w:val="none"/>
              </w:rPr>
              <w:t>（四）付款方式</w:t>
            </w:r>
          </w:p>
        </w:tc>
        <w:tc>
          <w:tcPr>
            <w:tcW w:w="5495" w:type="dxa"/>
            <w:tcBorders>
              <w:top w:val="single" w:color="auto" w:sz="4" w:space="0"/>
              <w:left w:val="single" w:color="auto" w:sz="4" w:space="0"/>
              <w:bottom w:val="single" w:color="auto" w:sz="4" w:space="0"/>
              <w:right w:val="single" w:color="auto" w:sz="4" w:space="0"/>
            </w:tcBorders>
          </w:tcPr>
          <w:p w14:paraId="4A5B63BA">
            <w:pPr>
              <w:snapToGrid w:val="0"/>
              <w:spacing w:beforeLines="50"/>
              <w:jc w:val="center"/>
              <w:rPr>
                <w:rFonts w:ascii="宋体" w:hAnsi="宋体" w:cs="宋体"/>
                <w:color w:val="auto"/>
                <w:sz w:val="24"/>
                <w:highlight w:val="none"/>
              </w:rPr>
            </w:pPr>
          </w:p>
        </w:tc>
      </w:tr>
      <w:tr w14:paraId="5C2D5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2552" w:type="dxa"/>
            <w:tcBorders>
              <w:top w:val="single" w:color="auto" w:sz="4" w:space="0"/>
              <w:left w:val="single" w:color="auto" w:sz="4" w:space="0"/>
              <w:bottom w:val="single" w:color="auto" w:sz="4" w:space="0"/>
              <w:right w:val="single" w:color="auto" w:sz="4" w:space="0"/>
            </w:tcBorders>
            <w:vAlign w:val="center"/>
          </w:tcPr>
          <w:p w14:paraId="6B1D2301">
            <w:pPr>
              <w:snapToGrid w:val="0"/>
              <w:spacing w:beforeLines="50"/>
              <w:jc w:val="center"/>
              <w:rPr>
                <w:rFonts w:ascii="宋体" w:hAnsi="宋体" w:eastAsia="宋体" w:cs="宋体"/>
                <w:color w:val="auto"/>
                <w:sz w:val="24"/>
                <w:highlight w:val="none"/>
              </w:rPr>
            </w:pPr>
            <w:r>
              <w:rPr>
                <w:rFonts w:hint="eastAsia" w:ascii="宋体" w:hAnsi="宋体" w:eastAsia="宋体" w:cs="宋体"/>
                <w:color w:val="auto"/>
                <w:sz w:val="24"/>
                <w:highlight w:val="none"/>
              </w:rPr>
              <w:t>（五）包装和运输</w:t>
            </w:r>
          </w:p>
        </w:tc>
        <w:tc>
          <w:tcPr>
            <w:tcW w:w="5495" w:type="dxa"/>
            <w:tcBorders>
              <w:top w:val="single" w:color="auto" w:sz="4" w:space="0"/>
              <w:left w:val="single" w:color="auto" w:sz="4" w:space="0"/>
              <w:bottom w:val="single" w:color="auto" w:sz="4" w:space="0"/>
              <w:right w:val="single" w:color="auto" w:sz="4" w:space="0"/>
            </w:tcBorders>
          </w:tcPr>
          <w:p w14:paraId="050BFAD6">
            <w:pPr>
              <w:snapToGrid w:val="0"/>
              <w:spacing w:beforeLines="50"/>
              <w:jc w:val="center"/>
              <w:rPr>
                <w:rFonts w:ascii="宋体" w:hAnsi="宋体" w:cs="宋体"/>
                <w:color w:val="auto"/>
                <w:sz w:val="24"/>
                <w:highlight w:val="none"/>
              </w:rPr>
            </w:pPr>
          </w:p>
        </w:tc>
      </w:tr>
      <w:tr w14:paraId="6D8EA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2552" w:type="dxa"/>
            <w:tcBorders>
              <w:top w:val="single" w:color="auto" w:sz="4" w:space="0"/>
              <w:left w:val="single" w:color="auto" w:sz="4" w:space="0"/>
              <w:bottom w:val="single" w:color="auto" w:sz="4" w:space="0"/>
              <w:right w:val="single" w:color="auto" w:sz="4" w:space="0"/>
            </w:tcBorders>
            <w:vAlign w:val="center"/>
          </w:tcPr>
          <w:p w14:paraId="608A8BFE">
            <w:pPr>
              <w:snapToGrid w:val="0"/>
              <w:spacing w:beforeLines="50"/>
              <w:jc w:val="center"/>
              <w:rPr>
                <w:rFonts w:ascii="宋体" w:hAnsi="宋体" w:eastAsia="宋体" w:cs="宋体"/>
                <w:color w:val="auto"/>
                <w:sz w:val="24"/>
                <w:highlight w:val="none"/>
              </w:rPr>
            </w:pPr>
            <w:r>
              <w:rPr>
                <w:rFonts w:hint="eastAsia" w:ascii="宋体" w:hAnsi="宋体" w:eastAsia="宋体" w:cs="宋体"/>
                <w:color w:val="auto"/>
                <w:sz w:val="24"/>
                <w:highlight w:val="none"/>
              </w:rPr>
              <w:t>（六）保险</w:t>
            </w:r>
          </w:p>
        </w:tc>
        <w:tc>
          <w:tcPr>
            <w:tcW w:w="5495" w:type="dxa"/>
            <w:tcBorders>
              <w:top w:val="single" w:color="auto" w:sz="4" w:space="0"/>
              <w:left w:val="single" w:color="auto" w:sz="4" w:space="0"/>
              <w:bottom w:val="single" w:color="auto" w:sz="4" w:space="0"/>
              <w:right w:val="single" w:color="auto" w:sz="4" w:space="0"/>
            </w:tcBorders>
          </w:tcPr>
          <w:p w14:paraId="01631207">
            <w:pPr>
              <w:snapToGrid w:val="0"/>
              <w:spacing w:beforeLines="50"/>
              <w:jc w:val="center"/>
              <w:rPr>
                <w:rFonts w:ascii="宋体" w:hAnsi="宋体" w:cs="宋体"/>
                <w:color w:val="auto"/>
                <w:sz w:val="24"/>
                <w:highlight w:val="none"/>
              </w:rPr>
            </w:pPr>
          </w:p>
        </w:tc>
      </w:tr>
      <w:tr w14:paraId="1C740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552" w:type="dxa"/>
            <w:tcBorders>
              <w:top w:val="single" w:color="auto" w:sz="4" w:space="0"/>
              <w:left w:val="single" w:color="auto" w:sz="4" w:space="0"/>
              <w:bottom w:val="single" w:color="auto" w:sz="4" w:space="0"/>
              <w:right w:val="single" w:color="auto" w:sz="4" w:space="0"/>
            </w:tcBorders>
            <w:vAlign w:val="center"/>
          </w:tcPr>
          <w:p w14:paraId="6FB57BBE">
            <w:pPr>
              <w:snapToGrid w:val="0"/>
              <w:spacing w:beforeLines="50"/>
              <w:jc w:val="center"/>
              <w:rPr>
                <w:rFonts w:ascii="宋体" w:hAnsi="宋体" w:eastAsia="宋体" w:cs="宋体"/>
                <w:color w:val="auto"/>
                <w:sz w:val="24"/>
                <w:highlight w:val="none"/>
              </w:rPr>
            </w:pPr>
            <w:r>
              <w:rPr>
                <w:rFonts w:hint="eastAsia" w:ascii="宋体" w:hAnsi="宋体" w:eastAsia="宋体" w:cs="宋体"/>
                <w:color w:val="auto"/>
                <w:sz w:val="24"/>
                <w:highlight w:val="none"/>
              </w:rPr>
              <w:t>（七）验收标准</w:t>
            </w:r>
          </w:p>
        </w:tc>
        <w:tc>
          <w:tcPr>
            <w:tcW w:w="5495" w:type="dxa"/>
            <w:tcBorders>
              <w:top w:val="single" w:color="auto" w:sz="4" w:space="0"/>
              <w:left w:val="single" w:color="auto" w:sz="4" w:space="0"/>
              <w:bottom w:val="single" w:color="auto" w:sz="4" w:space="0"/>
              <w:right w:val="single" w:color="auto" w:sz="4" w:space="0"/>
            </w:tcBorders>
          </w:tcPr>
          <w:p w14:paraId="65548187">
            <w:pPr>
              <w:snapToGrid w:val="0"/>
              <w:spacing w:beforeLines="50"/>
              <w:jc w:val="center"/>
              <w:rPr>
                <w:rFonts w:ascii="宋体" w:hAnsi="宋体" w:cs="宋体"/>
                <w:color w:val="auto"/>
                <w:sz w:val="24"/>
                <w:highlight w:val="none"/>
              </w:rPr>
            </w:pPr>
          </w:p>
        </w:tc>
      </w:tr>
      <w:tr w14:paraId="35D19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552" w:type="dxa"/>
            <w:tcBorders>
              <w:top w:val="single" w:color="auto" w:sz="4" w:space="0"/>
              <w:left w:val="single" w:color="auto" w:sz="4" w:space="0"/>
              <w:bottom w:val="single" w:color="auto" w:sz="4" w:space="0"/>
              <w:right w:val="single" w:color="auto" w:sz="4" w:space="0"/>
            </w:tcBorders>
            <w:vAlign w:val="center"/>
          </w:tcPr>
          <w:p w14:paraId="03416D62">
            <w:pPr>
              <w:snapToGrid w:val="0"/>
              <w:spacing w:beforeLines="50"/>
              <w:jc w:val="center"/>
              <w:rPr>
                <w:rFonts w:ascii="宋体" w:hAnsi="宋体" w:eastAsia="宋体" w:cs="宋体"/>
                <w:color w:val="auto"/>
                <w:sz w:val="24"/>
                <w:highlight w:val="none"/>
              </w:rPr>
            </w:pPr>
            <w:r>
              <w:rPr>
                <w:rFonts w:hint="eastAsia" w:ascii="宋体" w:hAnsi="宋体" w:eastAsia="宋体" w:cs="宋体"/>
                <w:color w:val="auto"/>
                <w:sz w:val="24"/>
                <w:highlight w:val="none"/>
              </w:rPr>
              <w:t>（八）知识产权</w:t>
            </w:r>
          </w:p>
        </w:tc>
        <w:tc>
          <w:tcPr>
            <w:tcW w:w="5495" w:type="dxa"/>
            <w:tcBorders>
              <w:top w:val="single" w:color="auto" w:sz="4" w:space="0"/>
              <w:left w:val="single" w:color="auto" w:sz="4" w:space="0"/>
              <w:bottom w:val="single" w:color="auto" w:sz="4" w:space="0"/>
              <w:right w:val="single" w:color="auto" w:sz="4" w:space="0"/>
            </w:tcBorders>
          </w:tcPr>
          <w:p w14:paraId="0AF84ED2">
            <w:pPr>
              <w:snapToGrid w:val="0"/>
              <w:spacing w:beforeLines="50"/>
              <w:jc w:val="center"/>
              <w:rPr>
                <w:rFonts w:ascii="宋体" w:hAnsi="宋体" w:cs="宋体"/>
                <w:color w:val="auto"/>
                <w:sz w:val="24"/>
                <w:highlight w:val="none"/>
              </w:rPr>
            </w:pPr>
          </w:p>
        </w:tc>
      </w:tr>
      <w:tr w14:paraId="2D8BB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552" w:type="dxa"/>
            <w:tcBorders>
              <w:top w:val="single" w:color="auto" w:sz="4" w:space="0"/>
              <w:left w:val="single" w:color="auto" w:sz="4" w:space="0"/>
              <w:bottom w:val="single" w:color="auto" w:sz="4" w:space="0"/>
              <w:right w:val="single" w:color="auto" w:sz="4" w:space="0"/>
            </w:tcBorders>
            <w:vAlign w:val="center"/>
          </w:tcPr>
          <w:p w14:paraId="757F0CA4">
            <w:pPr>
              <w:snapToGrid w:val="0"/>
              <w:spacing w:beforeLines="50"/>
              <w:jc w:val="center"/>
              <w:rPr>
                <w:rFonts w:ascii="宋体" w:hAnsi="宋体" w:eastAsia="宋体" w:cs="宋体"/>
                <w:color w:val="auto"/>
                <w:sz w:val="24"/>
                <w:highlight w:val="none"/>
              </w:rPr>
            </w:pPr>
            <w:r>
              <w:rPr>
                <w:rFonts w:hint="eastAsia" w:ascii="宋体" w:hAnsi="宋体" w:eastAsia="宋体" w:cs="宋体"/>
                <w:color w:val="auto"/>
                <w:sz w:val="24"/>
                <w:highlight w:val="none"/>
              </w:rPr>
              <w:t>（九）违约责任</w:t>
            </w:r>
          </w:p>
        </w:tc>
        <w:tc>
          <w:tcPr>
            <w:tcW w:w="5495" w:type="dxa"/>
            <w:tcBorders>
              <w:top w:val="single" w:color="auto" w:sz="4" w:space="0"/>
              <w:left w:val="single" w:color="auto" w:sz="4" w:space="0"/>
              <w:bottom w:val="single" w:color="auto" w:sz="4" w:space="0"/>
              <w:right w:val="single" w:color="auto" w:sz="4" w:space="0"/>
            </w:tcBorders>
          </w:tcPr>
          <w:p w14:paraId="65FCDB78">
            <w:pPr>
              <w:snapToGrid w:val="0"/>
              <w:spacing w:beforeLines="50"/>
              <w:jc w:val="center"/>
              <w:rPr>
                <w:rFonts w:ascii="宋体" w:hAnsi="宋体" w:cs="宋体"/>
                <w:color w:val="auto"/>
                <w:sz w:val="24"/>
                <w:highlight w:val="none"/>
              </w:rPr>
            </w:pPr>
          </w:p>
        </w:tc>
      </w:tr>
      <w:tr w14:paraId="3608B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552" w:type="dxa"/>
            <w:tcBorders>
              <w:top w:val="single" w:color="auto" w:sz="4" w:space="0"/>
              <w:left w:val="single" w:color="auto" w:sz="4" w:space="0"/>
              <w:bottom w:val="single" w:color="auto" w:sz="4" w:space="0"/>
              <w:right w:val="single" w:color="auto" w:sz="4" w:space="0"/>
            </w:tcBorders>
            <w:vAlign w:val="center"/>
          </w:tcPr>
          <w:p w14:paraId="4F66B10A">
            <w:pPr>
              <w:snapToGrid w:val="0"/>
              <w:spacing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十</w:t>
            </w:r>
            <w:r>
              <w:rPr>
                <w:rFonts w:hint="eastAsia" w:ascii="宋体" w:hAnsi="宋体" w:eastAsia="宋体" w:cs="宋体"/>
                <w:color w:val="auto"/>
                <w:sz w:val="24"/>
                <w:highlight w:val="none"/>
              </w:rPr>
              <w:t>）医疗器械管理相应有效证明材料</w:t>
            </w:r>
          </w:p>
        </w:tc>
        <w:tc>
          <w:tcPr>
            <w:tcW w:w="5495" w:type="dxa"/>
            <w:tcBorders>
              <w:top w:val="single" w:color="auto" w:sz="4" w:space="0"/>
              <w:left w:val="single" w:color="auto" w:sz="4" w:space="0"/>
              <w:bottom w:val="single" w:color="auto" w:sz="4" w:space="0"/>
              <w:right w:val="single" w:color="auto" w:sz="4" w:space="0"/>
            </w:tcBorders>
          </w:tcPr>
          <w:p w14:paraId="6EF5F28C">
            <w:pPr>
              <w:snapToGrid w:val="0"/>
              <w:spacing w:beforeLines="50"/>
              <w:jc w:val="center"/>
              <w:rPr>
                <w:rFonts w:ascii="宋体" w:hAnsi="宋体" w:cs="宋体"/>
                <w:color w:val="auto"/>
                <w:sz w:val="24"/>
                <w:highlight w:val="none"/>
              </w:rPr>
            </w:pPr>
          </w:p>
        </w:tc>
      </w:tr>
      <w:tr w14:paraId="25EC2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552" w:type="dxa"/>
            <w:tcBorders>
              <w:top w:val="single" w:color="auto" w:sz="4" w:space="0"/>
              <w:left w:val="single" w:color="auto" w:sz="4" w:space="0"/>
              <w:bottom w:val="single" w:color="auto" w:sz="4" w:space="0"/>
              <w:right w:val="single" w:color="auto" w:sz="4" w:space="0"/>
            </w:tcBorders>
            <w:vAlign w:val="center"/>
          </w:tcPr>
          <w:p w14:paraId="1B52BB45">
            <w:pPr>
              <w:snapToGrid w:val="0"/>
              <w:spacing w:beforeLines="50"/>
              <w:jc w:val="center"/>
              <w:rPr>
                <w:rFonts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）进口产品说明</w:t>
            </w:r>
          </w:p>
        </w:tc>
        <w:tc>
          <w:tcPr>
            <w:tcW w:w="5495" w:type="dxa"/>
            <w:tcBorders>
              <w:top w:val="single" w:color="auto" w:sz="4" w:space="0"/>
              <w:left w:val="single" w:color="auto" w:sz="4" w:space="0"/>
              <w:bottom w:val="single" w:color="auto" w:sz="4" w:space="0"/>
              <w:right w:val="single" w:color="auto" w:sz="4" w:space="0"/>
            </w:tcBorders>
          </w:tcPr>
          <w:p w14:paraId="6478BB10">
            <w:pPr>
              <w:snapToGrid w:val="0"/>
              <w:spacing w:beforeLines="50"/>
              <w:jc w:val="center"/>
              <w:rPr>
                <w:rFonts w:ascii="宋体" w:hAnsi="宋体" w:cs="宋体"/>
                <w:color w:val="auto"/>
                <w:sz w:val="24"/>
                <w:highlight w:val="none"/>
              </w:rPr>
            </w:pPr>
          </w:p>
        </w:tc>
      </w:tr>
      <w:tr w14:paraId="2C214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552" w:type="dxa"/>
            <w:tcBorders>
              <w:top w:val="single" w:color="auto" w:sz="4" w:space="0"/>
              <w:left w:val="single" w:color="auto" w:sz="4" w:space="0"/>
              <w:bottom w:val="single" w:color="auto" w:sz="4" w:space="0"/>
              <w:right w:val="single" w:color="auto" w:sz="4" w:space="0"/>
            </w:tcBorders>
            <w:vAlign w:val="center"/>
          </w:tcPr>
          <w:p w14:paraId="467001A9">
            <w:pPr>
              <w:snapToGrid w:val="0"/>
              <w:spacing w:beforeLines="50"/>
              <w:jc w:val="center"/>
              <w:rPr>
                <w:rFonts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）采购预算及最高限价</w:t>
            </w:r>
          </w:p>
        </w:tc>
        <w:tc>
          <w:tcPr>
            <w:tcW w:w="5495" w:type="dxa"/>
            <w:tcBorders>
              <w:top w:val="single" w:color="auto" w:sz="4" w:space="0"/>
              <w:left w:val="single" w:color="auto" w:sz="4" w:space="0"/>
              <w:bottom w:val="single" w:color="auto" w:sz="4" w:space="0"/>
              <w:right w:val="single" w:color="auto" w:sz="4" w:space="0"/>
            </w:tcBorders>
          </w:tcPr>
          <w:p w14:paraId="556D1D0E">
            <w:pPr>
              <w:snapToGrid w:val="0"/>
              <w:spacing w:beforeLines="50"/>
              <w:jc w:val="center"/>
              <w:rPr>
                <w:rFonts w:ascii="宋体" w:hAnsi="宋体" w:cs="宋体"/>
                <w:color w:val="auto"/>
                <w:sz w:val="24"/>
                <w:highlight w:val="none"/>
              </w:rPr>
            </w:pPr>
          </w:p>
        </w:tc>
      </w:tr>
    </w:tbl>
    <w:p w14:paraId="2C3700EA">
      <w:pPr>
        <w:pStyle w:val="19"/>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cs="宋体"/>
          <w:color w:val="auto"/>
          <w:highlight w:val="none"/>
        </w:rPr>
      </w:pPr>
      <w:r>
        <w:rPr>
          <w:rFonts w:hint="eastAsia" w:ascii="宋体" w:hAnsi="宋体" w:cs="宋体"/>
          <w:color w:val="auto"/>
          <w:highlight w:val="none"/>
        </w:rPr>
        <w:t>注：</w:t>
      </w:r>
    </w:p>
    <w:p w14:paraId="7C7EA364">
      <w:pPr>
        <w:pStyle w:val="3"/>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ascii="宋体" w:hAnsi="宋体" w:eastAsia="宋体" w:cs="宋体"/>
          <w:color w:val="auto"/>
          <w:szCs w:val="32"/>
          <w:highlight w:val="none"/>
        </w:rPr>
      </w:pPr>
      <w:r>
        <w:rPr>
          <w:rFonts w:hint="eastAsia" w:ascii="宋体" w:hAnsi="宋体" w:eastAsia="宋体" w:cs="宋体"/>
          <w:color w:val="auto"/>
          <w:sz w:val="24"/>
          <w:szCs w:val="24"/>
          <w:highlight w:val="none"/>
        </w:rPr>
        <w:t>说明：应对照招标文件“第二章 采购需求”中的商务要求逐条作明确的投标响应。</w:t>
      </w:r>
    </w:p>
    <w:p w14:paraId="41536AF9">
      <w:pPr>
        <w:keepNext w:val="0"/>
        <w:keepLines w:val="0"/>
        <w:pageBreakBefore w:val="0"/>
        <w:widowControl w:val="0"/>
        <w:kinsoku/>
        <w:wordWrap/>
        <w:overflowPunct/>
        <w:topLinePunct w:val="0"/>
        <w:autoSpaceDE/>
        <w:autoSpaceDN/>
        <w:bidi w:val="0"/>
        <w:adjustRightInd/>
        <w:snapToGrid w:val="0"/>
        <w:spacing w:before="50" w:after="50" w:line="360" w:lineRule="exact"/>
        <w:textAlignment w:val="auto"/>
        <w:rPr>
          <w:rFonts w:ascii="宋体" w:hAnsi="宋体" w:cs="宋体"/>
          <w:color w:val="auto"/>
          <w:sz w:val="24"/>
          <w:highlight w:val="none"/>
        </w:rPr>
      </w:pPr>
    </w:p>
    <w:p w14:paraId="08668D8A">
      <w:pPr>
        <w:keepNext w:val="0"/>
        <w:keepLines w:val="0"/>
        <w:pageBreakBefore w:val="0"/>
        <w:widowControl w:val="0"/>
        <w:kinsoku/>
        <w:wordWrap/>
        <w:overflowPunct/>
        <w:topLinePunct w:val="0"/>
        <w:autoSpaceDE/>
        <w:autoSpaceDN/>
        <w:bidi w:val="0"/>
        <w:adjustRightInd/>
        <w:snapToGrid w:val="0"/>
        <w:spacing w:before="50" w:after="50" w:line="360" w:lineRule="exact"/>
        <w:textAlignment w:val="auto"/>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法定代表人或者委托代理人（签字或者电子签名）</w:t>
      </w:r>
      <w:r>
        <w:rPr>
          <w:rFonts w:hint="eastAsia" w:ascii="宋体" w:hAnsi="宋体" w:cs="宋体"/>
          <w:color w:val="auto"/>
          <w:spacing w:val="20"/>
          <w:sz w:val="24"/>
          <w:highlight w:val="none"/>
        </w:rPr>
        <w:t>：</w:t>
      </w:r>
    </w:p>
    <w:p w14:paraId="785699CB">
      <w:pPr>
        <w:keepNext w:val="0"/>
        <w:keepLines w:val="0"/>
        <w:pageBreakBefore w:val="0"/>
        <w:widowControl w:val="0"/>
        <w:kinsoku/>
        <w:wordWrap/>
        <w:overflowPunct/>
        <w:topLinePunct w:val="0"/>
        <w:autoSpaceDE/>
        <w:autoSpaceDN/>
        <w:bidi w:val="0"/>
        <w:adjustRightInd/>
        <w:snapToGrid w:val="0"/>
        <w:spacing w:beforeLines="50" w:line="360" w:lineRule="exact"/>
        <w:textAlignment w:val="auto"/>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38CAB756">
      <w:pPr>
        <w:keepNext w:val="0"/>
        <w:keepLines w:val="0"/>
        <w:pageBreakBefore w:val="0"/>
        <w:widowControl w:val="0"/>
        <w:kinsoku/>
        <w:wordWrap/>
        <w:overflowPunct/>
        <w:topLinePunct w:val="0"/>
        <w:autoSpaceDE/>
        <w:autoSpaceDN/>
        <w:bidi w:val="0"/>
        <w:adjustRightInd/>
        <w:snapToGrid w:val="0"/>
        <w:spacing w:beforeLines="50" w:line="360" w:lineRule="exact"/>
        <w:textAlignment w:val="auto"/>
        <w:rPr>
          <w:rFonts w:ascii="宋体" w:hAnsi="宋体" w:cs="宋体"/>
          <w:color w:val="auto"/>
          <w:spacing w:val="20"/>
          <w:sz w:val="24"/>
          <w:highlight w:val="none"/>
        </w:rPr>
      </w:pPr>
      <w:r>
        <w:rPr>
          <w:rFonts w:hint="eastAsia" w:ascii="宋体" w:hAnsi="宋体" w:cs="宋体"/>
          <w:color w:val="auto"/>
          <w:spacing w:val="20"/>
          <w:sz w:val="24"/>
          <w:highlight w:val="none"/>
        </w:rPr>
        <w:t>日  期：</w:t>
      </w:r>
    </w:p>
    <w:p w14:paraId="7A38DA07">
      <w:pPr>
        <w:snapToGrid w:val="0"/>
        <w:spacing w:beforeLines="50"/>
        <w:rPr>
          <w:rFonts w:hint="eastAsia" w:ascii="宋体" w:hAnsi="宋体" w:cs="宋体"/>
          <w:b/>
          <w:color w:val="auto"/>
          <w:sz w:val="24"/>
          <w:highlight w:val="none"/>
        </w:rPr>
      </w:pPr>
    </w:p>
    <w:p w14:paraId="04744C1B">
      <w:pPr>
        <w:snapToGrid w:val="0"/>
        <w:spacing w:beforeLines="50"/>
        <w:rPr>
          <w:rFonts w:hint="eastAsia" w:ascii="宋体" w:hAnsi="宋体" w:cs="宋体"/>
          <w:b/>
          <w:color w:val="auto"/>
          <w:sz w:val="24"/>
          <w:highlight w:val="none"/>
        </w:rPr>
      </w:pPr>
    </w:p>
    <w:p w14:paraId="51F8F47C">
      <w:pPr>
        <w:snapToGrid w:val="0"/>
        <w:spacing w:beforeLines="50"/>
        <w:rPr>
          <w:rFonts w:ascii="宋体" w:hAnsi="宋体" w:cs="宋体"/>
          <w:b/>
          <w:color w:val="auto"/>
          <w:sz w:val="24"/>
          <w:highlight w:val="none"/>
        </w:rPr>
      </w:pPr>
      <w:r>
        <w:rPr>
          <w:rFonts w:hint="eastAsia" w:ascii="宋体" w:hAnsi="宋体" w:cs="宋体"/>
          <w:b/>
          <w:color w:val="auto"/>
          <w:sz w:val="24"/>
          <w:highlight w:val="none"/>
        </w:rPr>
        <w:t>安装实施方案格式</w:t>
      </w:r>
    </w:p>
    <w:p w14:paraId="4C619E32">
      <w:pPr>
        <w:snapToGrid w:val="0"/>
        <w:spacing w:beforeLines="50"/>
        <w:jc w:val="center"/>
        <w:rPr>
          <w:rFonts w:ascii="宋体" w:hAnsi="宋体" w:cs="宋体"/>
          <w:b/>
          <w:color w:val="auto"/>
          <w:sz w:val="36"/>
          <w:szCs w:val="36"/>
          <w:highlight w:val="none"/>
        </w:rPr>
      </w:pPr>
      <w:r>
        <w:rPr>
          <w:rFonts w:hint="eastAsia" w:ascii="宋体" w:hAnsi="宋体" w:cs="宋体"/>
          <w:b/>
          <w:color w:val="auto"/>
          <w:sz w:val="36"/>
          <w:szCs w:val="36"/>
          <w:highlight w:val="none"/>
        </w:rPr>
        <w:t>安装实施方案方案</w:t>
      </w:r>
    </w:p>
    <w:p w14:paraId="11E1D01B">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一、安装方案</w:t>
      </w:r>
    </w:p>
    <w:p w14:paraId="5D727D41">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w:t>
      </w:r>
    </w:p>
    <w:p w14:paraId="44C4CEA7">
      <w:pPr>
        <w:snapToGrid w:val="0"/>
        <w:spacing w:beforeLines="50"/>
        <w:rPr>
          <w:rFonts w:ascii="宋体" w:hAnsi="宋体" w:cs="宋体"/>
          <w:bCs/>
          <w:color w:val="auto"/>
          <w:szCs w:val="21"/>
          <w:highlight w:val="none"/>
        </w:rPr>
      </w:pPr>
    </w:p>
    <w:p w14:paraId="05BBB664">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二、设备调试方案</w:t>
      </w:r>
    </w:p>
    <w:p w14:paraId="65A06D10">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w:t>
      </w:r>
    </w:p>
    <w:p w14:paraId="4915DF2E">
      <w:pPr>
        <w:snapToGrid w:val="0"/>
        <w:spacing w:beforeLines="50"/>
        <w:rPr>
          <w:rFonts w:ascii="宋体" w:hAnsi="宋体" w:cs="宋体"/>
          <w:bCs/>
          <w:color w:val="auto"/>
          <w:szCs w:val="21"/>
          <w:highlight w:val="none"/>
        </w:rPr>
      </w:pPr>
    </w:p>
    <w:p w14:paraId="08D7089F">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三、设备试运行方案等</w:t>
      </w:r>
    </w:p>
    <w:p w14:paraId="7408A049">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w:t>
      </w:r>
    </w:p>
    <w:p w14:paraId="1FCAD3B0">
      <w:pPr>
        <w:snapToGrid w:val="0"/>
        <w:spacing w:before="50" w:after="50"/>
        <w:rPr>
          <w:rFonts w:ascii="宋体" w:hAnsi="宋体" w:cs="宋体"/>
          <w:color w:val="auto"/>
          <w:sz w:val="24"/>
          <w:highlight w:val="none"/>
        </w:rPr>
      </w:pPr>
    </w:p>
    <w:p w14:paraId="733C66ED">
      <w:pPr>
        <w:snapToGrid w:val="0"/>
        <w:spacing w:before="50" w:after="50"/>
        <w:rPr>
          <w:rFonts w:ascii="宋体" w:hAnsi="宋体" w:cs="宋体"/>
          <w:color w:val="auto"/>
          <w:sz w:val="24"/>
          <w:highlight w:val="none"/>
        </w:rPr>
      </w:pPr>
    </w:p>
    <w:p w14:paraId="0325AC76">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法定代表人或者委托代理人（签字或者电子签名）</w:t>
      </w:r>
      <w:r>
        <w:rPr>
          <w:rFonts w:hint="eastAsia" w:ascii="宋体" w:hAnsi="宋体" w:cs="宋体"/>
          <w:color w:val="auto"/>
          <w:spacing w:val="20"/>
          <w:sz w:val="24"/>
          <w:highlight w:val="none"/>
        </w:rPr>
        <w:t>：</w:t>
      </w:r>
    </w:p>
    <w:p w14:paraId="15551EED">
      <w:pPr>
        <w:snapToGrid w:val="0"/>
        <w:spacing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273082CD">
      <w:pPr>
        <w:snapToGrid w:val="0"/>
        <w:spacing w:beforeLines="50"/>
        <w:rPr>
          <w:rFonts w:ascii="宋体" w:hAnsi="宋体" w:cs="宋体"/>
          <w:color w:val="auto"/>
          <w:spacing w:val="20"/>
          <w:sz w:val="24"/>
          <w:highlight w:val="none"/>
          <w:u w:val="single"/>
        </w:rPr>
      </w:pPr>
      <w:r>
        <w:rPr>
          <w:rFonts w:hint="eastAsia" w:ascii="宋体" w:hAnsi="宋体" w:cs="宋体"/>
          <w:color w:val="auto"/>
          <w:spacing w:val="20"/>
          <w:sz w:val="24"/>
          <w:highlight w:val="none"/>
        </w:rPr>
        <w:t>日  期：</w:t>
      </w:r>
    </w:p>
    <w:p w14:paraId="54081AB2">
      <w:pPr>
        <w:snapToGrid w:val="0"/>
        <w:spacing w:beforeLines="50"/>
        <w:rPr>
          <w:rFonts w:ascii="宋体" w:hAnsi="宋体" w:cs="宋体"/>
          <w:b/>
          <w:color w:val="auto"/>
          <w:sz w:val="24"/>
          <w:highlight w:val="none"/>
        </w:rPr>
      </w:pPr>
    </w:p>
    <w:p w14:paraId="62FA662C">
      <w:pPr>
        <w:pStyle w:val="57"/>
        <w:ind w:firstLine="420"/>
        <w:rPr>
          <w:rFonts w:ascii="宋体" w:hAnsi="宋体" w:cs="宋体"/>
          <w:color w:val="auto"/>
          <w:highlight w:val="none"/>
        </w:rPr>
      </w:pPr>
    </w:p>
    <w:p w14:paraId="3E2EB258">
      <w:pPr>
        <w:snapToGrid w:val="0"/>
        <w:spacing w:beforeLines="50"/>
        <w:rPr>
          <w:rFonts w:ascii="宋体" w:hAnsi="宋体" w:cs="宋体"/>
          <w:color w:val="auto"/>
          <w:spacing w:val="20"/>
          <w:sz w:val="24"/>
          <w:highlight w:val="none"/>
          <w:u w:val="single"/>
        </w:rPr>
      </w:pPr>
      <w:r>
        <w:rPr>
          <w:rFonts w:hint="eastAsia" w:ascii="宋体" w:hAnsi="宋体" w:cs="宋体"/>
          <w:b/>
          <w:color w:val="auto"/>
          <w:sz w:val="24"/>
          <w:highlight w:val="none"/>
        </w:rPr>
        <w:t>增值售后服务方案格式</w:t>
      </w:r>
    </w:p>
    <w:p w14:paraId="5AF3CFE2">
      <w:pPr>
        <w:snapToGrid w:val="0"/>
        <w:spacing w:beforeLines="50"/>
        <w:jc w:val="center"/>
        <w:rPr>
          <w:rFonts w:ascii="宋体" w:hAnsi="宋体" w:cs="宋体"/>
          <w:b/>
          <w:color w:val="auto"/>
          <w:sz w:val="36"/>
          <w:szCs w:val="36"/>
          <w:highlight w:val="none"/>
        </w:rPr>
      </w:pPr>
    </w:p>
    <w:p w14:paraId="461AF69C">
      <w:pPr>
        <w:snapToGrid w:val="0"/>
        <w:spacing w:beforeLines="50"/>
        <w:jc w:val="center"/>
        <w:rPr>
          <w:rFonts w:ascii="宋体" w:hAnsi="宋体" w:cs="宋体"/>
          <w:b/>
          <w:color w:val="auto"/>
          <w:spacing w:val="20"/>
          <w:sz w:val="36"/>
          <w:szCs w:val="36"/>
          <w:highlight w:val="none"/>
          <w:u w:val="single"/>
        </w:rPr>
      </w:pPr>
      <w:r>
        <w:rPr>
          <w:rFonts w:hint="eastAsia" w:ascii="宋体" w:hAnsi="宋体" w:cs="宋体"/>
          <w:b/>
          <w:color w:val="auto"/>
          <w:sz w:val="36"/>
          <w:szCs w:val="36"/>
          <w:highlight w:val="none"/>
        </w:rPr>
        <w:t>增值售后服务方案</w:t>
      </w:r>
    </w:p>
    <w:p w14:paraId="4F7242C6">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一、到达故障现场时间、故障出现解决方案</w:t>
      </w:r>
    </w:p>
    <w:p w14:paraId="2B6C4015">
      <w:pPr>
        <w:snapToGrid w:val="0"/>
        <w:spacing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6CE123FA">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二、定期维护 (注明时间)</w:t>
      </w:r>
    </w:p>
    <w:p w14:paraId="79790363">
      <w:pPr>
        <w:snapToGrid w:val="0"/>
        <w:spacing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2664A3BC">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三、技术培训方案</w:t>
      </w:r>
    </w:p>
    <w:p w14:paraId="39AD5F0A">
      <w:pPr>
        <w:snapToGrid w:val="0"/>
        <w:spacing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3DC02554">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四、保修期外维修方案</w:t>
      </w:r>
    </w:p>
    <w:p w14:paraId="4C819029">
      <w:pPr>
        <w:snapToGrid w:val="0"/>
        <w:spacing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0DC4CDFF">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五、售后服务措施及其他优惠措施</w:t>
      </w:r>
    </w:p>
    <w:p w14:paraId="6BE9C9DB">
      <w:pPr>
        <w:snapToGrid w:val="0"/>
        <w:spacing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1D37E047">
      <w:pPr>
        <w:snapToGrid w:val="0"/>
        <w:spacing w:beforeLines="50"/>
        <w:rPr>
          <w:rFonts w:ascii="宋体" w:hAnsi="宋体" w:cs="宋体"/>
          <w:color w:val="auto"/>
          <w:sz w:val="24"/>
          <w:szCs w:val="20"/>
          <w:highlight w:val="none"/>
        </w:rPr>
      </w:pPr>
    </w:p>
    <w:p w14:paraId="31FA85F7">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法定代表人或者委托代理人（签字或者电子签名）</w:t>
      </w:r>
      <w:r>
        <w:rPr>
          <w:rFonts w:hint="eastAsia" w:ascii="宋体" w:hAnsi="宋体" w:cs="宋体"/>
          <w:color w:val="auto"/>
          <w:spacing w:val="20"/>
          <w:sz w:val="24"/>
          <w:highlight w:val="none"/>
        </w:rPr>
        <w:t>：</w:t>
      </w:r>
    </w:p>
    <w:p w14:paraId="05690738">
      <w:pPr>
        <w:snapToGrid w:val="0"/>
        <w:spacing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55142D4B">
      <w:pPr>
        <w:snapToGrid w:val="0"/>
        <w:spacing w:beforeLines="50"/>
        <w:rPr>
          <w:rFonts w:ascii="宋体" w:hAnsi="宋体" w:cs="宋体"/>
          <w:color w:val="auto"/>
          <w:spacing w:val="20"/>
          <w:sz w:val="24"/>
          <w:highlight w:val="none"/>
          <w:u w:val="single"/>
        </w:rPr>
      </w:pPr>
      <w:r>
        <w:rPr>
          <w:rFonts w:hint="eastAsia" w:ascii="宋体" w:hAnsi="宋体" w:cs="宋体"/>
          <w:color w:val="auto"/>
          <w:spacing w:val="20"/>
          <w:sz w:val="24"/>
          <w:highlight w:val="none"/>
        </w:rPr>
        <w:t>日  期：</w:t>
      </w:r>
    </w:p>
    <w:p w14:paraId="33B455BE">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投标人业绩证明材料</w:t>
      </w:r>
    </w:p>
    <w:p w14:paraId="1AA79198">
      <w:pPr>
        <w:pStyle w:val="36"/>
        <w:snapToGrid w:val="0"/>
        <w:ind w:left="480" w:hanging="480"/>
        <w:rPr>
          <w:rFonts w:ascii="宋体" w:hAnsi="宋体" w:cs="宋体"/>
          <w:color w:val="auto"/>
          <w:sz w:val="24"/>
          <w:highlight w:val="none"/>
        </w:rPr>
      </w:pPr>
    </w:p>
    <w:p w14:paraId="71279C1B">
      <w:pPr>
        <w:pStyle w:val="36"/>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业绩情况一览表格式： </w:t>
      </w:r>
    </w:p>
    <w:tbl>
      <w:tblPr>
        <w:tblStyle w:val="4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2FA83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38C0FF1B">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17A08CD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6EFAA70A">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合同金额</w:t>
            </w:r>
          </w:p>
          <w:p w14:paraId="75DD80F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5EE0BC72">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4E36793E">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6CA97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7CC8E1FB">
            <w:pPr>
              <w:jc w:val="left"/>
              <w:rPr>
                <w:rFonts w:ascii="宋体" w:hAnsi="宋体" w:cs="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7392D58F">
            <w:pPr>
              <w:jc w:val="left"/>
              <w:rPr>
                <w:rFonts w:ascii="宋体" w:hAnsi="宋体" w:cs="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5977362E">
            <w:pPr>
              <w:jc w:val="left"/>
              <w:rPr>
                <w:rFonts w:ascii="宋体" w:hAnsi="宋体" w:cs="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24ADA96E">
            <w:pPr>
              <w:jc w:val="left"/>
              <w:rPr>
                <w:rFonts w:ascii="宋体" w:hAnsi="宋体" w:cs="宋体"/>
                <w:color w:val="auto"/>
                <w:sz w:val="24"/>
                <w:highlight w:val="none"/>
              </w:rPr>
            </w:pPr>
          </w:p>
        </w:tc>
      </w:tr>
      <w:tr w14:paraId="43C7F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577BE9C4">
            <w:pPr>
              <w:snapToGrid w:val="0"/>
              <w:spacing w:line="24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818CFDC">
            <w:pPr>
              <w:snapToGrid w:val="0"/>
              <w:spacing w:line="24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6EB7665">
            <w:pPr>
              <w:snapToGrid w:val="0"/>
              <w:spacing w:line="24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35526B9E">
            <w:pPr>
              <w:snapToGrid w:val="0"/>
              <w:spacing w:line="240" w:lineRule="exact"/>
              <w:jc w:val="left"/>
              <w:rPr>
                <w:rFonts w:ascii="宋体" w:hAnsi="宋体" w:cs="宋体"/>
                <w:color w:val="auto"/>
                <w:sz w:val="24"/>
                <w:highlight w:val="none"/>
              </w:rPr>
            </w:pPr>
          </w:p>
        </w:tc>
      </w:tr>
      <w:tr w14:paraId="456D7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6927B588">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58881C9F">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CA84D7C">
            <w:pPr>
              <w:snapToGrid w:val="0"/>
              <w:spacing w:before="5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5D55DA89">
            <w:pPr>
              <w:snapToGrid w:val="0"/>
              <w:spacing w:before="50" w:afterLines="50" w:line="400" w:lineRule="exact"/>
              <w:jc w:val="left"/>
              <w:rPr>
                <w:rFonts w:ascii="宋体" w:hAnsi="宋体" w:cs="宋体"/>
                <w:color w:val="auto"/>
                <w:sz w:val="24"/>
                <w:highlight w:val="none"/>
              </w:rPr>
            </w:pPr>
          </w:p>
        </w:tc>
      </w:tr>
      <w:tr w14:paraId="3C05B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316F9843">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7E72543E">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A665A02">
            <w:pPr>
              <w:snapToGrid w:val="0"/>
              <w:spacing w:before="5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026BA93A">
            <w:pPr>
              <w:snapToGrid w:val="0"/>
              <w:spacing w:before="50" w:afterLines="50" w:line="400" w:lineRule="exact"/>
              <w:jc w:val="left"/>
              <w:rPr>
                <w:rFonts w:ascii="宋体" w:hAnsi="宋体" w:cs="宋体"/>
                <w:color w:val="auto"/>
                <w:sz w:val="24"/>
                <w:highlight w:val="none"/>
              </w:rPr>
            </w:pPr>
          </w:p>
        </w:tc>
      </w:tr>
      <w:tr w14:paraId="0923B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3F73C2B6">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255D2871">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55F60F2">
            <w:pPr>
              <w:snapToGrid w:val="0"/>
              <w:spacing w:before="5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29D32147">
            <w:pPr>
              <w:snapToGrid w:val="0"/>
              <w:spacing w:before="50" w:afterLines="50" w:line="400" w:lineRule="exact"/>
              <w:jc w:val="left"/>
              <w:rPr>
                <w:rFonts w:ascii="宋体" w:hAnsi="宋体" w:cs="宋体"/>
                <w:color w:val="auto"/>
                <w:sz w:val="24"/>
                <w:highlight w:val="none"/>
              </w:rPr>
            </w:pPr>
          </w:p>
        </w:tc>
      </w:tr>
      <w:tr w14:paraId="04915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A782B90">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DCB80D1">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C9FF9D9">
            <w:pPr>
              <w:snapToGrid w:val="0"/>
              <w:spacing w:before="5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42B8213D">
            <w:pPr>
              <w:snapToGrid w:val="0"/>
              <w:spacing w:before="50" w:afterLines="50" w:line="400" w:lineRule="exact"/>
              <w:jc w:val="left"/>
              <w:rPr>
                <w:rFonts w:ascii="宋体" w:hAnsi="宋体" w:cs="宋体"/>
                <w:color w:val="auto"/>
                <w:sz w:val="24"/>
                <w:highlight w:val="none"/>
              </w:rPr>
            </w:pPr>
          </w:p>
        </w:tc>
      </w:tr>
    </w:tbl>
    <w:p w14:paraId="70F7E92C">
      <w:pPr>
        <w:pStyle w:val="16"/>
        <w:spacing w:before="0" w:after="0" w:line="360" w:lineRule="auto"/>
        <w:contextualSpacing/>
        <w:rPr>
          <w:rFonts w:ascii="宋体" w:hAnsi="宋体" w:eastAsia="宋体" w:cs="宋体"/>
          <w:color w:val="auto"/>
          <w:sz w:val="24"/>
          <w:szCs w:val="24"/>
          <w:highlight w:val="none"/>
        </w:rPr>
      </w:pPr>
    </w:p>
    <w:p w14:paraId="5EB2B619">
      <w:pPr>
        <w:pStyle w:val="16"/>
        <w:spacing w:before="0" w:after="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投标人根据评标标准具体要求附业绩证明材料。</w:t>
      </w:r>
    </w:p>
    <w:p w14:paraId="4BB987F4">
      <w:pPr>
        <w:pStyle w:val="16"/>
        <w:spacing w:before="0" w:after="0" w:line="360" w:lineRule="auto"/>
        <w:contextualSpacing/>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法定代表人或者委托代理人（签字或者电子签名）：</w:t>
      </w:r>
      <w:r>
        <w:rPr>
          <w:rFonts w:hint="eastAsia" w:ascii="宋体" w:hAnsi="宋体" w:eastAsia="宋体" w:cs="宋体"/>
          <w:color w:val="auto"/>
          <w:sz w:val="24"/>
          <w:szCs w:val="24"/>
          <w:highlight w:val="none"/>
          <w:u w:val="single"/>
        </w:rPr>
        <w:t>　　　　　</w:t>
      </w:r>
    </w:p>
    <w:p w14:paraId="0F2DE514">
      <w:pPr>
        <w:spacing w:line="360" w:lineRule="auto"/>
        <w:ind w:right="480"/>
        <w:contextualSpacing/>
        <w:jc w:val="left"/>
        <w:rPr>
          <w:rFonts w:ascii="宋体" w:hAnsi="宋体" w:cs="宋体"/>
          <w:color w:val="auto"/>
          <w:sz w:val="24"/>
          <w:szCs w:val="20"/>
          <w:highlight w:val="none"/>
        </w:rPr>
      </w:pPr>
      <w:r>
        <w:rPr>
          <w:rFonts w:hint="eastAsia" w:ascii="宋体" w:hAnsi="宋体" w:cs="宋体"/>
          <w:color w:val="auto"/>
          <w:sz w:val="24"/>
          <w:highlight w:val="none"/>
        </w:rPr>
        <w:t>投标人名称（电子签章）：                                                               年    月    日</w:t>
      </w:r>
    </w:p>
    <w:p w14:paraId="1867830C">
      <w:pPr>
        <w:snapToGrid w:val="0"/>
        <w:spacing w:before="50"/>
        <w:ind w:firstLine="480" w:firstLineChars="200"/>
        <w:jc w:val="left"/>
        <w:rPr>
          <w:rFonts w:ascii="宋体" w:hAnsi="宋体" w:cs="宋体"/>
          <w:color w:val="auto"/>
          <w:sz w:val="24"/>
          <w:szCs w:val="20"/>
          <w:highlight w:val="none"/>
        </w:rPr>
      </w:pPr>
    </w:p>
    <w:p w14:paraId="2D2805AC">
      <w:pPr>
        <w:snapToGrid w:val="0"/>
        <w:spacing w:before="50"/>
        <w:jc w:val="left"/>
        <w:rPr>
          <w:rFonts w:ascii="宋体" w:hAnsi="宋体" w:cs="宋体"/>
          <w:color w:val="auto"/>
          <w:sz w:val="24"/>
          <w:highlight w:val="none"/>
        </w:rPr>
      </w:pPr>
    </w:p>
    <w:p w14:paraId="27192075">
      <w:pPr>
        <w:snapToGrid w:val="0"/>
        <w:spacing w:beforeLines="50"/>
        <w:rPr>
          <w:rFonts w:ascii="宋体" w:hAnsi="宋体" w:cs="宋体"/>
          <w:color w:val="auto"/>
          <w:sz w:val="24"/>
          <w:szCs w:val="20"/>
          <w:highlight w:val="none"/>
        </w:rPr>
        <w:sectPr>
          <w:pgSz w:w="11906" w:h="16838"/>
          <w:pgMar w:top="1440" w:right="1797" w:bottom="1440" w:left="1797" w:header="851" w:footer="992" w:gutter="0"/>
          <w:cols w:space="720" w:num="1"/>
          <w:docGrid w:linePitch="312" w:charSpace="0"/>
        </w:sectPr>
      </w:pPr>
    </w:p>
    <w:p w14:paraId="3B80AF1D">
      <w:pPr>
        <w:rPr>
          <w:rFonts w:ascii="宋体" w:hAnsi="宋体" w:cs="宋体"/>
          <w:b/>
          <w:color w:val="auto"/>
          <w:sz w:val="28"/>
          <w:szCs w:val="28"/>
          <w:highlight w:val="none"/>
        </w:rPr>
      </w:pPr>
      <w:r>
        <w:rPr>
          <w:rFonts w:hint="eastAsia" w:ascii="宋体" w:hAnsi="宋体" w:cs="宋体"/>
          <w:b/>
          <w:color w:val="auto"/>
          <w:sz w:val="28"/>
          <w:szCs w:val="28"/>
          <w:highlight w:val="none"/>
        </w:rPr>
        <w:t>四、技术文件格式</w:t>
      </w:r>
    </w:p>
    <w:p w14:paraId="3CF1DD27">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技术文件封面格式： </w:t>
      </w:r>
    </w:p>
    <w:p w14:paraId="6F3DE483">
      <w:pPr>
        <w:snapToGrid w:val="0"/>
        <w:spacing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65AE8B68">
      <w:pPr>
        <w:snapToGrid w:val="0"/>
        <w:spacing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0CCEA014">
      <w:pPr>
        <w:snapToGrid w:val="0"/>
        <w:spacing w:beforeLines="50" w:after="50"/>
        <w:rPr>
          <w:rFonts w:ascii="宋体" w:hAnsi="宋体" w:cs="宋体"/>
          <w:bCs/>
          <w:color w:val="auto"/>
          <w:sz w:val="24"/>
          <w:szCs w:val="20"/>
          <w:highlight w:val="none"/>
        </w:rPr>
      </w:pPr>
    </w:p>
    <w:p w14:paraId="76A1218D">
      <w:pPr>
        <w:snapToGrid w:val="0"/>
        <w:spacing w:beforeLines="50" w:after="50" w:line="400" w:lineRule="exact"/>
        <w:ind w:firstLine="360" w:firstLineChars="150"/>
        <w:rPr>
          <w:rFonts w:ascii="宋体" w:hAnsi="宋体" w:cs="宋体"/>
          <w:bCs/>
          <w:color w:val="auto"/>
          <w:sz w:val="24"/>
          <w:szCs w:val="20"/>
          <w:highlight w:val="none"/>
        </w:rPr>
      </w:pPr>
      <w:r>
        <w:rPr>
          <w:rFonts w:hint="eastAsia" w:ascii="宋体" w:hAnsi="宋体" w:cs="宋体"/>
          <w:bCs/>
          <w:color w:val="auto"/>
          <w:sz w:val="24"/>
          <w:highlight w:val="none"/>
        </w:rPr>
        <w:t xml:space="preserve">项目名称： </w:t>
      </w:r>
    </w:p>
    <w:p w14:paraId="10021CBD">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270573C4">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0078E1E7">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538445B1">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3B22F4F3">
      <w:pPr>
        <w:snapToGrid w:val="0"/>
        <w:spacing w:beforeLines="50" w:after="50"/>
        <w:ind w:firstLine="645"/>
        <w:jc w:val="center"/>
        <w:rPr>
          <w:rFonts w:ascii="宋体" w:hAnsi="宋体" w:cs="宋体"/>
          <w:color w:val="auto"/>
          <w:sz w:val="24"/>
          <w:szCs w:val="20"/>
          <w:highlight w:val="none"/>
        </w:rPr>
      </w:pPr>
    </w:p>
    <w:p w14:paraId="24EADEC0">
      <w:pPr>
        <w:snapToGrid w:val="0"/>
        <w:spacing w:beforeLines="50" w:after="50"/>
        <w:ind w:left="142"/>
        <w:jc w:val="left"/>
        <w:rPr>
          <w:rFonts w:ascii="宋体" w:hAnsi="宋体" w:cs="宋体"/>
          <w:b/>
          <w:color w:val="auto"/>
          <w:sz w:val="24"/>
          <w:highlight w:val="none"/>
        </w:rPr>
      </w:pPr>
      <w:r>
        <w:rPr>
          <w:rFonts w:hint="eastAsia" w:ascii="宋体" w:hAnsi="宋体" w:cs="宋体"/>
          <w:b/>
          <w:bCs/>
          <w:color w:val="auto"/>
          <w:sz w:val="24"/>
          <w:highlight w:val="none"/>
        </w:rPr>
        <w:br w:type="page"/>
      </w:r>
      <w:r>
        <w:rPr>
          <w:rFonts w:hint="eastAsia" w:ascii="宋体" w:hAnsi="宋体" w:cs="宋体"/>
          <w:b/>
          <w:color w:val="auto"/>
          <w:sz w:val="24"/>
          <w:highlight w:val="none"/>
        </w:rPr>
        <w:t>2.技术文件目录</w:t>
      </w:r>
    </w:p>
    <w:p w14:paraId="60EA822A">
      <w:pPr>
        <w:snapToGrid w:val="0"/>
        <w:spacing w:before="50" w:afterLines="50"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63AB6A15">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部分技术文件格式</w:t>
      </w:r>
    </w:p>
    <w:p w14:paraId="73C1375E">
      <w:pPr>
        <w:snapToGrid w:val="0"/>
        <w:spacing w:beforeLines="50" w:after="50"/>
        <w:ind w:left="142"/>
        <w:jc w:val="left"/>
        <w:rPr>
          <w:rFonts w:ascii="宋体" w:hAnsi="宋体" w:cs="宋体"/>
          <w:b/>
          <w:color w:val="auto"/>
          <w:sz w:val="24"/>
          <w:highlight w:val="none"/>
        </w:rPr>
      </w:pPr>
    </w:p>
    <w:p w14:paraId="647125F6">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技术要求偏离表</w:t>
      </w:r>
    </w:p>
    <w:p w14:paraId="5603E6D1">
      <w:pPr>
        <w:snapToGrid w:val="0"/>
        <w:spacing w:beforeLines="50" w:after="50"/>
        <w:ind w:left="142"/>
        <w:jc w:val="left"/>
        <w:rPr>
          <w:rFonts w:ascii="宋体" w:hAnsi="宋体" w:cs="宋体"/>
          <w:b/>
          <w:color w:val="auto"/>
          <w:sz w:val="24"/>
          <w:highlight w:val="none"/>
        </w:rPr>
      </w:pPr>
    </w:p>
    <w:p w14:paraId="53B0323C">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技术要求偏离表</w:t>
      </w:r>
    </w:p>
    <w:tbl>
      <w:tblPr>
        <w:tblStyle w:val="4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1834"/>
        <w:gridCol w:w="2181"/>
        <w:gridCol w:w="1934"/>
      </w:tblGrid>
      <w:tr w14:paraId="5B97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958" w:type="dxa"/>
            <w:vAlign w:val="center"/>
          </w:tcPr>
          <w:p w14:paraId="40D1BCF6">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标的的名称</w:t>
            </w:r>
          </w:p>
        </w:tc>
        <w:tc>
          <w:tcPr>
            <w:tcW w:w="1834" w:type="dxa"/>
            <w:vAlign w:val="center"/>
          </w:tcPr>
          <w:p w14:paraId="13C85115">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技术要求</w:t>
            </w:r>
          </w:p>
        </w:tc>
        <w:tc>
          <w:tcPr>
            <w:tcW w:w="2181" w:type="dxa"/>
            <w:vAlign w:val="center"/>
          </w:tcPr>
          <w:p w14:paraId="234C8447">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投标响应</w:t>
            </w:r>
          </w:p>
        </w:tc>
        <w:tc>
          <w:tcPr>
            <w:tcW w:w="1934" w:type="dxa"/>
            <w:vAlign w:val="center"/>
          </w:tcPr>
          <w:p w14:paraId="717ADB9C">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偏离说明</w:t>
            </w:r>
          </w:p>
        </w:tc>
      </w:tr>
      <w:tr w14:paraId="2633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8" w:type="dxa"/>
            <w:vAlign w:val="center"/>
          </w:tcPr>
          <w:p w14:paraId="5B4F9677">
            <w:pPr>
              <w:pStyle w:val="25"/>
              <w:spacing w:line="600" w:lineRule="exact"/>
              <w:jc w:val="center"/>
              <w:rPr>
                <w:rFonts w:hAnsi="宋体" w:cs="宋体"/>
                <w:color w:val="auto"/>
                <w:kern w:val="2"/>
                <w:sz w:val="24"/>
                <w:highlight w:val="none"/>
              </w:rPr>
            </w:pPr>
          </w:p>
        </w:tc>
        <w:tc>
          <w:tcPr>
            <w:tcW w:w="1834" w:type="dxa"/>
            <w:vAlign w:val="center"/>
          </w:tcPr>
          <w:p w14:paraId="648084D6">
            <w:pPr>
              <w:pStyle w:val="25"/>
              <w:spacing w:line="600" w:lineRule="exact"/>
              <w:jc w:val="center"/>
              <w:rPr>
                <w:rFonts w:hAnsi="宋体" w:cs="宋体"/>
                <w:color w:val="auto"/>
                <w:kern w:val="2"/>
                <w:sz w:val="24"/>
                <w:highlight w:val="none"/>
              </w:rPr>
            </w:pPr>
          </w:p>
        </w:tc>
        <w:tc>
          <w:tcPr>
            <w:tcW w:w="2181" w:type="dxa"/>
            <w:vAlign w:val="center"/>
          </w:tcPr>
          <w:p w14:paraId="153400CF">
            <w:pPr>
              <w:pStyle w:val="25"/>
              <w:spacing w:line="600" w:lineRule="exact"/>
              <w:jc w:val="center"/>
              <w:rPr>
                <w:rFonts w:hAnsi="宋体" w:cs="宋体"/>
                <w:color w:val="auto"/>
                <w:kern w:val="2"/>
                <w:sz w:val="24"/>
                <w:highlight w:val="none"/>
              </w:rPr>
            </w:pPr>
          </w:p>
        </w:tc>
        <w:tc>
          <w:tcPr>
            <w:tcW w:w="1934" w:type="dxa"/>
            <w:vAlign w:val="center"/>
          </w:tcPr>
          <w:p w14:paraId="774D3DCD">
            <w:pPr>
              <w:pStyle w:val="25"/>
              <w:spacing w:line="600" w:lineRule="exact"/>
              <w:jc w:val="center"/>
              <w:rPr>
                <w:rFonts w:hAnsi="宋体" w:cs="宋体"/>
                <w:color w:val="auto"/>
                <w:kern w:val="2"/>
                <w:sz w:val="24"/>
                <w:highlight w:val="none"/>
              </w:rPr>
            </w:pPr>
          </w:p>
        </w:tc>
      </w:tr>
    </w:tbl>
    <w:p w14:paraId="1B97DBE0">
      <w:pPr>
        <w:pStyle w:val="19"/>
        <w:rPr>
          <w:rFonts w:ascii="宋体" w:hAnsi="宋体" w:cs="宋体"/>
          <w:color w:val="auto"/>
          <w:highlight w:val="none"/>
        </w:rPr>
      </w:pPr>
      <w:r>
        <w:rPr>
          <w:rFonts w:hint="eastAsia" w:ascii="宋体" w:hAnsi="宋体" w:cs="宋体"/>
          <w:color w:val="auto"/>
          <w:highlight w:val="none"/>
        </w:rPr>
        <w:t>注：</w:t>
      </w:r>
    </w:p>
    <w:p w14:paraId="37D84EFE">
      <w:pPr>
        <w:pStyle w:val="3"/>
        <w:spacing w:line="360" w:lineRule="auto"/>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采购需求”中的“技术要求”逐条作明确的投标响应，并作出偏离说明。</w:t>
      </w:r>
    </w:p>
    <w:p w14:paraId="16BCF1EB">
      <w:pPr>
        <w:pStyle w:val="19"/>
        <w:spacing w:line="360" w:lineRule="auto"/>
        <w:rPr>
          <w:rFonts w:ascii="宋体" w:hAnsi="宋体" w:cs="宋体"/>
          <w:b w:val="0"/>
          <w:bCs w:val="0"/>
          <w:color w:val="auto"/>
          <w:highlight w:val="none"/>
        </w:rPr>
      </w:pPr>
      <w:r>
        <w:rPr>
          <w:rFonts w:hint="eastAsia" w:ascii="宋体" w:hAnsi="宋体" w:cs="宋体"/>
          <w:b w:val="0"/>
          <w:bCs w:val="0"/>
          <w:color w:val="auto"/>
          <w:highlight w:val="none"/>
        </w:rPr>
        <w:t>2.投标人根据投标货物的性能指标，对照招标文件技术要求，在“偏离说明”中注明“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77C433A4">
      <w:pPr>
        <w:pStyle w:val="3"/>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14:paraId="4F35C051">
      <w:pPr>
        <w:pStyle w:val="3"/>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如技术要求偏离表中的投标响应与佐证材料不一致的，以佐证材料为准。</w:t>
      </w:r>
    </w:p>
    <w:p w14:paraId="4678D78B">
      <w:pPr>
        <w:snapToGrid w:val="0"/>
        <w:spacing w:before="50" w:after="50" w:line="360" w:lineRule="auto"/>
        <w:rPr>
          <w:rFonts w:ascii="宋体" w:hAnsi="宋体" w:cs="宋体"/>
          <w:color w:val="auto"/>
          <w:sz w:val="24"/>
          <w:highlight w:val="none"/>
        </w:rPr>
      </w:pPr>
    </w:p>
    <w:p w14:paraId="0D5B5DEA">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62FEE4E3">
      <w:pPr>
        <w:snapToGrid w:val="0"/>
        <w:spacing w:before="50" w:after="50" w:line="360" w:lineRule="auto"/>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64B91602">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pacing w:val="20"/>
          <w:sz w:val="24"/>
          <w:highlight w:val="none"/>
        </w:rPr>
        <w:t>日 期：</w:t>
      </w:r>
    </w:p>
    <w:p w14:paraId="643A453F">
      <w:pPr>
        <w:snapToGrid w:val="0"/>
        <w:spacing w:before="50" w:after="50" w:line="360" w:lineRule="auto"/>
        <w:rPr>
          <w:rFonts w:ascii="宋体" w:hAnsi="宋体" w:cs="宋体"/>
          <w:color w:val="auto"/>
          <w:sz w:val="24"/>
          <w:szCs w:val="20"/>
          <w:highlight w:val="none"/>
        </w:rPr>
      </w:pPr>
    </w:p>
    <w:p w14:paraId="29FDB55B">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p>
    <w:p w14:paraId="449AD603">
      <w:pPr>
        <w:snapToGrid w:val="0"/>
        <w:spacing w:beforeLines="50" w:after="50"/>
        <w:ind w:left="142"/>
        <w:jc w:val="left"/>
        <w:rPr>
          <w:rFonts w:ascii="宋体" w:hAnsi="宋体" w:cs="宋体"/>
          <w:color w:val="auto"/>
          <w:sz w:val="24"/>
          <w:szCs w:val="20"/>
          <w:highlight w:val="none"/>
        </w:rPr>
      </w:pPr>
      <w:r>
        <w:rPr>
          <w:rFonts w:hint="eastAsia" w:ascii="宋体" w:hAnsi="宋体" w:cs="宋体"/>
          <w:b/>
          <w:color w:val="auto"/>
          <w:sz w:val="24"/>
          <w:highlight w:val="none"/>
        </w:rPr>
        <w:t>设备性能配置清单</w:t>
      </w:r>
    </w:p>
    <w:p w14:paraId="0038225F">
      <w:pPr>
        <w:snapToGrid w:val="0"/>
        <w:spacing w:beforeLines="50" w:after="50"/>
        <w:ind w:left="142"/>
        <w:jc w:val="left"/>
        <w:rPr>
          <w:rFonts w:ascii="宋体" w:hAnsi="宋体" w:cs="宋体"/>
          <w:b/>
          <w:color w:val="auto"/>
          <w:sz w:val="24"/>
          <w:highlight w:val="none"/>
        </w:rPr>
      </w:pPr>
    </w:p>
    <w:p w14:paraId="70CE4262">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设备性能配置清单</w:t>
      </w:r>
    </w:p>
    <w:tbl>
      <w:tblPr>
        <w:tblStyle w:val="47"/>
        <w:tblW w:w="457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6"/>
        <w:gridCol w:w="1266"/>
        <w:gridCol w:w="920"/>
        <w:gridCol w:w="828"/>
        <w:gridCol w:w="1413"/>
        <w:gridCol w:w="461"/>
        <w:gridCol w:w="581"/>
        <w:gridCol w:w="1402"/>
      </w:tblGrid>
      <w:tr w14:paraId="0B168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7449B88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810" w:type="pct"/>
            <w:tcBorders>
              <w:top w:val="single" w:color="auto" w:sz="4" w:space="0"/>
              <w:left w:val="single" w:color="auto" w:sz="4" w:space="0"/>
              <w:bottom w:val="single" w:color="auto" w:sz="4" w:space="0"/>
              <w:right w:val="single" w:color="auto" w:sz="4" w:space="0"/>
            </w:tcBorders>
            <w:vAlign w:val="center"/>
          </w:tcPr>
          <w:p w14:paraId="4FFCCF3F">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589" w:type="pct"/>
            <w:tcBorders>
              <w:top w:val="single" w:color="auto" w:sz="4" w:space="0"/>
              <w:left w:val="single" w:color="auto" w:sz="4" w:space="0"/>
              <w:bottom w:val="single" w:color="auto" w:sz="4" w:space="0"/>
              <w:right w:val="single" w:color="auto" w:sz="4" w:space="0"/>
            </w:tcBorders>
            <w:vAlign w:val="center"/>
          </w:tcPr>
          <w:p w14:paraId="550870B0">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530" w:type="pct"/>
            <w:tcBorders>
              <w:top w:val="single" w:color="auto" w:sz="4" w:space="0"/>
              <w:left w:val="single" w:color="auto" w:sz="4" w:space="0"/>
              <w:bottom w:val="single" w:color="auto" w:sz="4" w:space="0"/>
              <w:right w:val="single" w:color="auto" w:sz="4" w:space="0"/>
            </w:tcBorders>
            <w:vAlign w:val="center"/>
          </w:tcPr>
          <w:p w14:paraId="37A33A97">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品牌</w:t>
            </w:r>
          </w:p>
        </w:tc>
        <w:tc>
          <w:tcPr>
            <w:tcW w:w="904" w:type="pct"/>
            <w:tcBorders>
              <w:top w:val="single" w:color="auto" w:sz="4" w:space="0"/>
              <w:left w:val="single" w:color="auto" w:sz="4" w:space="0"/>
              <w:bottom w:val="single" w:color="auto" w:sz="4" w:space="0"/>
              <w:right w:val="single" w:color="auto" w:sz="4" w:space="0"/>
            </w:tcBorders>
          </w:tcPr>
          <w:p w14:paraId="5CEBA520">
            <w:pPr>
              <w:snapToGrid w:val="0"/>
              <w:spacing w:before="50" w:after="50"/>
              <w:jc w:val="center"/>
              <w:rPr>
                <w:rFonts w:ascii="宋体" w:hAnsi="宋体" w:cs="宋体"/>
                <w:color w:val="auto"/>
                <w:sz w:val="24"/>
                <w:highlight w:val="none"/>
              </w:rPr>
            </w:pPr>
          </w:p>
          <w:p w14:paraId="3785E0AF">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295" w:type="pct"/>
            <w:tcBorders>
              <w:top w:val="single" w:color="auto" w:sz="4" w:space="0"/>
              <w:left w:val="single" w:color="auto" w:sz="4" w:space="0"/>
              <w:bottom w:val="single" w:color="auto" w:sz="4" w:space="0"/>
              <w:right w:val="single" w:color="auto" w:sz="4" w:space="0"/>
            </w:tcBorders>
            <w:vAlign w:val="center"/>
          </w:tcPr>
          <w:p w14:paraId="7DFB742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制造商</w:t>
            </w:r>
          </w:p>
        </w:tc>
        <w:tc>
          <w:tcPr>
            <w:tcW w:w="372" w:type="pct"/>
            <w:tcBorders>
              <w:top w:val="single" w:color="auto" w:sz="4" w:space="0"/>
              <w:left w:val="single" w:color="auto" w:sz="4" w:space="0"/>
              <w:bottom w:val="single" w:color="auto" w:sz="4" w:space="0"/>
              <w:right w:val="single" w:color="auto" w:sz="4" w:space="0"/>
            </w:tcBorders>
            <w:vAlign w:val="center"/>
          </w:tcPr>
          <w:p w14:paraId="47796B9A">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产地</w:t>
            </w:r>
          </w:p>
        </w:tc>
        <w:tc>
          <w:tcPr>
            <w:tcW w:w="897" w:type="pct"/>
            <w:tcBorders>
              <w:top w:val="single" w:color="auto" w:sz="4" w:space="0"/>
              <w:left w:val="single" w:color="auto" w:sz="4" w:space="0"/>
              <w:bottom w:val="single" w:color="auto" w:sz="4" w:space="0"/>
              <w:right w:val="single" w:color="auto" w:sz="4" w:space="0"/>
            </w:tcBorders>
            <w:vAlign w:val="center"/>
          </w:tcPr>
          <w:p w14:paraId="3728129B">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参数性能、指标及配置</w:t>
            </w:r>
          </w:p>
        </w:tc>
      </w:tr>
      <w:tr w14:paraId="7F3EE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471507EF">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1</w:t>
            </w:r>
          </w:p>
        </w:tc>
        <w:tc>
          <w:tcPr>
            <w:tcW w:w="810" w:type="pct"/>
            <w:tcBorders>
              <w:top w:val="single" w:color="auto" w:sz="4" w:space="0"/>
              <w:left w:val="single" w:color="auto" w:sz="4" w:space="0"/>
              <w:bottom w:val="single" w:color="auto" w:sz="4" w:space="0"/>
              <w:right w:val="single" w:color="auto" w:sz="4" w:space="0"/>
            </w:tcBorders>
            <w:vAlign w:val="center"/>
          </w:tcPr>
          <w:p w14:paraId="369C1917">
            <w:pPr>
              <w:tabs>
                <w:tab w:val="left" w:pos="180"/>
                <w:tab w:val="left" w:pos="1620"/>
              </w:tabs>
              <w:adjustRightInd w:val="0"/>
              <w:snapToGrid w:val="0"/>
              <w:spacing w:line="36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78427FF8">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5C0578AE">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6A05A899">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4D0142F1">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744F17CF">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6AC1F774">
            <w:pPr>
              <w:snapToGrid w:val="0"/>
              <w:spacing w:before="50" w:after="50"/>
              <w:jc w:val="center"/>
              <w:rPr>
                <w:rFonts w:ascii="宋体" w:hAnsi="宋体" w:cs="宋体"/>
                <w:color w:val="auto"/>
                <w:sz w:val="24"/>
                <w:highlight w:val="none"/>
              </w:rPr>
            </w:pPr>
          </w:p>
        </w:tc>
      </w:tr>
      <w:tr w14:paraId="58187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1639D0B7">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2</w:t>
            </w:r>
          </w:p>
        </w:tc>
        <w:tc>
          <w:tcPr>
            <w:tcW w:w="810" w:type="pct"/>
            <w:tcBorders>
              <w:top w:val="single" w:color="auto" w:sz="4" w:space="0"/>
              <w:left w:val="single" w:color="auto" w:sz="4" w:space="0"/>
              <w:bottom w:val="single" w:color="auto" w:sz="4" w:space="0"/>
              <w:right w:val="single" w:color="auto" w:sz="4" w:space="0"/>
            </w:tcBorders>
            <w:vAlign w:val="center"/>
          </w:tcPr>
          <w:p w14:paraId="70E4B7BD">
            <w:pPr>
              <w:tabs>
                <w:tab w:val="left" w:pos="180"/>
                <w:tab w:val="left" w:pos="1620"/>
              </w:tabs>
              <w:adjustRightInd w:val="0"/>
              <w:snapToGrid w:val="0"/>
              <w:spacing w:line="36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5323F5DD">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51E0B962">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48378D45">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28CB5B23">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3989DD88">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43856E52">
            <w:pPr>
              <w:snapToGrid w:val="0"/>
              <w:spacing w:before="50" w:after="50"/>
              <w:jc w:val="center"/>
              <w:rPr>
                <w:rFonts w:ascii="宋体" w:hAnsi="宋体" w:cs="宋体"/>
                <w:color w:val="auto"/>
                <w:sz w:val="24"/>
                <w:highlight w:val="none"/>
              </w:rPr>
            </w:pPr>
          </w:p>
        </w:tc>
      </w:tr>
      <w:tr w14:paraId="3DFE5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0CE03FDF">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3</w:t>
            </w:r>
          </w:p>
        </w:tc>
        <w:tc>
          <w:tcPr>
            <w:tcW w:w="810" w:type="pct"/>
            <w:tcBorders>
              <w:top w:val="single" w:color="auto" w:sz="4" w:space="0"/>
              <w:left w:val="single" w:color="auto" w:sz="4" w:space="0"/>
              <w:bottom w:val="single" w:color="auto" w:sz="4" w:space="0"/>
              <w:right w:val="single" w:color="auto" w:sz="4" w:space="0"/>
            </w:tcBorders>
            <w:vAlign w:val="center"/>
          </w:tcPr>
          <w:p w14:paraId="70EDC88D">
            <w:pPr>
              <w:tabs>
                <w:tab w:val="left" w:pos="180"/>
                <w:tab w:val="left" w:pos="1620"/>
              </w:tabs>
              <w:adjustRightInd w:val="0"/>
              <w:snapToGrid w:val="0"/>
              <w:spacing w:line="36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341CA60F">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20DFD792">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7FD9F126">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3C744FF6">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12BEBBE7">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4C145BC2">
            <w:pPr>
              <w:snapToGrid w:val="0"/>
              <w:spacing w:before="50" w:after="50"/>
              <w:jc w:val="center"/>
              <w:rPr>
                <w:rFonts w:ascii="宋体" w:hAnsi="宋体" w:cs="宋体"/>
                <w:color w:val="auto"/>
                <w:sz w:val="24"/>
                <w:highlight w:val="none"/>
              </w:rPr>
            </w:pPr>
          </w:p>
        </w:tc>
      </w:tr>
      <w:tr w14:paraId="5EC8B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670BAC4F">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w:t>
            </w:r>
          </w:p>
        </w:tc>
        <w:tc>
          <w:tcPr>
            <w:tcW w:w="810" w:type="pct"/>
            <w:tcBorders>
              <w:top w:val="single" w:color="auto" w:sz="4" w:space="0"/>
              <w:left w:val="single" w:color="auto" w:sz="4" w:space="0"/>
              <w:bottom w:val="single" w:color="auto" w:sz="4" w:space="0"/>
              <w:right w:val="single" w:color="auto" w:sz="4" w:space="0"/>
            </w:tcBorders>
            <w:vAlign w:val="center"/>
          </w:tcPr>
          <w:p w14:paraId="459063B8">
            <w:pPr>
              <w:snapToGrid w:val="0"/>
              <w:spacing w:line="32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3E82DF30">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57F6B56D">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4D51D455">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5ACD3162">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7CA7C6C3">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7B5FA584">
            <w:pPr>
              <w:snapToGrid w:val="0"/>
              <w:spacing w:before="50" w:after="50"/>
              <w:jc w:val="center"/>
              <w:rPr>
                <w:rFonts w:ascii="宋体" w:hAnsi="宋体" w:cs="宋体"/>
                <w:color w:val="auto"/>
                <w:sz w:val="24"/>
                <w:highlight w:val="none"/>
              </w:rPr>
            </w:pPr>
          </w:p>
        </w:tc>
      </w:tr>
    </w:tbl>
    <w:p w14:paraId="15553C98">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备注：</w:t>
      </w:r>
    </w:p>
    <w:p w14:paraId="3F89D19D">
      <w:pPr>
        <w:spacing w:line="360" w:lineRule="auto"/>
        <w:ind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以上设备性能配置清单中“货物名称、数量及单位、品牌、规格型号、制造商、产地、参数性能、指标及配置”必须如实填写完整，品牌、规格型号没有则填无</w:t>
      </w:r>
      <w:r>
        <w:rPr>
          <w:rFonts w:hint="eastAsia" w:ascii="宋体" w:hAnsi="宋体" w:cs="宋体"/>
          <w:b/>
          <w:color w:val="auto"/>
          <w:sz w:val="24"/>
          <w:highlight w:val="none"/>
        </w:rPr>
        <w:t>。</w:t>
      </w:r>
    </w:p>
    <w:p w14:paraId="05DA0B6D">
      <w:pPr>
        <w:spacing w:line="360" w:lineRule="auto"/>
        <w:ind w:firstLine="480" w:firstLineChars="200"/>
        <w:contextualSpacing/>
        <w:rPr>
          <w:rFonts w:ascii="宋体" w:hAnsi="宋体" w:cs="宋体"/>
          <w:color w:val="auto"/>
          <w:sz w:val="24"/>
          <w:highlight w:val="none"/>
        </w:rPr>
      </w:pPr>
    </w:p>
    <w:p w14:paraId="7364332C">
      <w:pPr>
        <w:spacing w:line="360" w:lineRule="auto"/>
        <w:contextualSpacing/>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66AF5172">
      <w:pPr>
        <w:spacing w:line="360" w:lineRule="auto"/>
        <w:contextualSpacing/>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6C0BE257">
      <w:pPr>
        <w:spacing w:line="360" w:lineRule="auto"/>
        <w:contextualSpacing/>
        <w:rPr>
          <w:rFonts w:ascii="宋体" w:hAnsi="宋体" w:cs="宋体"/>
          <w:color w:val="auto"/>
          <w:sz w:val="24"/>
          <w:szCs w:val="20"/>
          <w:highlight w:val="none"/>
        </w:rPr>
      </w:pPr>
      <w:r>
        <w:rPr>
          <w:rFonts w:hint="eastAsia" w:ascii="宋体" w:hAnsi="宋体" w:cs="宋体"/>
          <w:color w:val="auto"/>
          <w:spacing w:val="20"/>
          <w:sz w:val="24"/>
          <w:highlight w:val="none"/>
        </w:rPr>
        <w:t>日  期：</w:t>
      </w:r>
    </w:p>
    <w:p w14:paraId="62498AB5">
      <w:pPr>
        <w:snapToGrid w:val="0"/>
        <w:spacing w:before="50" w:afterLines="50"/>
        <w:jc w:val="left"/>
        <w:rPr>
          <w:rFonts w:ascii="宋体" w:hAnsi="宋体" w:cs="宋体"/>
          <w:color w:val="auto"/>
          <w:sz w:val="24"/>
          <w:szCs w:val="20"/>
          <w:highlight w:val="none"/>
        </w:rPr>
      </w:pPr>
    </w:p>
    <w:p w14:paraId="31B431F0">
      <w:pPr>
        <w:snapToGrid w:val="0"/>
        <w:spacing w:before="50" w:afterLines="50"/>
        <w:jc w:val="left"/>
        <w:rPr>
          <w:rFonts w:ascii="宋体" w:hAnsi="宋体" w:cs="宋体"/>
          <w:color w:val="auto"/>
          <w:sz w:val="24"/>
          <w:szCs w:val="20"/>
          <w:highlight w:val="none"/>
        </w:rPr>
      </w:pPr>
    </w:p>
    <w:p w14:paraId="06CFF7FA">
      <w:pPr>
        <w:pStyle w:val="20"/>
        <w:rPr>
          <w:rFonts w:ascii="宋体" w:hAnsi="宋体" w:cs="宋体"/>
          <w:color w:val="auto"/>
          <w:szCs w:val="20"/>
          <w:highlight w:val="none"/>
        </w:rPr>
      </w:pPr>
    </w:p>
    <w:p w14:paraId="281479D2">
      <w:pPr>
        <w:pStyle w:val="20"/>
        <w:rPr>
          <w:rFonts w:ascii="宋体" w:hAnsi="宋体" w:cs="宋体"/>
          <w:color w:val="auto"/>
          <w:szCs w:val="20"/>
          <w:highlight w:val="none"/>
        </w:rPr>
      </w:pPr>
    </w:p>
    <w:p w14:paraId="0DAA4AC3">
      <w:pPr>
        <w:pStyle w:val="20"/>
        <w:rPr>
          <w:rFonts w:ascii="宋体" w:hAnsi="宋体" w:cs="宋体"/>
          <w:color w:val="auto"/>
          <w:szCs w:val="20"/>
          <w:highlight w:val="none"/>
        </w:rPr>
      </w:pPr>
    </w:p>
    <w:p w14:paraId="371AF967">
      <w:pPr>
        <w:pStyle w:val="20"/>
        <w:rPr>
          <w:rFonts w:ascii="宋体" w:hAnsi="宋体" w:cs="宋体"/>
          <w:color w:val="auto"/>
          <w:szCs w:val="20"/>
          <w:highlight w:val="none"/>
        </w:rPr>
      </w:pPr>
    </w:p>
    <w:p w14:paraId="0259C572">
      <w:pPr>
        <w:pStyle w:val="20"/>
        <w:rPr>
          <w:rFonts w:ascii="宋体" w:hAnsi="宋体" w:cs="宋体"/>
          <w:color w:val="auto"/>
          <w:szCs w:val="20"/>
          <w:highlight w:val="none"/>
        </w:rPr>
      </w:pPr>
    </w:p>
    <w:p w14:paraId="1F920733">
      <w:pPr>
        <w:pStyle w:val="20"/>
        <w:rPr>
          <w:rFonts w:ascii="宋体" w:hAnsi="宋体" w:cs="宋体"/>
          <w:color w:val="auto"/>
          <w:szCs w:val="20"/>
          <w:highlight w:val="none"/>
        </w:rPr>
      </w:pPr>
    </w:p>
    <w:p w14:paraId="3700C01A">
      <w:pPr>
        <w:pStyle w:val="20"/>
        <w:rPr>
          <w:rFonts w:ascii="宋体" w:hAnsi="宋体" w:cs="宋体"/>
          <w:color w:val="auto"/>
          <w:szCs w:val="20"/>
          <w:highlight w:val="none"/>
        </w:rPr>
      </w:pPr>
    </w:p>
    <w:p w14:paraId="62C77A6D">
      <w:pPr>
        <w:pStyle w:val="20"/>
        <w:rPr>
          <w:rFonts w:ascii="宋体" w:hAnsi="宋体" w:cs="宋体"/>
          <w:color w:val="auto"/>
          <w:szCs w:val="20"/>
          <w:highlight w:val="none"/>
        </w:rPr>
      </w:pPr>
    </w:p>
    <w:p w14:paraId="5C10E7C6">
      <w:pPr>
        <w:pStyle w:val="20"/>
        <w:rPr>
          <w:rFonts w:ascii="宋体" w:hAnsi="宋体" w:cs="宋体"/>
          <w:color w:val="auto"/>
          <w:szCs w:val="20"/>
          <w:highlight w:val="none"/>
        </w:rPr>
      </w:pPr>
    </w:p>
    <w:p w14:paraId="0A4F9DC7">
      <w:pPr>
        <w:pStyle w:val="20"/>
        <w:rPr>
          <w:rFonts w:ascii="宋体" w:hAnsi="宋体" w:cs="宋体"/>
          <w:color w:val="auto"/>
          <w:highlight w:val="none"/>
        </w:rPr>
      </w:pPr>
    </w:p>
    <w:p w14:paraId="59DD8428">
      <w:pPr>
        <w:rPr>
          <w:rFonts w:ascii="宋体" w:hAnsi="宋体" w:cs="宋体"/>
          <w:color w:val="auto"/>
          <w:highlight w:val="none"/>
        </w:rPr>
      </w:pPr>
    </w:p>
    <w:p w14:paraId="6B904DDE">
      <w:pPr>
        <w:pStyle w:val="20"/>
        <w:rPr>
          <w:rFonts w:ascii="宋体" w:hAnsi="宋体" w:cs="宋体"/>
          <w:color w:val="auto"/>
          <w:highlight w:val="none"/>
        </w:rPr>
      </w:pPr>
    </w:p>
    <w:p w14:paraId="14570327">
      <w:pPr>
        <w:rPr>
          <w:rFonts w:ascii="宋体" w:hAnsi="宋体" w:cs="宋体"/>
          <w:color w:val="auto"/>
          <w:highlight w:val="none"/>
        </w:rPr>
      </w:pPr>
    </w:p>
    <w:p w14:paraId="4B2E22F0">
      <w:pPr>
        <w:pStyle w:val="2"/>
        <w:ind w:firstLine="640"/>
        <w:rPr>
          <w:color w:val="auto"/>
          <w:highlight w:val="none"/>
        </w:rPr>
      </w:pPr>
    </w:p>
    <w:p w14:paraId="396BC20D">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项目实施人员一览表</w:t>
      </w:r>
    </w:p>
    <w:p w14:paraId="42BE043A">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459EFFDD">
      <w:pPr>
        <w:snapToGrid w:val="0"/>
        <w:spacing w:beforeLines="50" w:after="50"/>
        <w:ind w:left="142"/>
        <w:jc w:val="left"/>
        <w:rPr>
          <w:rFonts w:ascii="宋体" w:hAnsi="宋体" w:cs="宋体"/>
          <w:b/>
          <w:color w:val="auto"/>
          <w:sz w:val="32"/>
          <w:szCs w:val="32"/>
          <w:highlight w:val="none"/>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7494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4711502C">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06AB5C41">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1701" w:type="dxa"/>
            <w:vAlign w:val="center"/>
          </w:tcPr>
          <w:p w14:paraId="104A7764">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420" w:type="dxa"/>
            <w:vAlign w:val="center"/>
          </w:tcPr>
          <w:p w14:paraId="7A7F32DA">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698" w:type="dxa"/>
            <w:vAlign w:val="center"/>
          </w:tcPr>
          <w:p w14:paraId="49F2378D">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429094F9">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843" w:type="dxa"/>
            <w:vAlign w:val="center"/>
          </w:tcPr>
          <w:p w14:paraId="4324F10B">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14:paraId="071E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6342AADE">
            <w:pPr>
              <w:snapToGrid w:val="0"/>
              <w:spacing w:before="50" w:afterLines="50"/>
              <w:jc w:val="center"/>
              <w:rPr>
                <w:rFonts w:ascii="宋体" w:hAnsi="宋体" w:cs="宋体"/>
                <w:color w:val="auto"/>
                <w:sz w:val="24"/>
                <w:szCs w:val="20"/>
                <w:highlight w:val="none"/>
              </w:rPr>
            </w:pPr>
          </w:p>
        </w:tc>
        <w:tc>
          <w:tcPr>
            <w:tcW w:w="709" w:type="dxa"/>
            <w:vAlign w:val="center"/>
          </w:tcPr>
          <w:p w14:paraId="36E93D70">
            <w:pPr>
              <w:snapToGrid w:val="0"/>
              <w:spacing w:before="50" w:afterLines="50"/>
              <w:jc w:val="center"/>
              <w:rPr>
                <w:rFonts w:ascii="宋体" w:hAnsi="宋体" w:cs="宋体"/>
                <w:color w:val="auto"/>
                <w:sz w:val="24"/>
                <w:szCs w:val="20"/>
                <w:highlight w:val="none"/>
              </w:rPr>
            </w:pPr>
          </w:p>
        </w:tc>
        <w:tc>
          <w:tcPr>
            <w:tcW w:w="1701" w:type="dxa"/>
            <w:vAlign w:val="center"/>
          </w:tcPr>
          <w:p w14:paraId="408B4F35">
            <w:pPr>
              <w:snapToGrid w:val="0"/>
              <w:spacing w:before="50" w:afterLines="50"/>
              <w:jc w:val="center"/>
              <w:rPr>
                <w:rFonts w:ascii="宋体" w:hAnsi="宋体" w:cs="宋体"/>
                <w:color w:val="auto"/>
                <w:sz w:val="24"/>
                <w:szCs w:val="20"/>
                <w:highlight w:val="none"/>
              </w:rPr>
            </w:pPr>
          </w:p>
        </w:tc>
        <w:tc>
          <w:tcPr>
            <w:tcW w:w="1420" w:type="dxa"/>
            <w:vAlign w:val="center"/>
          </w:tcPr>
          <w:p w14:paraId="0E0B66D6">
            <w:pPr>
              <w:snapToGrid w:val="0"/>
              <w:spacing w:before="50" w:afterLines="50"/>
              <w:jc w:val="center"/>
              <w:rPr>
                <w:rFonts w:ascii="宋体" w:hAnsi="宋体" w:cs="宋体"/>
                <w:color w:val="auto"/>
                <w:sz w:val="24"/>
                <w:szCs w:val="20"/>
                <w:highlight w:val="none"/>
              </w:rPr>
            </w:pPr>
          </w:p>
        </w:tc>
        <w:tc>
          <w:tcPr>
            <w:tcW w:w="1698" w:type="dxa"/>
            <w:vAlign w:val="center"/>
          </w:tcPr>
          <w:p w14:paraId="257B570C">
            <w:pPr>
              <w:snapToGrid w:val="0"/>
              <w:spacing w:before="50" w:afterLines="50"/>
              <w:jc w:val="center"/>
              <w:rPr>
                <w:rFonts w:ascii="宋体" w:hAnsi="宋体" w:cs="宋体"/>
                <w:color w:val="auto"/>
                <w:sz w:val="24"/>
                <w:szCs w:val="20"/>
                <w:highlight w:val="none"/>
              </w:rPr>
            </w:pPr>
          </w:p>
        </w:tc>
        <w:tc>
          <w:tcPr>
            <w:tcW w:w="1843" w:type="dxa"/>
            <w:vAlign w:val="center"/>
          </w:tcPr>
          <w:p w14:paraId="0B746F81">
            <w:pPr>
              <w:snapToGrid w:val="0"/>
              <w:spacing w:before="50" w:afterLines="50"/>
              <w:jc w:val="center"/>
              <w:rPr>
                <w:rFonts w:ascii="宋体" w:hAnsi="宋体" w:cs="宋体"/>
                <w:color w:val="auto"/>
                <w:sz w:val="24"/>
                <w:szCs w:val="20"/>
                <w:highlight w:val="none"/>
              </w:rPr>
            </w:pPr>
          </w:p>
        </w:tc>
      </w:tr>
      <w:tr w14:paraId="77D3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298111CE">
            <w:pPr>
              <w:snapToGrid w:val="0"/>
              <w:spacing w:before="50" w:afterLines="50"/>
              <w:jc w:val="center"/>
              <w:rPr>
                <w:rFonts w:ascii="宋体" w:hAnsi="宋体" w:cs="宋体"/>
                <w:color w:val="auto"/>
                <w:sz w:val="24"/>
                <w:szCs w:val="20"/>
                <w:highlight w:val="none"/>
              </w:rPr>
            </w:pPr>
          </w:p>
        </w:tc>
        <w:tc>
          <w:tcPr>
            <w:tcW w:w="709" w:type="dxa"/>
            <w:vAlign w:val="center"/>
          </w:tcPr>
          <w:p w14:paraId="6ACB7395">
            <w:pPr>
              <w:snapToGrid w:val="0"/>
              <w:spacing w:before="50" w:afterLines="50"/>
              <w:jc w:val="center"/>
              <w:rPr>
                <w:rFonts w:ascii="宋体" w:hAnsi="宋体" w:cs="宋体"/>
                <w:color w:val="auto"/>
                <w:sz w:val="24"/>
                <w:szCs w:val="20"/>
                <w:highlight w:val="none"/>
              </w:rPr>
            </w:pPr>
          </w:p>
        </w:tc>
        <w:tc>
          <w:tcPr>
            <w:tcW w:w="1701" w:type="dxa"/>
            <w:vAlign w:val="center"/>
          </w:tcPr>
          <w:p w14:paraId="57643B5E">
            <w:pPr>
              <w:snapToGrid w:val="0"/>
              <w:spacing w:before="50" w:afterLines="50"/>
              <w:jc w:val="center"/>
              <w:rPr>
                <w:rFonts w:ascii="宋体" w:hAnsi="宋体" w:cs="宋体"/>
                <w:color w:val="auto"/>
                <w:sz w:val="24"/>
                <w:szCs w:val="20"/>
                <w:highlight w:val="none"/>
              </w:rPr>
            </w:pPr>
          </w:p>
        </w:tc>
        <w:tc>
          <w:tcPr>
            <w:tcW w:w="1420" w:type="dxa"/>
            <w:vAlign w:val="center"/>
          </w:tcPr>
          <w:p w14:paraId="477CB2D5">
            <w:pPr>
              <w:snapToGrid w:val="0"/>
              <w:spacing w:before="50" w:afterLines="50"/>
              <w:jc w:val="center"/>
              <w:rPr>
                <w:rFonts w:ascii="宋体" w:hAnsi="宋体" w:cs="宋体"/>
                <w:color w:val="auto"/>
                <w:sz w:val="24"/>
                <w:szCs w:val="20"/>
                <w:highlight w:val="none"/>
              </w:rPr>
            </w:pPr>
          </w:p>
        </w:tc>
        <w:tc>
          <w:tcPr>
            <w:tcW w:w="1698" w:type="dxa"/>
            <w:vAlign w:val="center"/>
          </w:tcPr>
          <w:p w14:paraId="0315DAFC">
            <w:pPr>
              <w:snapToGrid w:val="0"/>
              <w:spacing w:before="50" w:afterLines="50"/>
              <w:jc w:val="center"/>
              <w:rPr>
                <w:rFonts w:ascii="宋体" w:hAnsi="宋体" w:cs="宋体"/>
                <w:color w:val="auto"/>
                <w:sz w:val="24"/>
                <w:szCs w:val="20"/>
                <w:highlight w:val="none"/>
              </w:rPr>
            </w:pPr>
          </w:p>
        </w:tc>
        <w:tc>
          <w:tcPr>
            <w:tcW w:w="1843" w:type="dxa"/>
            <w:vAlign w:val="center"/>
          </w:tcPr>
          <w:p w14:paraId="6A46FF27">
            <w:pPr>
              <w:snapToGrid w:val="0"/>
              <w:spacing w:before="50" w:afterLines="50"/>
              <w:jc w:val="center"/>
              <w:rPr>
                <w:rFonts w:ascii="宋体" w:hAnsi="宋体" w:cs="宋体"/>
                <w:color w:val="auto"/>
                <w:sz w:val="24"/>
                <w:szCs w:val="20"/>
                <w:highlight w:val="none"/>
              </w:rPr>
            </w:pPr>
          </w:p>
        </w:tc>
      </w:tr>
      <w:tr w14:paraId="445F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2A076762">
            <w:pPr>
              <w:snapToGrid w:val="0"/>
              <w:spacing w:before="50" w:afterLines="50"/>
              <w:jc w:val="center"/>
              <w:rPr>
                <w:rFonts w:ascii="宋体" w:hAnsi="宋体" w:cs="宋体"/>
                <w:color w:val="auto"/>
                <w:sz w:val="24"/>
                <w:szCs w:val="20"/>
                <w:highlight w:val="none"/>
              </w:rPr>
            </w:pPr>
          </w:p>
        </w:tc>
        <w:tc>
          <w:tcPr>
            <w:tcW w:w="709" w:type="dxa"/>
            <w:vAlign w:val="center"/>
          </w:tcPr>
          <w:p w14:paraId="381AF74E">
            <w:pPr>
              <w:snapToGrid w:val="0"/>
              <w:spacing w:before="50" w:afterLines="50"/>
              <w:jc w:val="center"/>
              <w:rPr>
                <w:rFonts w:ascii="宋体" w:hAnsi="宋体" w:cs="宋体"/>
                <w:color w:val="auto"/>
                <w:sz w:val="24"/>
                <w:szCs w:val="20"/>
                <w:highlight w:val="none"/>
              </w:rPr>
            </w:pPr>
          </w:p>
        </w:tc>
        <w:tc>
          <w:tcPr>
            <w:tcW w:w="1701" w:type="dxa"/>
            <w:vAlign w:val="center"/>
          </w:tcPr>
          <w:p w14:paraId="259806FC">
            <w:pPr>
              <w:snapToGrid w:val="0"/>
              <w:spacing w:before="50" w:afterLines="50"/>
              <w:jc w:val="center"/>
              <w:rPr>
                <w:rFonts w:ascii="宋体" w:hAnsi="宋体" w:cs="宋体"/>
                <w:color w:val="auto"/>
                <w:sz w:val="24"/>
                <w:szCs w:val="20"/>
                <w:highlight w:val="none"/>
              </w:rPr>
            </w:pPr>
          </w:p>
        </w:tc>
        <w:tc>
          <w:tcPr>
            <w:tcW w:w="1420" w:type="dxa"/>
            <w:vAlign w:val="center"/>
          </w:tcPr>
          <w:p w14:paraId="26CC5C1B">
            <w:pPr>
              <w:snapToGrid w:val="0"/>
              <w:spacing w:before="50" w:afterLines="50"/>
              <w:jc w:val="center"/>
              <w:rPr>
                <w:rFonts w:ascii="宋体" w:hAnsi="宋体" w:cs="宋体"/>
                <w:color w:val="auto"/>
                <w:sz w:val="24"/>
                <w:szCs w:val="20"/>
                <w:highlight w:val="none"/>
              </w:rPr>
            </w:pPr>
          </w:p>
        </w:tc>
        <w:tc>
          <w:tcPr>
            <w:tcW w:w="1698" w:type="dxa"/>
            <w:vAlign w:val="center"/>
          </w:tcPr>
          <w:p w14:paraId="066BFA0D">
            <w:pPr>
              <w:snapToGrid w:val="0"/>
              <w:spacing w:before="50" w:afterLines="50"/>
              <w:jc w:val="center"/>
              <w:rPr>
                <w:rFonts w:ascii="宋体" w:hAnsi="宋体" w:cs="宋体"/>
                <w:color w:val="auto"/>
                <w:sz w:val="24"/>
                <w:szCs w:val="20"/>
                <w:highlight w:val="none"/>
              </w:rPr>
            </w:pPr>
          </w:p>
        </w:tc>
        <w:tc>
          <w:tcPr>
            <w:tcW w:w="1843" w:type="dxa"/>
            <w:vAlign w:val="center"/>
          </w:tcPr>
          <w:p w14:paraId="7D0FBFA7">
            <w:pPr>
              <w:snapToGrid w:val="0"/>
              <w:spacing w:before="50" w:afterLines="50"/>
              <w:jc w:val="center"/>
              <w:rPr>
                <w:rFonts w:ascii="宋体" w:hAnsi="宋体" w:cs="宋体"/>
                <w:color w:val="auto"/>
                <w:sz w:val="24"/>
                <w:szCs w:val="20"/>
                <w:highlight w:val="none"/>
              </w:rPr>
            </w:pPr>
          </w:p>
        </w:tc>
      </w:tr>
    </w:tbl>
    <w:p w14:paraId="7122F25C">
      <w:pPr>
        <w:snapToGrid w:val="0"/>
        <w:spacing w:before="50" w:afterLines="50"/>
        <w:jc w:val="left"/>
        <w:rPr>
          <w:rFonts w:ascii="宋体" w:hAnsi="宋体" w:cs="宋体"/>
          <w:color w:val="auto"/>
          <w:sz w:val="24"/>
          <w:szCs w:val="20"/>
          <w:highlight w:val="none"/>
        </w:rPr>
      </w:pPr>
    </w:p>
    <w:p w14:paraId="2BA0A746">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14:paraId="44229B04">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1.在填写时，如本表格不适合投标单位的实际情况，可根据本表格式自行制表填写。</w:t>
      </w:r>
    </w:p>
    <w:p w14:paraId="4AEE3A9B">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2.投标人应当附本表所列证书的复印件并加盖供应商CA电子签章。</w:t>
      </w:r>
    </w:p>
    <w:p w14:paraId="0760EAC2">
      <w:pPr>
        <w:spacing w:line="360" w:lineRule="auto"/>
        <w:contextualSpacing/>
        <w:jc w:val="left"/>
        <w:rPr>
          <w:rFonts w:ascii="宋体" w:hAnsi="宋体" w:cs="宋体"/>
          <w:color w:val="auto"/>
          <w:sz w:val="24"/>
          <w:szCs w:val="20"/>
          <w:highlight w:val="none"/>
        </w:rPr>
      </w:pPr>
    </w:p>
    <w:p w14:paraId="61675B22">
      <w:pPr>
        <w:spacing w:line="360" w:lineRule="auto"/>
        <w:contextualSpacing/>
        <w:jc w:val="left"/>
        <w:rPr>
          <w:rFonts w:ascii="宋体" w:hAnsi="宋体" w:cs="宋体"/>
          <w:color w:val="auto"/>
          <w:sz w:val="24"/>
          <w:szCs w:val="20"/>
          <w:highlight w:val="none"/>
        </w:rPr>
      </w:pPr>
    </w:p>
    <w:p w14:paraId="126F1783">
      <w:pPr>
        <w:spacing w:line="360" w:lineRule="auto"/>
        <w:contextualSpacing/>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0D5DA0C4">
      <w:pPr>
        <w:spacing w:line="360" w:lineRule="auto"/>
        <w:contextualSpacing/>
        <w:jc w:val="left"/>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130046CE">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日 期：</w:t>
      </w:r>
    </w:p>
    <w:p w14:paraId="44B254FC">
      <w:pPr>
        <w:snapToGrid w:val="0"/>
        <w:spacing w:before="50" w:afterLines="50"/>
        <w:jc w:val="left"/>
        <w:rPr>
          <w:rFonts w:ascii="宋体" w:hAnsi="宋体" w:cs="宋体"/>
          <w:color w:val="auto"/>
          <w:sz w:val="24"/>
          <w:szCs w:val="20"/>
          <w:highlight w:val="none"/>
        </w:rPr>
      </w:pPr>
    </w:p>
    <w:p w14:paraId="6186ECD1">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选配件、专用耗材、售后服务优惠表</w:t>
      </w:r>
    </w:p>
    <w:p w14:paraId="7D0EC7DA">
      <w:pPr>
        <w:snapToGrid w:val="0"/>
        <w:spacing w:beforeLines="50" w:after="50"/>
        <w:ind w:left="142"/>
        <w:jc w:val="left"/>
        <w:rPr>
          <w:rFonts w:ascii="宋体" w:hAnsi="宋体" w:cs="宋体"/>
          <w:b/>
          <w:color w:val="auto"/>
          <w:sz w:val="24"/>
          <w:highlight w:val="none"/>
        </w:rPr>
      </w:pPr>
    </w:p>
    <w:p w14:paraId="6EEDACBF">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选配件、专用耗材、售后服务优惠表</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46FA2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3B9035">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09FBB4DC">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712551CB">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52197287">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17B25A5C">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比市场价优惠率（%）</w:t>
            </w:r>
          </w:p>
        </w:tc>
      </w:tr>
      <w:tr w14:paraId="345A7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4BBB9DF">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1C32869A">
            <w:pPr>
              <w:pStyle w:val="25"/>
              <w:snapToGrid w:val="0"/>
              <w:spacing w:before="295" w:after="295"/>
              <w:jc w:val="center"/>
              <w:rPr>
                <w:rFonts w:hAnsi="宋体" w:cs="宋体"/>
                <w:color w:val="auto"/>
                <w:kern w:val="2"/>
                <w:sz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7FA19ABB">
            <w:pPr>
              <w:pStyle w:val="25"/>
              <w:snapToGrid w:val="0"/>
              <w:spacing w:before="295" w:after="295"/>
              <w:jc w:val="center"/>
              <w:rPr>
                <w:rFonts w:hAnsi="宋体" w:cs="宋体"/>
                <w:color w:val="auto"/>
                <w:kern w:val="2"/>
                <w:sz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49F9B708">
            <w:pPr>
              <w:pStyle w:val="25"/>
              <w:snapToGrid w:val="0"/>
              <w:spacing w:before="295" w:after="295"/>
              <w:jc w:val="center"/>
              <w:rPr>
                <w:rFonts w:hAnsi="宋体" w:cs="宋体"/>
                <w:color w:val="auto"/>
                <w:kern w:val="2"/>
                <w:sz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2F871931">
            <w:pPr>
              <w:pStyle w:val="25"/>
              <w:snapToGrid w:val="0"/>
              <w:spacing w:before="295" w:after="295"/>
              <w:jc w:val="center"/>
              <w:rPr>
                <w:rFonts w:hAnsi="宋体" w:cs="宋体"/>
                <w:color w:val="auto"/>
                <w:kern w:val="2"/>
                <w:sz w:val="24"/>
                <w:highlight w:val="none"/>
              </w:rPr>
            </w:pPr>
          </w:p>
        </w:tc>
      </w:tr>
      <w:tr w14:paraId="7BDAB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46C258E">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1CAB3422">
            <w:pPr>
              <w:pStyle w:val="25"/>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753D0B81">
            <w:pPr>
              <w:pStyle w:val="25"/>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5B178E5">
            <w:pPr>
              <w:pStyle w:val="25"/>
              <w:snapToGrid w:val="0"/>
              <w:spacing w:before="295" w:after="295"/>
              <w:jc w:val="center"/>
              <w:rPr>
                <w:rFonts w:hAnsi="宋体" w:cs="宋体"/>
                <w:color w:val="auto"/>
                <w:kern w:val="2"/>
                <w:sz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14974C51">
            <w:pPr>
              <w:pStyle w:val="25"/>
              <w:snapToGrid w:val="0"/>
              <w:spacing w:before="295" w:after="295"/>
              <w:jc w:val="center"/>
              <w:rPr>
                <w:rFonts w:hAnsi="宋体" w:cs="宋体"/>
                <w:color w:val="auto"/>
                <w:kern w:val="2"/>
                <w:sz w:val="24"/>
                <w:highlight w:val="none"/>
              </w:rPr>
            </w:pPr>
          </w:p>
        </w:tc>
      </w:tr>
      <w:tr w14:paraId="23338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98C822C">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331B70A0">
            <w:pPr>
              <w:pStyle w:val="25"/>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42883758">
            <w:pPr>
              <w:pStyle w:val="25"/>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D25CC16">
            <w:pPr>
              <w:pStyle w:val="25"/>
              <w:snapToGrid w:val="0"/>
              <w:spacing w:before="295" w:after="295"/>
              <w:jc w:val="center"/>
              <w:rPr>
                <w:rFonts w:hAnsi="宋体" w:cs="宋体"/>
                <w:color w:val="auto"/>
                <w:kern w:val="2"/>
                <w:sz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1F84B8A6">
            <w:pPr>
              <w:pStyle w:val="25"/>
              <w:snapToGrid w:val="0"/>
              <w:spacing w:before="295" w:after="295"/>
              <w:jc w:val="center"/>
              <w:rPr>
                <w:rFonts w:hAnsi="宋体" w:cs="宋体"/>
                <w:color w:val="auto"/>
                <w:kern w:val="2"/>
                <w:sz w:val="24"/>
                <w:highlight w:val="none"/>
              </w:rPr>
            </w:pPr>
          </w:p>
        </w:tc>
      </w:tr>
    </w:tbl>
    <w:p w14:paraId="5D94D4F7">
      <w:pPr>
        <w:spacing w:line="360" w:lineRule="auto"/>
        <w:contextualSpacing/>
        <w:rPr>
          <w:rFonts w:ascii="宋体" w:hAnsi="宋体" w:cs="宋体"/>
          <w:color w:val="auto"/>
          <w:sz w:val="24"/>
          <w:highlight w:val="none"/>
        </w:rPr>
      </w:pPr>
    </w:p>
    <w:p w14:paraId="5D68E1A7">
      <w:pPr>
        <w:spacing w:line="360" w:lineRule="auto"/>
        <w:contextualSpacing/>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4A6BC45E">
      <w:pPr>
        <w:spacing w:line="360" w:lineRule="auto"/>
        <w:contextualSpacing/>
        <w:jc w:val="left"/>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704EDB40">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日 期：</w:t>
      </w:r>
    </w:p>
    <w:p w14:paraId="594F6BA0">
      <w:pPr>
        <w:snapToGrid w:val="0"/>
        <w:spacing w:before="50" w:afterLines="50"/>
        <w:jc w:val="left"/>
        <w:rPr>
          <w:rFonts w:ascii="宋体" w:hAnsi="宋体" w:cs="宋体"/>
          <w:color w:val="auto"/>
          <w:sz w:val="24"/>
          <w:szCs w:val="20"/>
          <w:highlight w:val="none"/>
        </w:rPr>
      </w:pPr>
    </w:p>
    <w:p w14:paraId="716F75A6">
      <w:pPr>
        <w:rPr>
          <w:rFonts w:ascii="宋体" w:hAnsi="宋体" w:cs="宋体"/>
          <w:b/>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sz w:val="28"/>
          <w:szCs w:val="28"/>
          <w:highlight w:val="none"/>
        </w:rPr>
        <w:t>五、其他文书、文件格式</w:t>
      </w:r>
    </w:p>
    <w:p w14:paraId="3C0C9101">
      <w:pPr>
        <w:snapToGrid w:val="0"/>
        <w:spacing w:beforeLines="50" w:after="50"/>
        <w:ind w:left="142"/>
        <w:jc w:val="left"/>
        <w:rPr>
          <w:rFonts w:ascii="宋体" w:hAnsi="宋体" w:cs="宋体"/>
          <w:b/>
          <w:color w:val="auto"/>
          <w:spacing w:val="20"/>
          <w:sz w:val="24"/>
          <w:highlight w:val="none"/>
        </w:rPr>
      </w:pPr>
      <w:r>
        <w:rPr>
          <w:rFonts w:hint="eastAsia" w:ascii="宋体" w:hAnsi="宋体" w:cs="宋体"/>
          <w:b/>
          <w:color w:val="auto"/>
          <w:spacing w:val="20"/>
          <w:sz w:val="24"/>
          <w:highlight w:val="none"/>
        </w:rPr>
        <w:t>1.联合投标协议书格式</w:t>
      </w:r>
    </w:p>
    <w:p w14:paraId="36C3FDE1">
      <w:pPr>
        <w:pStyle w:val="8"/>
        <w:overflowPunct w:val="0"/>
        <w:jc w:val="center"/>
        <w:rPr>
          <w:rFonts w:ascii="宋体" w:hAnsi="宋体" w:cs="宋体"/>
          <w:color w:val="auto"/>
          <w:sz w:val="44"/>
          <w:szCs w:val="44"/>
          <w:highlight w:val="none"/>
        </w:rPr>
      </w:pPr>
    </w:p>
    <w:p w14:paraId="3FB1BBF4">
      <w:pPr>
        <w:pStyle w:val="8"/>
        <w:overflowPunct w:val="0"/>
        <w:jc w:val="center"/>
        <w:rPr>
          <w:rFonts w:ascii="宋体" w:hAnsi="宋体" w:cs="宋体"/>
          <w:color w:val="auto"/>
          <w:sz w:val="44"/>
          <w:szCs w:val="44"/>
          <w:highlight w:val="none"/>
        </w:rPr>
      </w:pPr>
      <w:r>
        <w:rPr>
          <w:rFonts w:hint="eastAsia" w:ascii="宋体" w:hAnsi="宋体" w:cs="宋体"/>
          <w:color w:val="auto"/>
          <w:sz w:val="44"/>
          <w:szCs w:val="44"/>
          <w:highlight w:val="none"/>
        </w:rPr>
        <w:t>联合体协议书</w:t>
      </w:r>
    </w:p>
    <w:p w14:paraId="3F518B2B">
      <w:pPr>
        <w:pStyle w:val="8"/>
        <w:overflowPunct w:val="0"/>
        <w:rPr>
          <w:rFonts w:ascii="宋体" w:hAnsi="宋体" w:cs="宋体"/>
          <w:color w:val="auto"/>
          <w:sz w:val="24"/>
          <w:highlight w:val="none"/>
        </w:rPr>
      </w:pPr>
    </w:p>
    <w:p w14:paraId="737F7D2B">
      <w:pPr>
        <w:pStyle w:val="8"/>
        <w:overflowPunct w:val="0"/>
        <w:spacing w:line="360" w:lineRule="auto"/>
        <w:contextualSpacing/>
        <w:rPr>
          <w:rFonts w:ascii="宋体" w:hAnsi="宋体" w:cs="宋体"/>
          <w:color w:val="auto"/>
          <w:sz w:val="24"/>
          <w:highlight w:val="none"/>
        </w:rPr>
      </w:pPr>
      <w:r>
        <w:rPr>
          <w:rFonts w:hint="eastAsia" w:ascii="宋体" w:hAnsi="宋体" w:cs="宋体"/>
          <w:color w:val="auto"/>
          <w:sz w:val="24"/>
          <w:highlight w:val="none"/>
          <w:u w:val="single"/>
        </w:rPr>
        <w:tab/>
      </w:r>
      <w:r>
        <w:rPr>
          <w:rFonts w:hint="eastAsia" w:ascii="宋体" w:hAnsi="宋体" w:cs="宋体"/>
          <w:color w:val="auto"/>
          <w:sz w:val="24"/>
          <w:highlight w:val="none"/>
        </w:rPr>
        <w:t>（所有成员单位名称）自愿组成</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（联合体名称）联合体，共同参加</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采购招标项目投标。现就联合体投标事宜订立如下协议。</w:t>
      </w:r>
    </w:p>
    <w:p w14:paraId="753BED51">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ab/>
      </w:r>
      <w:r>
        <w:rPr>
          <w:rFonts w:hint="eastAsia" w:ascii="宋体" w:hAnsi="宋体" w:cs="宋体"/>
          <w:color w:val="auto"/>
          <w:sz w:val="24"/>
          <w:highlight w:val="none"/>
        </w:rPr>
        <w:t>（某成员单位名称）为</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（联合体名称）牵头人。</w:t>
      </w:r>
    </w:p>
    <w:p w14:paraId="40C278A8">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2.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14F65FE7">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3.联合体牵头人在本项目中签署和盖章的一切文件和处理的一切事宜，联合体各成员均予以承认。联合体各成员将严格按照招标文件、投标文件和合同的要求全面履行义务，并向招标人承担连带责任。</w:t>
      </w:r>
    </w:p>
    <w:p w14:paraId="3CA90164">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57227241">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5.本协议书自所有成员单位法定代表人或者其委托代理人签字（或者电子签名）或者盖公章之日起生效，合同履行完毕后自动失效。</w:t>
      </w:r>
    </w:p>
    <w:p w14:paraId="6BA6319A">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6.本协议书一式</w:t>
      </w:r>
      <w:r>
        <w:rPr>
          <w:rFonts w:hint="eastAsia" w:ascii="宋体" w:hAnsi="宋体" w:cs="宋体"/>
          <w:color w:val="auto"/>
          <w:sz w:val="24"/>
          <w:highlight w:val="none"/>
          <w:u w:val="single"/>
        </w:rPr>
        <w:tab/>
      </w:r>
      <w:r>
        <w:rPr>
          <w:rFonts w:hint="eastAsia" w:ascii="宋体" w:hAnsi="宋体" w:cs="宋体"/>
          <w:color w:val="auto"/>
          <w:sz w:val="24"/>
          <w:highlight w:val="none"/>
        </w:rPr>
        <w:t>份，联合体成员和招标人各执一份。</w:t>
      </w:r>
    </w:p>
    <w:p w14:paraId="534E865C">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注：本协议书应附法定代表人身份证明；有委托代理的，应附授权委托书（格式自拟）。</w:t>
      </w:r>
    </w:p>
    <w:p w14:paraId="2648A226">
      <w:pPr>
        <w:pStyle w:val="8"/>
        <w:overflowPunct w:val="0"/>
        <w:spacing w:line="360" w:lineRule="auto"/>
        <w:ind w:firstLineChars="175"/>
        <w:contextualSpacing/>
        <w:rPr>
          <w:rFonts w:ascii="宋体" w:hAnsi="宋体" w:cs="宋体"/>
          <w:color w:val="auto"/>
          <w:sz w:val="24"/>
          <w:highlight w:val="none"/>
        </w:rPr>
      </w:pPr>
    </w:p>
    <w:p w14:paraId="0846BB32">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联合体牵头人名称（电子签章）：</w:t>
      </w:r>
    </w:p>
    <w:p w14:paraId="526FECEB">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法定代表人或者其委托代理人：</w:t>
      </w:r>
      <w:r>
        <w:rPr>
          <w:rFonts w:hint="eastAsia" w:ascii="宋体" w:hAnsi="宋体" w:cs="宋体"/>
          <w:color w:val="auto"/>
          <w:sz w:val="24"/>
          <w:highlight w:val="none"/>
        </w:rPr>
        <w:tab/>
      </w:r>
      <w:r>
        <w:rPr>
          <w:rFonts w:hint="eastAsia" w:ascii="宋体" w:hAnsi="宋体" w:cs="宋体"/>
          <w:color w:val="auto"/>
          <w:sz w:val="24"/>
          <w:highlight w:val="none"/>
        </w:rPr>
        <w:t>（签字或者电子签名）</w:t>
      </w:r>
    </w:p>
    <w:p w14:paraId="4F4F2052">
      <w:pPr>
        <w:pStyle w:val="8"/>
        <w:overflowPunct w:val="0"/>
        <w:spacing w:line="360" w:lineRule="auto"/>
        <w:ind w:firstLineChars="175"/>
        <w:contextualSpacing/>
        <w:rPr>
          <w:rFonts w:ascii="宋体" w:hAnsi="宋体" w:cs="宋体"/>
          <w:color w:val="auto"/>
          <w:sz w:val="24"/>
          <w:highlight w:val="none"/>
        </w:rPr>
      </w:pPr>
    </w:p>
    <w:p w14:paraId="6752EB04">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联合体成员名称（盖公章或者电子签章）：</w:t>
      </w:r>
    </w:p>
    <w:p w14:paraId="725BBD35">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法定代表人或者其委托代理人：</w:t>
      </w:r>
      <w:r>
        <w:rPr>
          <w:rFonts w:hint="eastAsia" w:ascii="宋体" w:hAnsi="宋体" w:cs="宋体"/>
          <w:color w:val="auto"/>
          <w:sz w:val="24"/>
          <w:highlight w:val="none"/>
        </w:rPr>
        <w:tab/>
      </w:r>
      <w:r>
        <w:rPr>
          <w:rFonts w:hint="eastAsia" w:ascii="宋体" w:hAnsi="宋体" w:cs="宋体"/>
          <w:color w:val="auto"/>
          <w:sz w:val="24"/>
          <w:highlight w:val="none"/>
        </w:rPr>
        <w:t>（签字或者电子签名）</w:t>
      </w:r>
    </w:p>
    <w:p w14:paraId="33EA1FD5">
      <w:pPr>
        <w:pStyle w:val="8"/>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w:t>
      </w:r>
    </w:p>
    <w:p w14:paraId="1C98AB3A">
      <w:pPr>
        <w:pStyle w:val="8"/>
        <w:overflowPunct w:val="0"/>
        <w:spacing w:line="360" w:lineRule="auto"/>
        <w:ind w:firstLineChars="175"/>
        <w:contextualSpacing/>
        <w:rPr>
          <w:rFonts w:ascii="宋体" w:hAnsi="宋体" w:cs="宋体"/>
          <w:color w:val="auto"/>
          <w:sz w:val="24"/>
          <w:highlight w:val="none"/>
        </w:rPr>
      </w:pPr>
    </w:p>
    <w:p w14:paraId="02898EB6">
      <w:pPr>
        <w:pStyle w:val="8"/>
        <w:overflowPunct w:val="0"/>
        <w:spacing w:line="360" w:lineRule="auto"/>
        <w:ind w:firstLineChars="175"/>
        <w:contextualSpacing/>
        <w:jc w:val="right"/>
        <w:rPr>
          <w:rFonts w:ascii="宋体" w:hAnsi="宋体" w:cs="宋体"/>
          <w:b/>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年</w:t>
      </w:r>
      <w:r>
        <w:rPr>
          <w:rFonts w:hint="eastAsia" w:ascii="宋体" w:hAnsi="宋体" w:cs="宋体"/>
          <w:color w:val="auto"/>
          <w:sz w:val="24"/>
          <w:highlight w:val="none"/>
        </w:rPr>
        <w:tab/>
      </w:r>
      <w:r>
        <w:rPr>
          <w:rFonts w:hint="eastAsia" w:ascii="宋体" w:hAnsi="宋体" w:cs="宋体"/>
          <w:color w:val="auto"/>
          <w:sz w:val="24"/>
          <w:highlight w:val="none"/>
        </w:rPr>
        <w:t>月</w:t>
      </w:r>
      <w:r>
        <w:rPr>
          <w:rFonts w:hint="eastAsia" w:ascii="宋体" w:hAnsi="宋体" w:cs="宋体"/>
          <w:color w:val="auto"/>
          <w:sz w:val="24"/>
          <w:highlight w:val="none"/>
        </w:rPr>
        <w:tab/>
      </w:r>
      <w:r>
        <w:rPr>
          <w:rFonts w:hint="eastAsia" w:ascii="宋体" w:hAnsi="宋体" w:cs="宋体"/>
          <w:color w:val="auto"/>
          <w:sz w:val="24"/>
          <w:highlight w:val="none"/>
        </w:rPr>
        <w:t>日</w:t>
      </w:r>
    </w:p>
    <w:p w14:paraId="66F62AE7">
      <w:pPr>
        <w:snapToGrid w:val="0"/>
        <w:spacing w:beforeLines="50" w:after="50"/>
        <w:jc w:val="left"/>
        <w:rPr>
          <w:rFonts w:ascii="宋体" w:hAnsi="宋体" w:cs="宋体"/>
          <w:b/>
          <w:color w:val="auto"/>
          <w:sz w:val="24"/>
          <w:highlight w:val="none"/>
        </w:rPr>
      </w:pPr>
    </w:p>
    <w:p w14:paraId="158682AF">
      <w:pPr>
        <w:snapToGrid w:val="0"/>
        <w:spacing w:beforeLines="50" w:after="50"/>
        <w:jc w:val="left"/>
        <w:rPr>
          <w:rFonts w:ascii="宋体" w:hAnsi="宋体" w:cs="宋体"/>
          <w:color w:val="auto"/>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2.中小企业声明函格式</w:t>
      </w:r>
    </w:p>
    <w:p w14:paraId="6A49F522">
      <w:pPr>
        <w:rPr>
          <w:rFonts w:ascii="宋体" w:hAnsi="宋体" w:cs="宋体"/>
          <w:color w:val="auto"/>
          <w:highlight w:val="none"/>
        </w:rPr>
      </w:pPr>
    </w:p>
    <w:p w14:paraId="6616F74E">
      <w:pPr>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中小企业声明函（货物）</w:t>
      </w:r>
    </w:p>
    <w:p w14:paraId="0036F2A6">
      <w:pPr>
        <w:spacing w:before="2" w:line="500" w:lineRule="exact"/>
        <w:rPr>
          <w:rFonts w:ascii="宋体" w:hAnsi="宋体" w:cs="宋体"/>
          <w:b/>
          <w:bCs/>
          <w:color w:val="auto"/>
          <w:sz w:val="27"/>
          <w:szCs w:val="27"/>
          <w:highlight w:val="none"/>
        </w:rPr>
      </w:pPr>
    </w:p>
    <w:p w14:paraId="3F7E6E2A">
      <w:pPr>
        <w:pStyle w:val="20"/>
        <w:spacing w:line="360" w:lineRule="auto"/>
        <w:ind w:left="-426" w:leftChars="-203" w:right="142" w:firstLine="480" w:firstLineChars="200"/>
        <w:contextualSpacing/>
        <w:rPr>
          <w:rFonts w:ascii="宋体" w:hAnsi="宋体" w:cs="宋体"/>
          <w:color w:val="auto"/>
          <w:kern w:val="24"/>
          <w:highlight w:val="none"/>
        </w:rPr>
      </w:pPr>
      <w:r>
        <w:rPr>
          <w:rFonts w:hint="eastAsia" w:ascii="宋体" w:hAnsi="宋体" w:cs="宋体"/>
          <w:color w:val="auto"/>
          <w:kern w:val="24"/>
          <w:highlight w:val="none"/>
        </w:rPr>
        <w:t>本公司（联合体）郑重声明，根据《政府采购促进中小企业发展管理办法》（财库﹝2020﹞46号）的规定，本公司（联合体）参加</w:t>
      </w:r>
      <w:r>
        <w:rPr>
          <w:rFonts w:hint="eastAsia" w:ascii="宋体" w:hAnsi="宋体" w:cs="宋体"/>
          <w:color w:val="auto"/>
          <w:kern w:val="24"/>
          <w:highlight w:val="none"/>
          <w:u w:val="single"/>
        </w:rPr>
        <w:t>（单位名称）</w:t>
      </w:r>
      <w:r>
        <w:rPr>
          <w:rFonts w:hint="eastAsia" w:ascii="宋体" w:hAnsi="宋体" w:cs="宋体"/>
          <w:color w:val="auto"/>
          <w:kern w:val="24"/>
          <w:highlight w:val="none"/>
        </w:rPr>
        <w:t>的</w:t>
      </w:r>
      <w:r>
        <w:rPr>
          <w:rFonts w:hint="eastAsia" w:ascii="宋体" w:hAnsi="宋体" w:cs="宋体"/>
          <w:color w:val="auto"/>
          <w:kern w:val="24"/>
          <w:highlight w:val="none"/>
          <w:u w:val="single"/>
        </w:rPr>
        <w:t>（项目名称）</w:t>
      </w:r>
      <w:r>
        <w:rPr>
          <w:rFonts w:hint="eastAsia" w:ascii="宋体" w:hAnsi="宋体" w:cs="宋体"/>
          <w:color w:val="auto"/>
          <w:kern w:val="24"/>
          <w:highlight w:val="none"/>
        </w:rPr>
        <w:t>采购活动，提供的货物全部由符合政策要求的中小企业制造。相关企业（含联合体中的中小企业、签订分包意向协议的中小企业）的具体情况如下：</w:t>
      </w:r>
    </w:p>
    <w:p w14:paraId="1D0B12E7">
      <w:pPr>
        <w:tabs>
          <w:tab w:val="left" w:pos="1384"/>
          <w:tab w:val="left" w:pos="4562"/>
          <w:tab w:val="left" w:pos="6803"/>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3D571817">
      <w:pPr>
        <w:tabs>
          <w:tab w:val="left" w:pos="1065"/>
          <w:tab w:val="left" w:pos="6477"/>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7DEDE692">
      <w:pPr>
        <w:pStyle w:val="20"/>
        <w:spacing w:line="360" w:lineRule="auto"/>
        <w:ind w:left="142" w:right="142"/>
        <w:contextualSpacing/>
        <w:rPr>
          <w:rFonts w:ascii="宋体" w:hAnsi="宋体" w:cs="宋体"/>
          <w:color w:val="auto"/>
          <w:kern w:val="24"/>
          <w:highlight w:val="none"/>
        </w:rPr>
      </w:pPr>
      <w:r>
        <w:rPr>
          <w:rFonts w:hint="eastAsia" w:ascii="宋体" w:hAnsi="宋体" w:cs="宋体"/>
          <w:color w:val="auto"/>
          <w:kern w:val="24"/>
          <w:highlight w:val="none"/>
        </w:rPr>
        <w:t xml:space="preserve">…… </w:t>
      </w:r>
    </w:p>
    <w:p w14:paraId="090414AF">
      <w:pPr>
        <w:pStyle w:val="20"/>
        <w:spacing w:line="360" w:lineRule="auto"/>
        <w:ind w:left="-405" w:leftChars="-193" w:right="142" w:firstLine="453" w:firstLineChars="189"/>
        <w:contextualSpacing/>
        <w:rPr>
          <w:rFonts w:ascii="宋体" w:hAnsi="宋体" w:cs="宋体"/>
          <w:color w:val="auto"/>
          <w:kern w:val="24"/>
          <w:highlight w:val="none"/>
        </w:rPr>
      </w:pPr>
      <w:r>
        <w:rPr>
          <w:rFonts w:hint="eastAsia" w:ascii="宋体" w:hAnsi="宋体" w:cs="宋体"/>
          <w:color w:val="auto"/>
          <w:kern w:val="24"/>
          <w:highlight w:val="none"/>
        </w:rPr>
        <w:t>以上企业，不属于大企业的分支机构，不存在控股股东为大企业的情形，也不存在与大企业的负责人为同一人的情形。</w:t>
      </w:r>
    </w:p>
    <w:p w14:paraId="0F261F75">
      <w:pPr>
        <w:pStyle w:val="20"/>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本企业对上述声明内容的真实性负责。如有虚假，将依法承担相应责任。</w:t>
      </w:r>
    </w:p>
    <w:p w14:paraId="5AAFCF0A">
      <w:pPr>
        <w:pStyle w:val="20"/>
        <w:spacing w:line="360" w:lineRule="auto"/>
        <w:ind w:left="3960" w:right="1808"/>
        <w:contextualSpacing/>
        <w:rPr>
          <w:rFonts w:ascii="宋体" w:hAnsi="宋体" w:cs="宋体"/>
          <w:color w:val="auto"/>
          <w:kern w:val="24"/>
          <w:highlight w:val="none"/>
        </w:rPr>
      </w:pPr>
    </w:p>
    <w:p w14:paraId="11F5C4F9">
      <w:pPr>
        <w:pStyle w:val="20"/>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 xml:space="preserve">企业名称（电子签章）： </w:t>
      </w:r>
    </w:p>
    <w:p w14:paraId="597762E3">
      <w:pPr>
        <w:pStyle w:val="20"/>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日期：</w:t>
      </w:r>
    </w:p>
    <w:p w14:paraId="7FE579D8">
      <w:pPr>
        <w:pStyle w:val="20"/>
        <w:spacing w:line="360" w:lineRule="auto"/>
        <w:ind w:left="3960" w:right="1808"/>
        <w:contextualSpacing/>
        <w:rPr>
          <w:rFonts w:ascii="宋体" w:hAnsi="宋体" w:cs="宋体"/>
          <w:color w:val="auto"/>
          <w:kern w:val="24"/>
          <w:highlight w:val="none"/>
        </w:rPr>
      </w:pPr>
    </w:p>
    <w:p w14:paraId="3BFA97F1">
      <w:pPr>
        <w:pStyle w:val="20"/>
        <w:spacing w:line="360" w:lineRule="auto"/>
        <w:ind w:left="3960" w:right="1808"/>
        <w:contextualSpacing/>
        <w:rPr>
          <w:rFonts w:ascii="宋体" w:hAnsi="宋体" w:cs="宋体"/>
          <w:color w:val="auto"/>
          <w:kern w:val="24"/>
          <w:highlight w:val="none"/>
        </w:rPr>
      </w:pPr>
    </w:p>
    <w:p w14:paraId="2DD819EC">
      <w:pPr>
        <w:pStyle w:val="20"/>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注：享受《政府采购促进中小企业发展管理办法》（财库〔2020〕46号）规定的中小企业扶持政策的，采购人、采购代理机构应当随中标结果公开中标人的《中小企业声明函》。从业人员、营业收入、资产总额填报上一年度数据，无上一年度数据的新成立企业可不填报。</w:t>
      </w:r>
    </w:p>
    <w:p w14:paraId="750D8DF6">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3.残疾人福利性单位声明函格式</w:t>
      </w:r>
    </w:p>
    <w:p w14:paraId="34B2189C">
      <w:pPr>
        <w:spacing w:line="588" w:lineRule="exact"/>
        <w:jc w:val="center"/>
        <w:rPr>
          <w:rFonts w:ascii="宋体" w:hAnsi="宋体" w:cs="宋体"/>
          <w:b/>
          <w:color w:val="auto"/>
          <w:spacing w:val="6"/>
          <w:sz w:val="32"/>
          <w:szCs w:val="32"/>
          <w:highlight w:val="none"/>
        </w:rPr>
      </w:pPr>
    </w:p>
    <w:p w14:paraId="0FECDB55">
      <w:pPr>
        <w:spacing w:line="588" w:lineRule="exact"/>
        <w:jc w:val="center"/>
        <w:rPr>
          <w:rFonts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残疾人福利性单位声明函</w:t>
      </w:r>
    </w:p>
    <w:p w14:paraId="617F5348">
      <w:pPr>
        <w:spacing w:line="360" w:lineRule="auto"/>
        <w:contextualSpacing/>
        <w:rPr>
          <w:rFonts w:ascii="宋体" w:hAnsi="宋体" w:cs="宋体"/>
          <w:bCs/>
          <w:color w:val="auto"/>
          <w:spacing w:val="6"/>
          <w:sz w:val="30"/>
          <w:szCs w:val="30"/>
          <w:highlight w:val="none"/>
        </w:rPr>
      </w:pPr>
    </w:p>
    <w:p w14:paraId="7B634D7C">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14:paraId="38F4315A">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44B773DB">
      <w:pPr>
        <w:spacing w:line="360" w:lineRule="auto"/>
        <w:ind w:firstLine="504" w:firstLineChars="200"/>
        <w:contextualSpacing/>
        <w:rPr>
          <w:rFonts w:ascii="宋体" w:hAnsi="宋体" w:cs="宋体"/>
          <w:color w:val="auto"/>
          <w:spacing w:val="6"/>
          <w:sz w:val="24"/>
          <w:highlight w:val="none"/>
        </w:rPr>
      </w:pPr>
    </w:p>
    <w:p w14:paraId="74FB2A2D">
      <w:pPr>
        <w:spacing w:line="360" w:lineRule="auto"/>
        <w:ind w:firstLine="504" w:firstLineChars="200"/>
        <w:contextualSpacing/>
        <w:rPr>
          <w:rFonts w:ascii="宋体" w:hAnsi="宋体" w:cs="宋体"/>
          <w:color w:val="auto"/>
          <w:spacing w:val="6"/>
          <w:sz w:val="24"/>
          <w:highlight w:val="none"/>
        </w:rPr>
      </w:pPr>
    </w:p>
    <w:p w14:paraId="4DAA7C53">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单位名称（电子签章）：</w:t>
      </w:r>
    </w:p>
    <w:p w14:paraId="135E71B6">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78FCCB97">
      <w:pPr>
        <w:spacing w:line="360" w:lineRule="auto"/>
        <w:contextualSpacing/>
        <w:rPr>
          <w:rFonts w:ascii="宋体" w:hAnsi="宋体" w:cs="宋体"/>
          <w:color w:val="auto"/>
          <w:sz w:val="24"/>
          <w:highlight w:val="none"/>
        </w:rPr>
      </w:pPr>
    </w:p>
    <w:p w14:paraId="0C95CE00">
      <w:pPr>
        <w:spacing w:line="360" w:lineRule="auto"/>
        <w:contextualSpacing/>
        <w:rPr>
          <w:rFonts w:ascii="宋体" w:hAnsi="宋体" w:cs="宋体"/>
          <w:color w:val="auto"/>
          <w:sz w:val="24"/>
          <w:highlight w:val="none"/>
        </w:rPr>
      </w:pPr>
    </w:p>
    <w:p w14:paraId="5144FBCE">
      <w:pPr>
        <w:spacing w:line="360" w:lineRule="auto"/>
        <w:contextualSpacing/>
        <w:rPr>
          <w:rFonts w:ascii="宋体" w:hAnsi="宋体" w:cs="宋体"/>
          <w:color w:val="auto"/>
          <w:sz w:val="24"/>
          <w:highlight w:val="none"/>
        </w:rPr>
      </w:pPr>
    </w:p>
    <w:p w14:paraId="07AD58B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FABE1D7">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4.质疑函（格式）</w:t>
      </w:r>
    </w:p>
    <w:p w14:paraId="55557B7F">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质疑函（格式）</w:t>
      </w:r>
    </w:p>
    <w:p w14:paraId="490F9E21">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044825A4">
      <w:pPr>
        <w:pStyle w:val="2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color w:val="auto"/>
          <w:sz w:val="24"/>
          <w:szCs w:val="24"/>
          <w:highlight w:val="none"/>
          <w:u w:val="single"/>
        </w:rPr>
        <w:t>　　　　　</w:t>
      </w:r>
    </w:p>
    <w:p w14:paraId="50E29238">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5BE43E6F">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38D19C22">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color w:val="auto"/>
          <w:sz w:val="24"/>
          <w:szCs w:val="24"/>
          <w:highlight w:val="none"/>
          <w:u w:val="single"/>
        </w:rPr>
        <w:t>　　　　　</w:t>
      </w:r>
    </w:p>
    <w:p w14:paraId="3B4B60C9">
      <w:pPr>
        <w:pStyle w:val="2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666EACDC">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4C5FF806">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592218EE">
      <w:pPr>
        <w:pStyle w:val="2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color w:val="auto"/>
          <w:sz w:val="24"/>
          <w:szCs w:val="24"/>
          <w:highlight w:val="none"/>
          <w:u w:val="single"/>
        </w:rPr>
        <w:t>　　　　　</w:t>
      </w:r>
    </w:p>
    <w:p w14:paraId="3C797C91">
      <w:pPr>
        <w:pStyle w:val="2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color w:val="auto"/>
          <w:sz w:val="24"/>
          <w:szCs w:val="24"/>
          <w:highlight w:val="none"/>
          <w:u w:val="single"/>
        </w:rPr>
        <w:t>　　　　　</w:t>
      </w:r>
    </w:p>
    <w:p w14:paraId="6B45E372">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color w:val="auto"/>
          <w:sz w:val="24"/>
          <w:szCs w:val="24"/>
          <w:highlight w:val="none"/>
          <w:u w:val="single"/>
        </w:rPr>
        <w:t>　　　　　</w:t>
      </w:r>
    </w:p>
    <w:p w14:paraId="24EFE902">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w:t>
      </w:r>
      <w:r>
        <w:rPr>
          <w:rFonts w:hint="eastAsia" w:hAnsi="宋体" w:cs="宋体"/>
          <w:color w:val="auto"/>
          <w:sz w:val="24"/>
          <w:szCs w:val="24"/>
          <w:highlight w:val="none"/>
          <w:u w:val="single"/>
        </w:rPr>
        <w:t>　　　　　</w:t>
      </w:r>
    </w:p>
    <w:p w14:paraId="29BF4CA2">
      <w:pPr>
        <w:pStyle w:val="25"/>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□采购文件   采购文件获取日期：</w:t>
      </w:r>
    </w:p>
    <w:p w14:paraId="4B9D3A3F">
      <w:pPr>
        <w:pStyle w:val="25"/>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14:paraId="71157346">
      <w:pPr>
        <w:pStyle w:val="25"/>
        <w:spacing w:line="360" w:lineRule="auto"/>
        <w:ind w:left="25" w:leftChars="12" w:firstLine="352" w:firstLineChars="147"/>
        <w:rPr>
          <w:rFonts w:hAnsi="宋体" w:cs="宋体"/>
          <w:bCs/>
          <w:color w:val="auto"/>
          <w:sz w:val="24"/>
          <w:szCs w:val="24"/>
          <w:highlight w:val="none"/>
          <w:u w:val="single"/>
        </w:rPr>
      </w:pPr>
      <w:r>
        <w:rPr>
          <w:rFonts w:hint="eastAsia" w:hAnsi="宋体" w:cs="宋体"/>
          <w:color w:val="auto"/>
          <w:sz w:val="24"/>
          <w:szCs w:val="24"/>
          <w:highlight w:val="none"/>
        </w:rPr>
        <w:t xml:space="preserve">□采购结果   </w:t>
      </w:r>
    </w:p>
    <w:p w14:paraId="0F559CF8">
      <w:pPr>
        <w:pStyle w:val="2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608C8F2C">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质疑事项1：</w:t>
      </w:r>
    </w:p>
    <w:p w14:paraId="047773FE">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事实依据：</w:t>
      </w:r>
    </w:p>
    <w:p w14:paraId="0ECA7F57">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法律依据：</w:t>
      </w:r>
    </w:p>
    <w:p w14:paraId="50D0BA98">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质疑事项2</w:t>
      </w:r>
    </w:p>
    <w:p w14:paraId="6C8EAAEC">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w:t>
      </w:r>
    </w:p>
    <w:p w14:paraId="203AB55F">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39261870">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p>
    <w:p w14:paraId="1626BD8D">
      <w:pPr>
        <w:pStyle w:val="25"/>
        <w:spacing w:line="360" w:lineRule="auto"/>
        <w:ind w:left="25" w:leftChars="12" w:firstLine="352" w:firstLineChars="147"/>
        <w:rPr>
          <w:rFonts w:hAnsi="宋体" w:cs="宋体"/>
          <w:color w:val="auto"/>
          <w:sz w:val="24"/>
          <w:szCs w:val="24"/>
          <w:highlight w:val="none"/>
        </w:rPr>
      </w:pPr>
    </w:p>
    <w:p w14:paraId="4159FC9E">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677BEF10">
      <w:pPr>
        <w:pStyle w:val="25"/>
        <w:spacing w:line="360" w:lineRule="auto"/>
        <w:ind w:left="25" w:leftChars="12" w:firstLine="352" w:firstLineChars="147"/>
        <w:rPr>
          <w:rFonts w:hAnsi="宋体" w:cs="宋体"/>
          <w:color w:val="auto"/>
          <w:sz w:val="24"/>
          <w:szCs w:val="24"/>
          <w:highlight w:val="none"/>
        </w:rPr>
      </w:pPr>
    </w:p>
    <w:p w14:paraId="635C23D9">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42CF0959">
      <w:pPr>
        <w:pStyle w:val="25"/>
        <w:snapToGrid w:val="0"/>
        <w:spacing w:line="360" w:lineRule="auto"/>
        <w:rPr>
          <w:rFonts w:hAnsi="宋体" w:cs="宋体"/>
          <w:b/>
          <w:color w:val="auto"/>
          <w:sz w:val="24"/>
          <w:szCs w:val="24"/>
          <w:highlight w:val="none"/>
        </w:rPr>
      </w:pPr>
    </w:p>
    <w:p w14:paraId="799E19FB">
      <w:pPr>
        <w:pStyle w:val="2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51B3F053">
      <w:pPr>
        <w:pStyle w:val="25"/>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640F55D3">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1E124B9">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7BA9C3BF">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415499B8">
      <w:pPr>
        <w:pStyle w:val="25"/>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0CEE7C03">
      <w:pPr>
        <w:pStyle w:val="25"/>
        <w:snapToGrid w:val="0"/>
        <w:rPr>
          <w:rFonts w:hAnsi="宋体" w:cs="宋体"/>
          <w:b/>
          <w:color w:val="auto"/>
          <w:sz w:val="24"/>
          <w:szCs w:val="24"/>
          <w:highlight w:val="none"/>
        </w:rPr>
      </w:pPr>
    </w:p>
    <w:p w14:paraId="64F314DC">
      <w:pPr>
        <w:spacing w:line="360" w:lineRule="auto"/>
        <w:jc w:val="left"/>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color w:val="auto"/>
          <w:sz w:val="24"/>
          <w:highlight w:val="none"/>
        </w:rPr>
        <w:t>5.投诉书（格式）</w:t>
      </w:r>
    </w:p>
    <w:p w14:paraId="3FFC0094">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投诉书（格式）</w:t>
      </w:r>
    </w:p>
    <w:p w14:paraId="409E0F4B">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7E319975">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投标人：</w:t>
      </w:r>
      <w:r>
        <w:rPr>
          <w:rFonts w:hint="eastAsia" w:hAnsi="宋体" w:cs="宋体"/>
          <w:color w:val="auto"/>
          <w:sz w:val="24"/>
          <w:szCs w:val="24"/>
          <w:highlight w:val="none"/>
          <w:u w:val="single"/>
        </w:rPr>
        <w:t>　　　　　</w:t>
      </w:r>
    </w:p>
    <w:p w14:paraId="28F99D40">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7BF38293">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color w:val="auto"/>
          <w:sz w:val="24"/>
          <w:szCs w:val="24"/>
          <w:highlight w:val="none"/>
          <w:u w:val="single"/>
        </w:rPr>
        <w:t>　　　　　</w:t>
      </w:r>
    </w:p>
    <w:p w14:paraId="46E6A276">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65778DD7">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01A7946C">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p>
    <w:p w14:paraId="00BC7028">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5DA98D8B">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被投诉人1：</w:t>
      </w:r>
      <w:r>
        <w:rPr>
          <w:rFonts w:hint="eastAsia" w:hAnsi="宋体" w:cs="宋体"/>
          <w:color w:val="auto"/>
          <w:sz w:val="24"/>
          <w:szCs w:val="24"/>
          <w:highlight w:val="none"/>
          <w:u w:val="single"/>
        </w:rPr>
        <w:t>　　　　　</w:t>
      </w:r>
    </w:p>
    <w:p w14:paraId="30CA20E6">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p>
    <w:p w14:paraId="0F749176">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16A5614C">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5A2683C1">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被投诉人2：</w:t>
      </w:r>
      <w:r>
        <w:rPr>
          <w:rFonts w:hint="eastAsia" w:hAnsi="宋体" w:cs="宋体"/>
          <w:color w:val="auto"/>
          <w:sz w:val="24"/>
          <w:szCs w:val="24"/>
          <w:highlight w:val="none"/>
          <w:u w:val="single"/>
        </w:rPr>
        <w:t>　　　　　</w:t>
      </w:r>
    </w:p>
    <w:p w14:paraId="69C34B7B">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w:t>
      </w:r>
    </w:p>
    <w:p w14:paraId="49DA40B3">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color w:val="auto"/>
          <w:sz w:val="24"/>
          <w:szCs w:val="24"/>
          <w:highlight w:val="none"/>
          <w:u w:val="single"/>
        </w:rPr>
        <w:t>　　　　　</w:t>
      </w:r>
    </w:p>
    <w:p w14:paraId="79053E95">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5E09D60E">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6105BFB1">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7D81DA7D">
      <w:pPr>
        <w:pStyle w:val="2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color w:val="auto"/>
          <w:sz w:val="24"/>
          <w:szCs w:val="24"/>
          <w:highlight w:val="none"/>
          <w:u w:val="single"/>
        </w:rPr>
        <w:t>　　　　　</w:t>
      </w:r>
    </w:p>
    <w:p w14:paraId="52872EC2">
      <w:pPr>
        <w:pStyle w:val="2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color w:val="auto"/>
          <w:sz w:val="24"/>
          <w:szCs w:val="24"/>
          <w:highlight w:val="none"/>
          <w:u w:val="single"/>
        </w:rPr>
        <w:t>　　　　　</w:t>
      </w:r>
    </w:p>
    <w:p w14:paraId="46222C82">
      <w:pPr>
        <w:pStyle w:val="2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color w:val="auto"/>
          <w:sz w:val="24"/>
          <w:szCs w:val="24"/>
          <w:highlight w:val="none"/>
          <w:u w:val="single"/>
        </w:rPr>
        <w:t>　　　　　</w:t>
      </w:r>
    </w:p>
    <w:p w14:paraId="373868D1">
      <w:pPr>
        <w:pStyle w:val="2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color w:val="auto"/>
          <w:sz w:val="24"/>
          <w:szCs w:val="24"/>
          <w:highlight w:val="none"/>
          <w:u w:val="single"/>
        </w:rPr>
        <w:t>　　　　　</w:t>
      </w:r>
    </w:p>
    <w:p w14:paraId="050D8FCB">
      <w:pPr>
        <w:pStyle w:val="25"/>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采购文件公告：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 xml:space="preserve">      公告期限：</w:t>
      </w:r>
    </w:p>
    <w:p w14:paraId="0D9A957B">
      <w:pPr>
        <w:pStyle w:val="25"/>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 xml:space="preserve">是/否 </w:t>
      </w:r>
      <w:r>
        <w:rPr>
          <w:rFonts w:hint="eastAsia" w:hAnsi="宋体" w:cs="宋体"/>
          <w:bCs/>
          <w:color w:val="auto"/>
          <w:sz w:val="24"/>
          <w:szCs w:val="24"/>
          <w:highlight w:val="none"/>
        </w:rPr>
        <w:t xml:space="preserve">     公告期限：</w:t>
      </w:r>
    </w:p>
    <w:p w14:paraId="38247066">
      <w:pPr>
        <w:pStyle w:val="2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1C29C8C4">
      <w:pPr>
        <w:pStyle w:val="25"/>
        <w:spacing w:line="360" w:lineRule="auto"/>
        <w:ind w:left="25" w:leftChars="12" w:firstLine="480" w:firstLineChars="200"/>
        <w:rPr>
          <w:rFonts w:hAnsi="宋体" w:cs="宋体"/>
          <w:color w:val="auto"/>
          <w:sz w:val="24"/>
          <w:szCs w:val="24"/>
          <w:highlight w:val="none"/>
        </w:rPr>
      </w:pPr>
      <w:r>
        <w:rPr>
          <w:rFonts w:hint="eastAsia" w:hAnsi="宋体" w:cs="宋体"/>
          <w:color w:val="auto"/>
          <w:sz w:val="24"/>
          <w:szCs w:val="24"/>
          <w:highlight w:val="none"/>
        </w:rPr>
        <w:t>投诉人于年月日，向提出质疑，质疑事项为：</w:t>
      </w:r>
    </w:p>
    <w:p w14:paraId="78C25A5F">
      <w:pPr>
        <w:pStyle w:val="25"/>
        <w:spacing w:line="360" w:lineRule="auto"/>
        <w:ind w:firstLine="241"/>
        <w:rPr>
          <w:rFonts w:hAnsi="宋体" w:cs="宋体"/>
          <w:bCs/>
          <w:color w:val="auto"/>
          <w:sz w:val="24"/>
          <w:szCs w:val="24"/>
          <w:highlight w:val="none"/>
          <w:u w:val="single"/>
        </w:rPr>
      </w:pPr>
    </w:p>
    <w:p w14:paraId="2850AED7">
      <w:pPr>
        <w:pStyle w:val="25"/>
        <w:spacing w:line="360" w:lineRule="auto"/>
        <w:ind w:firstLine="241"/>
        <w:rPr>
          <w:rFonts w:hAnsi="宋体" w:cs="宋体"/>
          <w:bCs/>
          <w:color w:val="auto"/>
          <w:sz w:val="24"/>
          <w:szCs w:val="24"/>
          <w:highlight w:val="none"/>
          <w:u w:val="single"/>
        </w:rPr>
      </w:pPr>
    </w:p>
    <w:p w14:paraId="1B77204E">
      <w:pPr>
        <w:pStyle w:val="25"/>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rPr>
        <w:t>年月日，</w:t>
      </w:r>
      <w:r>
        <w:rPr>
          <w:rFonts w:hint="eastAsia" w:hAnsi="宋体" w:cs="宋体"/>
          <w:bCs/>
          <w:color w:val="auto"/>
          <w:sz w:val="24"/>
          <w:szCs w:val="24"/>
          <w:highlight w:val="none"/>
        </w:rPr>
        <w:t xml:space="preserve">就质疑事项作出了答复/没有在法定期限内作出答复。                                                                                             </w:t>
      </w:r>
    </w:p>
    <w:p w14:paraId="22E3734B">
      <w:pPr>
        <w:pStyle w:val="2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4956B98D">
      <w:pPr>
        <w:pStyle w:val="2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p>
    <w:p w14:paraId="7619A7B2">
      <w:pPr>
        <w:pStyle w:val="2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p>
    <w:p w14:paraId="494D2FE3">
      <w:pPr>
        <w:pStyle w:val="25"/>
        <w:spacing w:line="360" w:lineRule="auto"/>
        <w:ind w:left="25" w:leftChars="12" w:firstLine="472" w:firstLineChars="197"/>
        <w:rPr>
          <w:rFonts w:hAnsi="宋体" w:cs="宋体"/>
          <w:color w:val="auto"/>
          <w:sz w:val="24"/>
          <w:szCs w:val="24"/>
          <w:highlight w:val="none"/>
        </w:rPr>
      </w:pPr>
    </w:p>
    <w:p w14:paraId="0721316B">
      <w:pPr>
        <w:pStyle w:val="2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p>
    <w:p w14:paraId="476FEF63">
      <w:pPr>
        <w:pStyle w:val="25"/>
        <w:spacing w:line="360" w:lineRule="auto"/>
        <w:ind w:left="25" w:leftChars="12" w:firstLine="352" w:firstLineChars="147"/>
        <w:rPr>
          <w:rFonts w:hAnsi="宋体" w:cs="宋体"/>
          <w:bCs/>
          <w:color w:val="auto"/>
          <w:sz w:val="24"/>
          <w:szCs w:val="24"/>
          <w:highlight w:val="none"/>
          <w:u w:val="single"/>
        </w:rPr>
      </w:pPr>
    </w:p>
    <w:p w14:paraId="25AB2759">
      <w:pPr>
        <w:pStyle w:val="25"/>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p>
    <w:p w14:paraId="2793608C">
      <w:pPr>
        <w:pStyle w:val="25"/>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055A3FD5">
      <w:pPr>
        <w:pStyle w:val="2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34629997">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p>
    <w:p w14:paraId="5D538D27">
      <w:pPr>
        <w:pStyle w:val="25"/>
        <w:spacing w:line="360" w:lineRule="auto"/>
        <w:ind w:left="25" w:leftChars="12" w:firstLine="352" w:firstLineChars="147"/>
        <w:rPr>
          <w:rFonts w:hAnsi="宋体" w:cs="宋体"/>
          <w:color w:val="auto"/>
          <w:sz w:val="24"/>
          <w:szCs w:val="24"/>
          <w:highlight w:val="none"/>
        </w:rPr>
      </w:pPr>
    </w:p>
    <w:p w14:paraId="51C3B413">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752798B8">
      <w:pPr>
        <w:pStyle w:val="25"/>
        <w:spacing w:line="360" w:lineRule="auto"/>
        <w:ind w:left="25" w:leftChars="12" w:firstLine="352" w:firstLineChars="147"/>
        <w:rPr>
          <w:rFonts w:hAnsi="宋体" w:cs="宋体"/>
          <w:color w:val="auto"/>
          <w:sz w:val="24"/>
          <w:szCs w:val="24"/>
          <w:highlight w:val="none"/>
        </w:rPr>
      </w:pPr>
    </w:p>
    <w:p w14:paraId="020C9788">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3C48F907">
      <w:pPr>
        <w:pStyle w:val="25"/>
        <w:spacing w:line="360" w:lineRule="auto"/>
        <w:ind w:left="25" w:leftChars="12"/>
        <w:rPr>
          <w:rFonts w:hAnsi="宋体" w:cs="宋体"/>
          <w:b/>
          <w:color w:val="auto"/>
          <w:sz w:val="24"/>
          <w:szCs w:val="24"/>
          <w:highlight w:val="none"/>
        </w:rPr>
      </w:pPr>
      <w:r>
        <w:rPr>
          <w:rFonts w:hint="eastAsia" w:hAnsi="宋体" w:cs="宋体"/>
          <w:b/>
          <w:color w:val="auto"/>
          <w:sz w:val="24"/>
          <w:szCs w:val="24"/>
          <w:highlight w:val="none"/>
        </w:rPr>
        <w:t>说明：</w:t>
      </w:r>
    </w:p>
    <w:p w14:paraId="79500BF9">
      <w:pPr>
        <w:pStyle w:val="25"/>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698C9FB5">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50438A4">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207D0541">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2BE4E444">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1B079B4B">
      <w:pPr>
        <w:pStyle w:val="25"/>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3ECFC">
    <w:pPr>
      <w:pStyle w:val="31"/>
      <w:jc w:val="center"/>
    </w:pPr>
    <w:r>
      <w:fldChar w:fldCharType="begin"/>
    </w:r>
    <w:r>
      <w:instrText xml:space="preserve"> PAGE   \* MERGEFORMAT </w:instrText>
    </w:r>
    <w:r>
      <w:fldChar w:fldCharType="separate"/>
    </w:r>
    <w:r>
      <w:rPr>
        <w:lang w:val="zh-CN"/>
      </w:rPr>
      <w:t>5</w:t>
    </w:r>
    <w:r>
      <w:rPr>
        <w:lang w:val="zh-CN"/>
      </w:rPr>
      <w:fldChar w:fldCharType="end"/>
    </w:r>
  </w:p>
  <w:p w14:paraId="3B0C2649">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C5004">
    <w:pPr>
      <w:pStyle w:val="31"/>
      <w:framePr w:wrap="around" w:vAnchor="text" w:hAnchor="margin" w:xAlign="center" w:y="1"/>
      <w:rPr>
        <w:rStyle w:val="52"/>
      </w:rPr>
    </w:pPr>
    <w:r>
      <w:fldChar w:fldCharType="begin"/>
    </w:r>
    <w:r>
      <w:rPr>
        <w:rStyle w:val="52"/>
      </w:rPr>
      <w:instrText xml:space="preserve">PAGE  </w:instrText>
    </w:r>
    <w:r>
      <w:fldChar w:fldCharType="end"/>
    </w:r>
  </w:p>
  <w:p w14:paraId="14CF8FF5">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3C9C">
    <w:pPr>
      <w:pStyle w:val="31"/>
      <w:jc w:val="center"/>
    </w:pPr>
    <w:r>
      <w:fldChar w:fldCharType="begin"/>
    </w:r>
    <w:r>
      <w:instrText xml:space="preserve">PAGE   \* MERGEFORMAT</w:instrText>
    </w:r>
    <w:r>
      <w:fldChar w:fldCharType="separate"/>
    </w:r>
    <w:r>
      <w:rPr>
        <w:lang w:val="zh-CN"/>
      </w:rPr>
      <w:t>0</w:t>
    </w:r>
    <w:r>
      <w:rPr>
        <w:lang w:val="zh-CN"/>
      </w:rPr>
      <w:fldChar w:fldCharType="end"/>
    </w:r>
  </w:p>
  <w:p w14:paraId="04E8E5E4">
    <w:pPr>
      <w:pStyle w:val="31"/>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B0002">
    <w:pPr>
      <w:pStyle w:val="31"/>
      <w:jc w:val="center"/>
    </w:pPr>
    <w:r>
      <w:fldChar w:fldCharType="begin"/>
    </w:r>
    <w:r>
      <w:instrText xml:space="preserve"> PAGE   \* MERGEFORMAT </w:instrText>
    </w:r>
    <w:r>
      <w:fldChar w:fldCharType="separate"/>
    </w:r>
    <w:r>
      <w:rPr>
        <w:lang w:val="zh-CN"/>
      </w:rPr>
      <w:t>83</w:t>
    </w:r>
    <w:r>
      <w:rPr>
        <w:lang w:val="zh-CN"/>
      </w:rPr>
      <w:fldChar w:fldCharType="end"/>
    </w:r>
  </w:p>
  <w:p w14:paraId="46DD2B60">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E10DA">
    <w:pPr>
      <w:pStyle w:val="31"/>
      <w:framePr w:wrap="around" w:vAnchor="text" w:hAnchor="margin" w:xAlign="center" w:y="1"/>
      <w:rPr>
        <w:rStyle w:val="52"/>
      </w:rPr>
    </w:pPr>
    <w:r>
      <w:fldChar w:fldCharType="begin"/>
    </w:r>
    <w:r>
      <w:rPr>
        <w:rStyle w:val="52"/>
      </w:rPr>
      <w:instrText xml:space="preserve">PAGE  </w:instrText>
    </w:r>
    <w:r>
      <w:fldChar w:fldCharType="end"/>
    </w:r>
  </w:p>
  <w:p w14:paraId="22E260B1">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E19DC">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44D1B">
    <w:pPr>
      <w:pStyle w:val="33"/>
      <w:pBdr>
        <w:bottom w:val="none" w:color="auto" w:sz="0" w:space="0"/>
      </w:pBdr>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6230" cy="4782185"/>
          <wp:effectExtent l="0" t="0" r="13970" b="18415"/>
          <wp:wrapNone/>
          <wp:docPr id="4" name="WordPictureWatermark96546633"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96546633"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6B46C">
    <w:pPr>
      <w:pStyle w:val="3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6230" cy="4782185"/>
          <wp:effectExtent l="0" t="0" r="13970" b="18415"/>
          <wp:wrapNone/>
          <wp:docPr id="3" name="WordPictureWatermark96546632"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96546632"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9AB3">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6230" cy="4782185"/>
          <wp:effectExtent l="0" t="0" r="13970" b="18415"/>
          <wp:wrapNone/>
          <wp:docPr id="1" name="WordPictureWatermark96546631"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96546631"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A13F">
    <w:pPr>
      <w:pStyle w:val="33"/>
      <w:pBdr>
        <w:bottom w:val="none" w:color="auto" w:sz="0" w:space="0"/>
      </w:pBdr>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396230" cy="4782185"/>
          <wp:effectExtent l="0" t="0" r="13970" b="18415"/>
          <wp:wrapNone/>
          <wp:docPr id="7" name="WordPictureWatermark96546636"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96546636"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D8E6B">
    <w:pPr>
      <w:pStyle w:val="33"/>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6230" cy="4782185"/>
          <wp:effectExtent l="0" t="0" r="13970" b="18415"/>
          <wp:wrapNone/>
          <wp:docPr id="6" name="WordPictureWatermark96546635"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96546635"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9B925">
    <w:pPr>
      <w:pStyle w:val="3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6230" cy="4782185"/>
          <wp:effectExtent l="0" t="0" r="13970" b="18415"/>
          <wp:wrapNone/>
          <wp:docPr id="5" name="WordPictureWatermark96546634"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96546634"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43AA861"/>
    <w:multiLevelType w:val="singleLevel"/>
    <w:tmpl w:val="543AA861"/>
    <w:lvl w:ilvl="0" w:tentative="0">
      <w:start w:val="1"/>
      <w:numFmt w:val="chineseCounting"/>
      <w:suff w:val="nothing"/>
      <w:lvlText w:val="%1、"/>
      <w:lvlJc w:val="left"/>
      <w:rPr>
        <w:rFonts w:hint="eastAsia"/>
      </w:rPr>
    </w:lvl>
  </w:abstractNum>
  <w:abstractNum w:abstractNumId="4">
    <w:nsid w:val="5FABD14B"/>
    <w:multiLevelType w:val="singleLevel"/>
    <w:tmpl w:val="5FABD14B"/>
    <w:lvl w:ilvl="0" w:tentative="0">
      <w:start w:val="1"/>
      <w:numFmt w:val="decimal"/>
      <w:suff w:val="nothing"/>
      <w:lvlText w:val="（%1）"/>
      <w:lvlJc w:val="left"/>
    </w:lvl>
  </w:abstractNum>
  <w:abstractNum w:abstractNumId="5">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6">
    <w:nsid w:val="7E66D773"/>
    <w:multiLevelType w:val="singleLevel"/>
    <w:tmpl w:val="7E66D773"/>
    <w:lvl w:ilvl="0" w:tentative="0">
      <w:start w:val="1"/>
      <w:numFmt w:val="decimal"/>
      <w:lvlText w:val="%1."/>
      <w:lvlJc w:val="left"/>
      <w:pPr>
        <w:tabs>
          <w:tab w:val="left" w:pos="312"/>
        </w:tabs>
      </w:pPr>
    </w:lvl>
  </w:abstractNum>
  <w:num w:numId="1">
    <w:abstractNumId w:val="1"/>
  </w:num>
  <w:num w:numId="2">
    <w:abstractNumId w:val="0"/>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NotTrackFormatting/>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cyODMxYTE0ZTc0ZGU3Y2QwODc3MzYzN2Q1YmNiM2EifQ=="/>
  </w:docVars>
  <w:rsids>
    <w:rsidRoot w:val="00020F00"/>
    <w:rsid w:val="0000085D"/>
    <w:rsid w:val="00006992"/>
    <w:rsid w:val="00010DCE"/>
    <w:rsid w:val="0001215A"/>
    <w:rsid w:val="000132CA"/>
    <w:rsid w:val="00015B66"/>
    <w:rsid w:val="00015FCE"/>
    <w:rsid w:val="00020F00"/>
    <w:rsid w:val="00021F25"/>
    <w:rsid w:val="00023308"/>
    <w:rsid w:val="00027DBC"/>
    <w:rsid w:val="0003133C"/>
    <w:rsid w:val="000327B8"/>
    <w:rsid w:val="00033446"/>
    <w:rsid w:val="00033B41"/>
    <w:rsid w:val="00034752"/>
    <w:rsid w:val="000353E4"/>
    <w:rsid w:val="00035989"/>
    <w:rsid w:val="00036B9E"/>
    <w:rsid w:val="00040F42"/>
    <w:rsid w:val="00041E6B"/>
    <w:rsid w:val="00042D99"/>
    <w:rsid w:val="00044A6B"/>
    <w:rsid w:val="00047682"/>
    <w:rsid w:val="00050200"/>
    <w:rsid w:val="0005021C"/>
    <w:rsid w:val="0005070D"/>
    <w:rsid w:val="000514D1"/>
    <w:rsid w:val="000528BD"/>
    <w:rsid w:val="00052CC8"/>
    <w:rsid w:val="00056C35"/>
    <w:rsid w:val="000574F6"/>
    <w:rsid w:val="000579FA"/>
    <w:rsid w:val="00060307"/>
    <w:rsid w:val="00063225"/>
    <w:rsid w:val="00063BFA"/>
    <w:rsid w:val="00070C84"/>
    <w:rsid w:val="00071E99"/>
    <w:rsid w:val="00072814"/>
    <w:rsid w:val="00072ABD"/>
    <w:rsid w:val="00080927"/>
    <w:rsid w:val="00087BFC"/>
    <w:rsid w:val="00087E08"/>
    <w:rsid w:val="00091E6C"/>
    <w:rsid w:val="00093253"/>
    <w:rsid w:val="00094BEA"/>
    <w:rsid w:val="00095FB5"/>
    <w:rsid w:val="000A0961"/>
    <w:rsid w:val="000A1E59"/>
    <w:rsid w:val="000A5B6E"/>
    <w:rsid w:val="000A63DC"/>
    <w:rsid w:val="000A69FD"/>
    <w:rsid w:val="000A7BFF"/>
    <w:rsid w:val="000C1598"/>
    <w:rsid w:val="000C277E"/>
    <w:rsid w:val="000C2C36"/>
    <w:rsid w:val="000C4440"/>
    <w:rsid w:val="000C75D7"/>
    <w:rsid w:val="000D0251"/>
    <w:rsid w:val="000D48B9"/>
    <w:rsid w:val="000D5418"/>
    <w:rsid w:val="000D6326"/>
    <w:rsid w:val="000E02D5"/>
    <w:rsid w:val="000E098F"/>
    <w:rsid w:val="000E1703"/>
    <w:rsid w:val="000E177C"/>
    <w:rsid w:val="000E3E97"/>
    <w:rsid w:val="000E4D51"/>
    <w:rsid w:val="000E5771"/>
    <w:rsid w:val="000E61A4"/>
    <w:rsid w:val="000F29B5"/>
    <w:rsid w:val="000F3896"/>
    <w:rsid w:val="000F3EF2"/>
    <w:rsid w:val="000F6003"/>
    <w:rsid w:val="000F625A"/>
    <w:rsid w:val="000F7AED"/>
    <w:rsid w:val="00100162"/>
    <w:rsid w:val="001039D2"/>
    <w:rsid w:val="00103C69"/>
    <w:rsid w:val="00105357"/>
    <w:rsid w:val="0010758F"/>
    <w:rsid w:val="00111762"/>
    <w:rsid w:val="00111996"/>
    <w:rsid w:val="00112630"/>
    <w:rsid w:val="001137DD"/>
    <w:rsid w:val="00113980"/>
    <w:rsid w:val="001163B5"/>
    <w:rsid w:val="00120D55"/>
    <w:rsid w:val="001222C7"/>
    <w:rsid w:val="00124C13"/>
    <w:rsid w:val="00127169"/>
    <w:rsid w:val="0013265A"/>
    <w:rsid w:val="00133278"/>
    <w:rsid w:val="00133E97"/>
    <w:rsid w:val="00134464"/>
    <w:rsid w:val="001416C9"/>
    <w:rsid w:val="00141DA6"/>
    <w:rsid w:val="00141FC9"/>
    <w:rsid w:val="0014219C"/>
    <w:rsid w:val="001424B8"/>
    <w:rsid w:val="00143A9F"/>
    <w:rsid w:val="0015163C"/>
    <w:rsid w:val="001519A7"/>
    <w:rsid w:val="00152E9A"/>
    <w:rsid w:val="001535B9"/>
    <w:rsid w:val="0015737C"/>
    <w:rsid w:val="00160ADF"/>
    <w:rsid w:val="001629C9"/>
    <w:rsid w:val="00164293"/>
    <w:rsid w:val="00164384"/>
    <w:rsid w:val="001660CD"/>
    <w:rsid w:val="001663CF"/>
    <w:rsid w:val="00177BD1"/>
    <w:rsid w:val="00180580"/>
    <w:rsid w:val="001869E2"/>
    <w:rsid w:val="0019018C"/>
    <w:rsid w:val="00190B0A"/>
    <w:rsid w:val="00190C47"/>
    <w:rsid w:val="00191030"/>
    <w:rsid w:val="00191420"/>
    <w:rsid w:val="00192B8A"/>
    <w:rsid w:val="001A108D"/>
    <w:rsid w:val="001A33FD"/>
    <w:rsid w:val="001A3C80"/>
    <w:rsid w:val="001A758D"/>
    <w:rsid w:val="001B0143"/>
    <w:rsid w:val="001B3624"/>
    <w:rsid w:val="001B3D35"/>
    <w:rsid w:val="001B7D14"/>
    <w:rsid w:val="001C0306"/>
    <w:rsid w:val="001C1E54"/>
    <w:rsid w:val="001C2C0F"/>
    <w:rsid w:val="001C2E55"/>
    <w:rsid w:val="001C3725"/>
    <w:rsid w:val="001C3BA8"/>
    <w:rsid w:val="001C41A3"/>
    <w:rsid w:val="001C61E4"/>
    <w:rsid w:val="001C6EC3"/>
    <w:rsid w:val="001D2553"/>
    <w:rsid w:val="001D2AA1"/>
    <w:rsid w:val="001D33BF"/>
    <w:rsid w:val="001E035E"/>
    <w:rsid w:val="001E0460"/>
    <w:rsid w:val="001E0A6B"/>
    <w:rsid w:val="001E0F94"/>
    <w:rsid w:val="001E1DDC"/>
    <w:rsid w:val="001E2B78"/>
    <w:rsid w:val="001E2D52"/>
    <w:rsid w:val="001E3255"/>
    <w:rsid w:val="001E41CB"/>
    <w:rsid w:val="001E4BA6"/>
    <w:rsid w:val="001E58F4"/>
    <w:rsid w:val="001F0380"/>
    <w:rsid w:val="001F0BFB"/>
    <w:rsid w:val="001F409D"/>
    <w:rsid w:val="001F5ACF"/>
    <w:rsid w:val="001F7C7D"/>
    <w:rsid w:val="00201942"/>
    <w:rsid w:val="00201C6D"/>
    <w:rsid w:val="00201E1C"/>
    <w:rsid w:val="00202426"/>
    <w:rsid w:val="00205421"/>
    <w:rsid w:val="002070B3"/>
    <w:rsid w:val="00213DEC"/>
    <w:rsid w:val="00213FD7"/>
    <w:rsid w:val="0021562B"/>
    <w:rsid w:val="00217530"/>
    <w:rsid w:val="00217891"/>
    <w:rsid w:val="00217A7A"/>
    <w:rsid w:val="002204FF"/>
    <w:rsid w:val="002220C2"/>
    <w:rsid w:val="00224446"/>
    <w:rsid w:val="00225AC8"/>
    <w:rsid w:val="00225B3B"/>
    <w:rsid w:val="00226E5C"/>
    <w:rsid w:val="0022787E"/>
    <w:rsid w:val="00227D6A"/>
    <w:rsid w:val="00230B60"/>
    <w:rsid w:val="002336CC"/>
    <w:rsid w:val="0023388A"/>
    <w:rsid w:val="00235B6A"/>
    <w:rsid w:val="002414D0"/>
    <w:rsid w:val="00241715"/>
    <w:rsid w:val="002425AA"/>
    <w:rsid w:val="00243C04"/>
    <w:rsid w:val="002464A4"/>
    <w:rsid w:val="002465F2"/>
    <w:rsid w:val="00246993"/>
    <w:rsid w:val="00246C53"/>
    <w:rsid w:val="002526EF"/>
    <w:rsid w:val="00252E9B"/>
    <w:rsid w:val="00253FC5"/>
    <w:rsid w:val="00254598"/>
    <w:rsid w:val="002554C8"/>
    <w:rsid w:val="00255656"/>
    <w:rsid w:val="002560BD"/>
    <w:rsid w:val="00260145"/>
    <w:rsid w:val="00265FA2"/>
    <w:rsid w:val="00267915"/>
    <w:rsid w:val="0027060D"/>
    <w:rsid w:val="00270C14"/>
    <w:rsid w:val="00271254"/>
    <w:rsid w:val="00271270"/>
    <w:rsid w:val="00272611"/>
    <w:rsid w:val="00274C3B"/>
    <w:rsid w:val="00276F4B"/>
    <w:rsid w:val="002776BC"/>
    <w:rsid w:val="00277C14"/>
    <w:rsid w:val="002806E7"/>
    <w:rsid w:val="00280A7B"/>
    <w:rsid w:val="00281DE5"/>
    <w:rsid w:val="0028309A"/>
    <w:rsid w:val="00284BE5"/>
    <w:rsid w:val="0028557F"/>
    <w:rsid w:val="00285B0C"/>
    <w:rsid w:val="002868B5"/>
    <w:rsid w:val="0028750A"/>
    <w:rsid w:val="00287535"/>
    <w:rsid w:val="00291BE9"/>
    <w:rsid w:val="00291E2B"/>
    <w:rsid w:val="002932B9"/>
    <w:rsid w:val="00296C17"/>
    <w:rsid w:val="002974BF"/>
    <w:rsid w:val="002A12AE"/>
    <w:rsid w:val="002A1A59"/>
    <w:rsid w:val="002A32CB"/>
    <w:rsid w:val="002A4B46"/>
    <w:rsid w:val="002A7670"/>
    <w:rsid w:val="002B295E"/>
    <w:rsid w:val="002B2E91"/>
    <w:rsid w:val="002B4042"/>
    <w:rsid w:val="002B524C"/>
    <w:rsid w:val="002B56EB"/>
    <w:rsid w:val="002B68EC"/>
    <w:rsid w:val="002C0EAE"/>
    <w:rsid w:val="002C1477"/>
    <w:rsid w:val="002C47D2"/>
    <w:rsid w:val="002C4912"/>
    <w:rsid w:val="002D033C"/>
    <w:rsid w:val="002D41D5"/>
    <w:rsid w:val="002D468B"/>
    <w:rsid w:val="002D758E"/>
    <w:rsid w:val="002D7F90"/>
    <w:rsid w:val="002E25B5"/>
    <w:rsid w:val="002E484B"/>
    <w:rsid w:val="002E7C69"/>
    <w:rsid w:val="002F1167"/>
    <w:rsid w:val="002F19EE"/>
    <w:rsid w:val="002F1F82"/>
    <w:rsid w:val="002F3360"/>
    <w:rsid w:val="002F4817"/>
    <w:rsid w:val="002F4DD2"/>
    <w:rsid w:val="002F5172"/>
    <w:rsid w:val="002F5BCF"/>
    <w:rsid w:val="002F7114"/>
    <w:rsid w:val="0030133C"/>
    <w:rsid w:val="00301F2E"/>
    <w:rsid w:val="00304303"/>
    <w:rsid w:val="0030459B"/>
    <w:rsid w:val="00304B01"/>
    <w:rsid w:val="00306458"/>
    <w:rsid w:val="003102B7"/>
    <w:rsid w:val="00313126"/>
    <w:rsid w:val="003158F6"/>
    <w:rsid w:val="00315A70"/>
    <w:rsid w:val="003166BB"/>
    <w:rsid w:val="00316826"/>
    <w:rsid w:val="00321CF6"/>
    <w:rsid w:val="00323A95"/>
    <w:rsid w:val="00327489"/>
    <w:rsid w:val="0033087B"/>
    <w:rsid w:val="003327CC"/>
    <w:rsid w:val="00333F85"/>
    <w:rsid w:val="00334114"/>
    <w:rsid w:val="00337929"/>
    <w:rsid w:val="00341A50"/>
    <w:rsid w:val="003420B8"/>
    <w:rsid w:val="00346AA8"/>
    <w:rsid w:val="003479D4"/>
    <w:rsid w:val="00351E02"/>
    <w:rsid w:val="0035205B"/>
    <w:rsid w:val="00352BD6"/>
    <w:rsid w:val="00352C59"/>
    <w:rsid w:val="00352E50"/>
    <w:rsid w:val="00352FD8"/>
    <w:rsid w:val="00353B06"/>
    <w:rsid w:val="003564A4"/>
    <w:rsid w:val="0035659D"/>
    <w:rsid w:val="0035660C"/>
    <w:rsid w:val="00356C18"/>
    <w:rsid w:val="00364131"/>
    <w:rsid w:val="003647D9"/>
    <w:rsid w:val="00366125"/>
    <w:rsid w:val="00366FF2"/>
    <w:rsid w:val="00371E76"/>
    <w:rsid w:val="003729B7"/>
    <w:rsid w:val="003749B7"/>
    <w:rsid w:val="003752CA"/>
    <w:rsid w:val="003762F4"/>
    <w:rsid w:val="003763A4"/>
    <w:rsid w:val="00380273"/>
    <w:rsid w:val="00380528"/>
    <w:rsid w:val="003825AA"/>
    <w:rsid w:val="0038368A"/>
    <w:rsid w:val="00383EDC"/>
    <w:rsid w:val="0038496E"/>
    <w:rsid w:val="00384AB5"/>
    <w:rsid w:val="00385C8D"/>
    <w:rsid w:val="00387BFE"/>
    <w:rsid w:val="00387CB4"/>
    <w:rsid w:val="00392B7B"/>
    <w:rsid w:val="003947CB"/>
    <w:rsid w:val="003A015C"/>
    <w:rsid w:val="003A0AA6"/>
    <w:rsid w:val="003A2D15"/>
    <w:rsid w:val="003A32F4"/>
    <w:rsid w:val="003A5203"/>
    <w:rsid w:val="003A7B59"/>
    <w:rsid w:val="003B156B"/>
    <w:rsid w:val="003B1A2A"/>
    <w:rsid w:val="003B207F"/>
    <w:rsid w:val="003B2979"/>
    <w:rsid w:val="003B41BB"/>
    <w:rsid w:val="003C1979"/>
    <w:rsid w:val="003C37DE"/>
    <w:rsid w:val="003C3C09"/>
    <w:rsid w:val="003C4AC1"/>
    <w:rsid w:val="003C54FF"/>
    <w:rsid w:val="003C5689"/>
    <w:rsid w:val="003C629F"/>
    <w:rsid w:val="003C633B"/>
    <w:rsid w:val="003C7104"/>
    <w:rsid w:val="003D045E"/>
    <w:rsid w:val="003D0534"/>
    <w:rsid w:val="003D3535"/>
    <w:rsid w:val="003D3C4F"/>
    <w:rsid w:val="003D3E61"/>
    <w:rsid w:val="003D47FE"/>
    <w:rsid w:val="003D7203"/>
    <w:rsid w:val="003E0CE2"/>
    <w:rsid w:val="003E2501"/>
    <w:rsid w:val="003E3706"/>
    <w:rsid w:val="003E6DCC"/>
    <w:rsid w:val="003E6E24"/>
    <w:rsid w:val="003F463C"/>
    <w:rsid w:val="003F4FCC"/>
    <w:rsid w:val="003F55EA"/>
    <w:rsid w:val="003F60F3"/>
    <w:rsid w:val="003F7DBC"/>
    <w:rsid w:val="004009F3"/>
    <w:rsid w:val="00401A2E"/>
    <w:rsid w:val="00401A4D"/>
    <w:rsid w:val="00403331"/>
    <w:rsid w:val="00404D5C"/>
    <w:rsid w:val="0040503B"/>
    <w:rsid w:val="004057A1"/>
    <w:rsid w:val="00405A90"/>
    <w:rsid w:val="004064E9"/>
    <w:rsid w:val="004066F2"/>
    <w:rsid w:val="004114A6"/>
    <w:rsid w:val="004120D9"/>
    <w:rsid w:val="00412262"/>
    <w:rsid w:val="0041257C"/>
    <w:rsid w:val="0041301D"/>
    <w:rsid w:val="00415B30"/>
    <w:rsid w:val="00416830"/>
    <w:rsid w:val="00416B33"/>
    <w:rsid w:val="004170FF"/>
    <w:rsid w:val="00417528"/>
    <w:rsid w:val="004245C0"/>
    <w:rsid w:val="00424B15"/>
    <w:rsid w:val="00424BD1"/>
    <w:rsid w:val="0043241E"/>
    <w:rsid w:val="00432B55"/>
    <w:rsid w:val="00436B8A"/>
    <w:rsid w:val="004420E7"/>
    <w:rsid w:val="00442C87"/>
    <w:rsid w:val="0044393D"/>
    <w:rsid w:val="0044412A"/>
    <w:rsid w:val="004450D0"/>
    <w:rsid w:val="0044686D"/>
    <w:rsid w:val="00450D4D"/>
    <w:rsid w:val="00451C52"/>
    <w:rsid w:val="00452648"/>
    <w:rsid w:val="00454CD8"/>
    <w:rsid w:val="0045582A"/>
    <w:rsid w:val="00455948"/>
    <w:rsid w:val="00457A5E"/>
    <w:rsid w:val="00460760"/>
    <w:rsid w:val="004607A8"/>
    <w:rsid w:val="00460C30"/>
    <w:rsid w:val="00460EE6"/>
    <w:rsid w:val="00463318"/>
    <w:rsid w:val="004645FD"/>
    <w:rsid w:val="00465C04"/>
    <w:rsid w:val="00466419"/>
    <w:rsid w:val="00466A2C"/>
    <w:rsid w:val="00466B2E"/>
    <w:rsid w:val="00466E27"/>
    <w:rsid w:val="00470A20"/>
    <w:rsid w:val="00471913"/>
    <w:rsid w:val="0047216E"/>
    <w:rsid w:val="0047230F"/>
    <w:rsid w:val="00472F70"/>
    <w:rsid w:val="004742BD"/>
    <w:rsid w:val="00475481"/>
    <w:rsid w:val="00476FCE"/>
    <w:rsid w:val="004818C0"/>
    <w:rsid w:val="00481F5D"/>
    <w:rsid w:val="00482050"/>
    <w:rsid w:val="00482946"/>
    <w:rsid w:val="00484E7B"/>
    <w:rsid w:val="004861BB"/>
    <w:rsid w:val="004862B8"/>
    <w:rsid w:val="004863FD"/>
    <w:rsid w:val="0048721D"/>
    <w:rsid w:val="00492558"/>
    <w:rsid w:val="0049410C"/>
    <w:rsid w:val="00495CB0"/>
    <w:rsid w:val="004A081D"/>
    <w:rsid w:val="004A3E0C"/>
    <w:rsid w:val="004A3F6D"/>
    <w:rsid w:val="004A3FDF"/>
    <w:rsid w:val="004A4E35"/>
    <w:rsid w:val="004A65D5"/>
    <w:rsid w:val="004A6DF2"/>
    <w:rsid w:val="004A7498"/>
    <w:rsid w:val="004B0612"/>
    <w:rsid w:val="004B10BF"/>
    <w:rsid w:val="004B152A"/>
    <w:rsid w:val="004B3052"/>
    <w:rsid w:val="004B3D83"/>
    <w:rsid w:val="004B69E0"/>
    <w:rsid w:val="004C0162"/>
    <w:rsid w:val="004C1DCA"/>
    <w:rsid w:val="004C4CFB"/>
    <w:rsid w:val="004C628E"/>
    <w:rsid w:val="004D030E"/>
    <w:rsid w:val="004D2E1D"/>
    <w:rsid w:val="004D3259"/>
    <w:rsid w:val="004D3E38"/>
    <w:rsid w:val="004D3FC0"/>
    <w:rsid w:val="004D416F"/>
    <w:rsid w:val="004D6B37"/>
    <w:rsid w:val="004E102E"/>
    <w:rsid w:val="004E2ED2"/>
    <w:rsid w:val="004E3FCA"/>
    <w:rsid w:val="004E444B"/>
    <w:rsid w:val="004E5E43"/>
    <w:rsid w:val="004E6117"/>
    <w:rsid w:val="004F01FD"/>
    <w:rsid w:val="004F0AC5"/>
    <w:rsid w:val="004F0D13"/>
    <w:rsid w:val="004F39D2"/>
    <w:rsid w:val="004F401E"/>
    <w:rsid w:val="004F608C"/>
    <w:rsid w:val="004F7DB4"/>
    <w:rsid w:val="00500A0A"/>
    <w:rsid w:val="00500A81"/>
    <w:rsid w:val="00503F12"/>
    <w:rsid w:val="00506FA9"/>
    <w:rsid w:val="005104FD"/>
    <w:rsid w:val="00511EAC"/>
    <w:rsid w:val="00512F6D"/>
    <w:rsid w:val="00513886"/>
    <w:rsid w:val="0051461C"/>
    <w:rsid w:val="00517F6F"/>
    <w:rsid w:val="00523608"/>
    <w:rsid w:val="005239D4"/>
    <w:rsid w:val="00523B45"/>
    <w:rsid w:val="00525767"/>
    <w:rsid w:val="005259CF"/>
    <w:rsid w:val="00525AA4"/>
    <w:rsid w:val="00530EA8"/>
    <w:rsid w:val="005320E5"/>
    <w:rsid w:val="00534C82"/>
    <w:rsid w:val="0053536E"/>
    <w:rsid w:val="00537958"/>
    <w:rsid w:val="00540C26"/>
    <w:rsid w:val="00542887"/>
    <w:rsid w:val="00545668"/>
    <w:rsid w:val="00545A18"/>
    <w:rsid w:val="005462B0"/>
    <w:rsid w:val="00547513"/>
    <w:rsid w:val="00550640"/>
    <w:rsid w:val="00551FDF"/>
    <w:rsid w:val="00552CBA"/>
    <w:rsid w:val="00553A4A"/>
    <w:rsid w:val="00553C26"/>
    <w:rsid w:val="0055453C"/>
    <w:rsid w:val="0055699B"/>
    <w:rsid w:val="00556C5F"/>
    <w:rsid w:val="005622CE"/>
    <w:rsid w:val="005625B0"/>
    <w:rsid w:val="005645B6"/>
    <w:rsid w:val="00564844"/>
    <w:rsid w:val="0056487F"/>
    <w:rsid w:val="005651BD"/>
    <w:rsid w:val="005663AC"/>
    <w:rsid w:val="00572214"/>
    <w:rsid w:val="005736B8"/>
    <w:rsid w:val="00573990"/>
    <w:rsid w:val="0057737E"/>
    <w:rsid w:val="00577408"/>
    <w:rsid w:val="00577479"/>
    <w:rsid w:val="0058151E"/>
    <w:rsid w:val="005822B6"/>
    <w:rsid w:val="00583AAE"/>
    <w:rsid w:val="0058555B"/>
    <w:rsid w:val="00585B66"/>
    <w:rsid w:val="00587846"/>
    <w:rsid w:val="0059071B"/>
    <w:rsid w:val="00590DBC"/>
    <w:rsid w:val="00590FAF"/>
    <w:rsid w:val="005914DB"/>
    <w:rsid w:val="00592690"/>
    <w:rsid w:val="00592A26"/>
    <w:rsid w:val="00593E48"/>
    <w:rsid w:val="005A0C23"/>
    <w:rsid w:val="005A2DCF"/>
    <w:rsid w:val="005A30A9"/>
    <w:rsid w:val="005A4BBA"/>
    <w:rsid w:val="005A4E33"/>
    <w:rsid w:val="005B0387"/>
    <w:rsid w:val="005B0AA2"/>
    <w:rsid w:val="005B2925"/>
    <w:rsid w:val="005B2C44"/>
    <w:rsid w:val="005B3FD6"/>
    <w:rsid w:val="005B6AF7"/>
    <w:rsid w:val="005C0211"/>
    <w:rsid w:val="005C0742"/>
    <w:rsid w:val="005C4679"/>
    <w:rsid w:val="005C5CFC"/>
    <w:rsid w:val="005C7DDF"/>
    <w:rsid w:val="005D0173"/>
    <w:rsid w:val="005D44B2"/>
    <w:rsid w:val="005D4A9B"/>
    <w:rsid w:val="005D5245"/>
    <w:rsid w:val="005D5EA7"/>
    <w:rsid w:val="005D74D8"/>
    <w:rsid w:val="005D7DCD"/>
    <w:rsid w:val="005D7DDC"/>
    <w:rsid w:val="005E17CF"/>
    <w:rsid w:val="005E1809"/>
    <w:rsid w:val="005E204B"/>
    <w:rsid w:val="005E3275"/>
    <w:rsid w:val="005E5EE9"/>
    <w:rsid w:val="005F1D27"/>
    <w:rsid w:val="005F231D"/>
    <w:rsid w:val="005F2890"/>
    <w:rsid w:val="005F2F88"/>
    <w:rsid w:val="005F3EF8"/>
    <w:rsid w:val="005F44B7"/>
    <w:rsid w:val="005F53E6"/>
    <w:rsid w:val="005F6B05"/>
    <w:rsid w:val="005F6C8A"/>
    <w:rsid w:val="005F75A7"/>
    <w:rsid w:val="005F7B62"/>
    <w:rsid w:val="006001E4"/>
    <w:rsid w:val="00602FBF"/>
    <w:rsid w:val="00603898"/>
    <w:rsid w:val="00604105"/>
    <w:rsid w:val="006053F7"/>
    <w:rsid w:val="00607CC4"/>
    <w:rsid w:val="006100D2"/>
    <w:rsid w:val="00610A28"/>
    <w:rsid w:val="006127A4"/>
    <w:rsid w:val="006128D0"/>
    <w:rsid w:val="00613F99"/>
    <w:rsid w:val="00615673"/>
    <w:rsid w:val="00615972"/>
    <w:rsid w:val="0061687E"/>
    <w:rsid w:val="0062063C"/>
    <w:rsid w:val="00621153"/>
    <w:rsid w:val="00621CB7"/>
    <w:rsid w:val="00622D8A"/>
    <w:rsid w:val="0062323D"/>
    <w:rsid w:val="00623C55"/>
    <w:rsid w:val="00625812"/>
    <w:rsid w:val="006265ED"/>
    <w:rsid w:val="00630220"/>
    <w:rsid w:val="006310EB"/>
    <w:rsid w:val="006313F3"/>
    <w:rsid w:val="006348BB"/>
    <w:rsid w:val="00635519"/>
    <w:rsid w:val="006363EF"/>
    <w:rsid w:val="00636416"/>
    <w:rsid w:val="006374BD"/>
    <w:rsid w:val="00640DBC"/>
    <w:rsid w:val="00643590"/>
    <w:rsid w:val="00646433"/>
    <w:rsid w:val="00651D62"/>
    <w:rsid w:val="006522FC"/>
    <w:rsid w:val="00652944"/>
    <w:rsid w:val="00654283"/>
    <w:rsid w:val="0065547E"/>
    <w:rsid w:val="00655BCB"/>
    <w:rsid w:val="00657BB4"/>
    <w:rsid w:val="006601C3"/>
    <w:rsid w:val="006622D5"/>
    <w:rsid w:val="0066267A"/>
    <w:rsid w:val="0066447A"/>
    <w:rsid w:val="00666353"/>
    <w:rsid w:val="00670C2C"/>
    <w:rsid w:val="0067387D"/>
    <w:rsid w:val="00676091"/>
    <w:rsid w:val="00676258"/>
    <w:rsid w:val="0068003D"/>
    <w:rsid w:val="00681F9A"/>
    <w:rsid w:val="006828F8"/>
    <w:rsid w:val="006835DD"/>
    <w:rsid w:val="00683C55"/>
    <w:rsid w:val="00684B8B"/>
    <w:rsid w:val="006856CA"/>
    <w:rsid w:val="00687BD4"/>
    <w:rsid w:val="006927BE"/>
    <w:rsid w:val="00694196"/>
    <w:rsid w:val="00695292"/>
    <w:rsid w:val="006952B2"/>
    <w:rsid w:val="00695650"/>
    <w:rsid w:val="00695F25"/>
    <w:rsid w:val="00696442"/>
    <w:rsid w:val="00696C05"/>
    <w:rsid w:val="006A0129"/>
    <w:rsid w:val="006A162E"/>
    <w:rsid w:val="006A2E08"/>
    <w:rsid w:val="006A49A6"/>
    <w:rsid w:val="006A4A82"/>
    <w:rsid w:val="006B4415"/>
    <w:rsid w:val="006B7965"/>
    <w:rsid w:val="006C1A41"/>
    <w:rsid w:val="006C1A8D"/>
    <w:rsid w:val="006C1AE5"/>
    <w:rsid w:val="006C3C17"/>
    <w:rsid w:val="006C690E"/>
    <w:rsid w:val="006C76FE"/>
    <w:rsid w:val="006D19EA"/>
    <w:rsid w:val="006D2F8B"/>
    <w:rsid w:val="006D3182"/>
    <w:rsid w:val="006D5A39"/>
    <w:rsid w:val="006D6A33"/>
    <w:rsid w:val="006E34EA"/>
    <w:rsid w:val="006E3D89"/>
    <w:rsid w:val="006E657A"/>
    <w:rsid w:val="006E6711"/>
    <w:rsid w:val="006F0C90"/>
    <w:rsid w:val="006F1628"/>
    <w:rsid w:val="006F625E"/>
    <w:rsid w:val="007046FB"/>
    <w:rsid w:val="00704D13"/>
    <w:rsid w:val="007054B1"/>
    <w:rsid w:val="007079A6"/>
    <w:rsid w:val="00707BC9"/>
    <w:rsid w:val="00707F41"/>
    <w:rsid w:val="00711A7B"/>
    <w:rsid w:val="007142FD"/>
    <w:rsid w:val="0071636D"/>
    <w:rsid w:val="007163D5"/>
    <w:rsid w:val="007166B0"/>
    <w:rsid w:val="00717972"/>
    <w:rsid w:val="00720481"/>
    <w:rsid w:val="00721574"/>
    <w:rsid w:val="0072234C"/>
    <w:rsid w:val="00724530"/>
    <w:rsid w:val="00727097"/>
    <w:rsid w:val="00727976"/>
    <w:rsid w:val="00730E3D"/>
    <w:rsid w:val="00733221"/>
    <w:rsid w:val="0073377D"/>
    <w:rsid w:val="00734C28"/>
    <w:rsid w:val="00737852"/>
    <w:rsid w:val="00737CB9"/>
    <w:rsid w:val="007406FD"/>
    <w:rsid w:val="00745A9A"/>
    <w:rsid w:val="00746921"/>
    <w:rsid w:val="007475D6"/>
    <w:rsid w:val="00750C8D"/>
    <w:rsid w:val="007518A3"/>
    <w:rsid w:val="00752101"/>
    <w:rsid w:val="00752ED9"/>
    <w:rsid w:val="007532DD"/>
    <w:rsid w:val="00755548"/>
    <w:rsid w:val="00755867"/>
    <w:rsid w:val="007558FE"/>
    <w:rsid w:val="00756394"/>
    <w:rsid w:val="00756542"/>
    <w:rsid w:val="00757C10"/>
    <w:rsid w:val="00760693"/>
    <w:rsid w:val="00762896"/>
    <w:rsid w:val="00762B4A"/>
    <w:rsid w:val="007637B3"/>
    <w:rsid w:val="0076545F"/>
    <w:rsid w:val="00767E6E"/>
    <w:rsid w:val="00770ADA"/>
    <w:rsid w:val="0077301F"/>
    <w:rsid w:val="007735FA"/>
    <w:rsid w:val="00773C03"/>
    <w:rsid w:val="00774C34"/>
    <w:rsid w:val="007750A3"/>
    <w:rsid w:val="00776A3F"/>
    <w:rsid w:val="00776BE2"/>
    <w:rsid w:val="007770D0"/>
    <w:rsid w:val="00780099"/>
    <w:rsid w:val="007802E6"/>
    <w:rsid w:val="007818B5"/>
    <w:rsid w:val="0078202F"/>
    <w:rsid w:val="007836C2"/>
    <w:rsid w:val="00787981"/>
    <w:rsid w:val="00790071"/>
    <w:rsid w:val="00791B02"/>
    <w:rsid w:val="0079306F"/>
    <w:rsid w:val="00793546"/>
    <w:rsid w:val="00793FEA"/>
    <w:rsid w:val="00794807"/>
    <w:rsid w:val="0079575B"/>
    <w:rsid w:val="0079733D"/>
    <w:rsid w:val="007A2349"/>
    <w:rsid w:val="007A2FB7"/>
    <w:rsid w:val="007A4178"/>
    <w:rsid w:val="007A5050"/>
    <w:rsid w:val="007A59AA"/>
    <w:rsid w:val="007A602D"/>
    <w:rsid w:val="007A6BBA"/>
    <w:rsid w:val="007A7CC7"/>
    <w:rsid w:val="007B0CF6"/>
    <w:rsid w:val="007B0D3F"/>
    <w:rsid w:val="007B1185"/>
    <w:rsid w:val="007B2519"/>
    <w:rsid w:val="007B36A8"/>
    <w:rsid w:val="007B3A10"/>
    <w:rsid w:val="007B4FF9"/>
    <w:rsid w:val="007C04A2"/>
    <w:rsid w:val="007C1104"/>
    <w:rsid w:val="007C15DE"/>
    <w:rsid w:val="007C4685"/>
    <w:rsid w:val="007C4D66"/>
    <w:rsid w:val="007C51BD"/>
    <w:rsid w:val="007C58C6"/>
    <w:rsid w:val="007C5D1D"/>
    <w:rsid w:val="007C790B"/>
    <w:rsid w:val="007D18B5"/>
    <w:rsid w:val="007D1C33"/>
    <w:rsid w:val="007D2E1E"/>
    <w:rsid w:val="007D4CD4"/>
    <w:rsid w:val="007D51EC"/>
    <w:rsid w:val="007D5490"/>
    <w:rsid w:val="007D56FB"/>
    <w:rsid w:val="007D725E"/>
    <w:rsid w:val="007D7E23"/>
    <w:rsid w:val="007E3885"/>
    <w:rsid w:val="007E53F4"/>
    <w:rsid w:val="007E7832"/>
    <w:rsid w:val="007F1FD2"/>
    <w:rsid w:val="007F493B"/>
    <w:rsid w:val="007F5670"/>
    <w:rsid w:val="007F5AF4"/>
    <w:rsid w:val="007F671C"/>
    <w:rsid w:val="00800546"/>
    <w:rsid w:val="0080111A"/>
    <w:rsid w:val="00801E5F"/>
    <w:rsid w:val="008023EE"/>
    <w:rsid w:val="00802446"/>
    <w:rsid w:val="0080328C"/>
    <w:rsid w:val="00803F48"/>
    <w:rsid w:val="00804520"/>
    <w:rsid w:val="00804F0D"/>
    <w:rsid w:val="00805A64"/>
    <w:rsid w:val="00805E5B"/>
    <w:rsid w:val="00805F2A"/>
    <w:rsid w:val="00807728"/>
    <w:rsid w:val="008117F7"/>
    <w:rsid w:val="00813FCD"/>
    <w:rsid w:val="00815C12"/>
    <w:rsid w:val="00816FCD"/>
    <w:rsid w:val="0082290A"/>
    <w:rsid w:val="008246D8"/>
    <w:rsid w:val="00825BFE"/>
    <w:rsid w:val="00826A24"/>
    <w:rsid w:val="0083161F"/>
    <w:rsid w:val="008354DA"/>
    <w:rsid w:val="008374A5"/>
    <w:rsid w:val="00837F59"/>
    <w:rsid w:val="008419D4"/>
    <w:rsid w:val="00846176"/>
    <w:rsid w:val="00846959"/>
    <w:rsid w:val="00846D58"/>
    <w:rsid w:val="00847112"/>
    <w:rsid w:val="00850A76"/>
    <w:rsid w:val="008518E9"/>
    <w:rsid w:val="00851F77"/>
    <w:rsid w:val="00853CF1"/>
    <w:rsid w:val="00853F90"/>
    <w:rsid w:val="00854287"/>
    <w:rsid w:val="00854CD7"/>
    <w:rsid w:val="008560DC"/>
    <w:rsid w:val="008608CE"/>
    <w:rsid w:val="00863FA0"/>
    <w:rsid w:val="008642AD"/>
    <w:rsid w:val="00864767"/>
    <w:rsid w:val="008658C1"/>
    <w:rsid w:val="00871420"/>
    <w:rsid w:val="0087284F"/>
    <w:rsid w:val="00873B39"/>
    <w:rsid w:val="00874F0A"/>
    <w:rsid w:val="0087537F"/>
    <w:rsid w:val="00875790"/>
    <w:rsid w:val="0088274C"/>
    <w:rsid w:val="0088553F"/>
    <w:rsid w:val="0088566E"/>
    <w:rsid w:val="00887AE8"/>
    <w:rsid w:val="00890A44"/>
    <w:rsid w:val="008952B1"/>
    <w:rsid w:val="00895D42"/>
    <w:rsid w:val="008A092E"/>
    <w:rsid w:val="008A0A21"/>
    <w:rsid w:val="008A0A2B"/>
    <w:rsid w:val="008A1271"/>
    <w:rsid w:val="008A139B"/>
    <w:rsid w:val="008A19CC"/>
    <w:rsid w:val="008A34A5"/>
    <w:rsid w:val="008A65A0"/>
    <w:rsid w:val="008B0AE4"/>
    <w:rsid w:val="008B386D"/>
    <w:rsid w:val="008B419D"/>
    <w:rsid w:val="008B49BE"/>
    <w:rsid w:val="008B5E1A"/>
    <w:rsid w:val="008C01CC"/>
    <w:rsid w:val="008C0841"/>
    <w:rsid w:val="008C320E"/>
    <w:rsid w:val="008C39B7"/>
    <w:rsid w:val="008C41BA"/>
    <w:rsid w:val="008C4745"/>
    <w:rsid w:val="008C4853"/>
    <w:rsid w:val="008C6CE3"/>
    <w:rsid w:val="008C70A4"/>
    <w:rsid w:val="008D61F0"/>
    <w:rsid w:val="008D6230"/>
    <w:rsid w:val="008E0BC0"/>
    <w:rsid w:val="008E0D93"/>
    <w:rsid w:val="008E1730"/>
    <w:rsid w:val="008E396D"/>
    <w:rsid w:val="008E5D9B"/>
    <w:rsid w:val="008E6BBD"/>
    <w:rsid w:val="008F1A37"/>
    <w:rsid w:val="008F1C7A"/>
    <w:rsid w:val="008F451C"/>
    <w:rsid w:val="008F68A8"/>
    <w:rsid w:val="009002D9"/>
    <w:rsid w:val="0090030F"/>
    <w:rsid w:val="00901117"/>
    <w:rsid w:val="00901F02"/>
    <w:rsid w:val="00901FAF"/>
    <w:rsid w:val="00903821"/>
    <w:rsid w:val="00903E8B"/>
    <w:rsid w:val="00904039"/>
    <w:rsid w:val="00906B23"/>
    <w:rsid w:val="009076DA"/>
    <w:rsid w:val="00907A72"/>
    <w:rsid w:val="00907FC8"/>
    <w:rsid w:val="00912121"/>
    <w:rsid w:val="00912206"/>
    <w:rsid w:val="009130B6"/>
    <w:rsid w:val="009137DE"/>
    <w:rsid w:val="0091551B"/>
    <w:rsid w:val="0091583A"/>
    <w:rsid w:val="00915DBE"/>
    <w:rsid w:val="00916271"/>
    <w:rsid w:val="00921ECE"/>
    <w:rsid w:val="00922188"/>
    <w:rsid w:val="00923524"/>
    <w:rsid w:val="00924DE2"/>
    <w:rsid w:val="00925B65"/>
    <w:rsid w:val="0092697C"/>
    <w:rsid w:val="00927437"/>
    <w:rsid w:val="00927CEA"/>
    <w:rsid w:val="0093183D"/>
    <w:rsid w:val="009324BB"/>
    <w:rsid w:val="0093345B"/>
    <w:rsid w:val="009365FC"/>
    <w:rsid w:val="009373A8"/>
    <w:rsid w:val="0094046D"/>
    <w:rsid w:val="009404DF"/>
    <w:rsid w:val="009425C8"/>
    <w:rsid w:val="009457D8"/>
    <w:rsid w:val="00951493"/>
    <w:rsid w:val="009517BB"/>
    <w:rsid w:val="00953B67"/>
    <w:rsid w:val="009552B5"/>
    <w:rsid w:val="00955DCE"/>
    <w:rsid w:val="00957384"/>
    <w:rsid w:val="009573D8"/>
    <w:rsid w:val="00957E28"/>
    <w:rsid w:val="00961749"/>
    <w:rsid w:val="00962015"/>
    <w:rsid w:val="00973168"/>
    <w:rsid w:val="00974DF1"/>
    <w:rsid w:val="00981B72"/>
    <w:rsid w:val="009845EA"/>
    <w:rsid w:val="00984CC4"/>
    <w:rsid w:val="00986494"/>
    <w:rsid w:val="00990067"/>
    <w:rsid w:val="0099202B"/>
    <w:rsid w:val="00992DE9"/>
    <w:rsid w:val="009941A7"/>
    <w:rsid w:val="00994284"/>
    <w:rsid w:val="009A3960"/>
    <w:rsid w:val="009A3A59"/>
    <w:rsid w:val="009A45A8"/>
    <w:rsid w:val="009B13B5"/>
    <w:rsid w:val="009B2101"/>
    <w:rsid w:val="009B3489"/>
    <w:rsid w:val="009B55B3"/>
    <w:rsid w:val="009B620F"/>
    <w:rsid w:val="009B6850"/>
    <w:rsid w:val="009B6E58"/>
    <w:rsid w:val="009B6E7D"/>
    <w:rsid w:val="009B73FD"/>
    <w:rsid w:val="009B7A8F"/>
    <w:rsid w:val="009C0EA9"/>
    <w:rsid w:val="009C3F3C"/>
    <w:rsid w:val="009C56AE"/>
    <w:rsid w:val="009C5841"/>
    <w:rsid w:val="009C6617"/>
    <w:rsid w:val="009C7D1E"/>
    <w:rsid w:val="009D4A4F"/>
    <w:rsid w:val="009D56DA"/>
    <w:rsid w:val="009E3F57"/>
    <w:rsid w:val="009E4836"/>
    <w:rsid w:val="009E4BDC"/>
    <w:rsid w:val="009E7F2B"/>
    <w:rsid w:val="009F1690"/>
    <w:rsid w:val="009F1EAD"/>
    <w:rsid w:val="009F37F6"/>
    <w:rsid w:val="009F425E"/>
    <w:rsid w:val="009F64A7"/>
    <w:rsid w:val="009F6559"/>
    <w:rsid w:val="009F734C"/>
    <w:rsid w:val="00A02076"/>
    <w:rsid w:val="00A023C8"/>
    <w:rsid w:val="00A02514"/>
    <w:rsid w:val="00A0420D"/>
    <w:rsid w:val="00A04629"/>
    <w:rsid w:val="00A05D8A"/>
    <w:rsid w:val="00A07C88"/>
    <w:rsid w:val="00A117BD"/>
    <w:rsid w:val="00A11CFA"/>
    <w:rsid w:val="00A1241B"/>
    <w:rsid w:val="00A12961"/>
    <w:rsid w:val="00A12CA4"/>
    <w:rsid w:val="00A138AE"/>
    <w:rsid w:val="00A13C40"/>
    <w:rsid w:val="00A142C3"/>
    <w:rsid w:val="00A14CD2"/>
    <w:rsid w:val="00A16817"/>
    <w:rsid w:val="00A21D38"/>
    <w:rsid w:val="00A225E2"/>
    <w:rsid w:val="00A22B96"/>
    <w:rsid w:val="00A24EC8"/>
    <w:rsid w:val="00A27D0B"/>
    <w:rsid w:val="00A31012"/>
    <w:rsid w:val="00A33FDF"/>
    <w:rsid w:val="00A34E30"/>
    <w:rsid w:val="00A3582D"/>
    <w:rsid w:val="00A35A46"/>
    <w:rsid w:val="00A35CCD"/>
    <w:rsid w:val="00A37807"/>
    <w:rsid w:val="00A37EDB"/>
    <w:rsid w:val="00A4051A"/>
    <w:rsid w:val="00A42E4E"/>
    <w:rsid w:val="00A45060"/>
    <w:rsid w:val="00A456B5"/>
    <w:rsid w:val="00A45F5F"/>
    <w:rsid w:val="00A46AE6"/>
    <w:rsid w:val="00A4765F"/>
    <w:rsid w:val="00A47FE7"/>
    <w:rsid w:val="00A51CC8"/>
    <w:rsid w:val="00A55E24"/>
    <w:rsid w:val="00A562C1"/>
    <w:rsid w:val="00A576CB"/>
    <w:rsid w:val="00A617AF"/>
    <w:rsid w:val="00A61B65"/>
    <w:rsid w:val="00A62967"/>
    <w:rsid w:val="00A638A7"/>
    <w:rsid w:val="00A63947"/>
    <w:rsid w:val="00A6462A"/>
    <w:rsid w:val="00A64861"/>
    <w:rsid w:val="00A65855"/>
    <w:rsid w:val="00A658A4"/>
    <w:rsid w:val="00A65F03"/>
    <w:rsid w:val="00A663C7"/>
    <w:rsid w:val="00A666B1"/>
    <w:rsid w:val="00A71C4A"/>
    <w:rsid w:val="00A723DE"/>
    <w:rsid w:val="00A72E9B"/>
    <w:rsid w:val="00A757EB"/>
    <w:rsid w:val="00A759C2"/>
    <w:rsid w:val="00A76022"/>
    <w:rsid w:val="00A85C54"/>
    <w:rsid w:val="00A87139"/>
    <w:rsid w:val="00A90A7A"/>
    <w:rsid w:val="00A91E23"/>
    <w:rsid w:val="00A92724"/>
    <w:rsid w:val="00A927F9"/>
    <w:rsid w:val="00A92C8F"/>
    <w:rsid w:val="00A92F8C"/>
    <w:rsid w:val="00A95E23"/>
    <w:rsid w:val="00A97042"/>
    <w:rsid w:val="00AA2F00"/>
    <w:rsid w:val="00AA3273"/>
    <w:rsid w:val="00AA3D6A"/>
    <w:rsid w:val="00AA4349"/>
    <w:rsid w:val="00AA5266"/>
    <w:rsid w:val="00AA5C73"/>
    <w:rsid w:val="00AB28AC"/>
    <w:rsid w:val="00AB4015"/>
    <w:rsid w:val="00AB422A"/>
    <w:rsid w:val="00AC13BE"/>
    <w:rsid w:val="00AC314D"/>
    <w:rsid w:val="00AD0DCD"/>
    <w:rsid w:val="00AD167E"/>
    <w:rsid w:val="00AD5B97"/>
    <w:rsid w:val="00AD6D51"/>
    <w:rsid w:val="00AE02EE"/>
    <w:rsid w:val="00AE28C9"/>
    <w:rsid w:val="00AE4AC6"/>
    <w:rsid w:val="00AE506F"/>
    <w:rsid w:val="00AE5141"/>
    <w:rsid w:val="00AE7119"/>
    <w:rsid w:val="00AF0435"/>
    <w:rsid w:val="00AF4012"/>
    <w:rsid w:val="00AF46B2"/>
    <w:rsid w:val="00AF55B6"/>
    <w:rsid w:val="00AF5602"/>
    <w:rsid w:val="00AF5768"/>
    <w:rsid w:val="00B02A5A"/>
    <w:rsid w:val="00B10C19"/>
    <w:rsid w:val="00B16A84"/>
    <w:rsid w:val="00B16E4B"/>
    <w:rsid w:val="00B1770A"/>
    <w:rsid w:val="00B27A1F"/>
    <w:rsid w:val="00B31898"/>
    <w:rsid w:val="00B32265"/>
    <w:rsid w:val="00B3614C"/>
    <w:rsid w:val="00B37238"/>
    <w:rsid w:val="00B378C5"/>
    <w:rsid w:val="00B4035F"/>
    <w:rsid w:val="00B40FE4"/>
    <w:rsid w:val="00B447F2"/>
    <w:rsid w:val="00B44D86"/>
    <w:rsid w:val="00B47B47"/>
    <w:rsid w:val="00B51149"/>
    <w:rsid w:val="00B52D3C"/>
    <w:rsid w:val="00B54004"/>
    <w:rsid w:val="00B54646"/>
    <w:rsid w:val="00B55E93"/>
    <w:rsid w:val="00B62626"/>
    <w:rsid w:val="00B6394D"/>
    <w:rsid w:val="00B71C81"/>
    <w:rsid w:val="00B72B8D"/>
    <w:rsid w:val="00B72DAA"/>
    <w:rsid w:val="00B747A6"/>
    <w:rsid w:val="00B82FA4"/>
    <w:rsid w:val="00B8541F"/>
    <w:rsid w:val="00B86F8C"/>
    <w:rsid w:val="00B87258"/>
    <w:rsid w:val="00B8751A"/>
    <w:rsid w:val="00B90035"/>
    <w:rsid w:val="00B905F1"/>
    <w:rsid w:val="00B9416D"/>
    <w:rsid w:val="00B9542F"/>
    <w:rsid w:val="00B96475"/>
    <w:rsid w:val="00BA311B"/>
    <w:rsid w:val="00BA3A97"/>
    <w:rsid w:val="00BA5121"/>
    <w:rsid w:val="00BA62AC"/>
    <w:rsid w:val="00BB182D"/>
    <w:rsid w:val="00BB216D"/>
    <w:rsid w:val="00BB2F6A"/>
    <w:rsid w:val="00BB2FA9"/>
    <w:rsid w:val="00BB396C"/>
    <w:rsid w:val="00BB40A6"/>
    <w:rsid w:val="00BB4804"/>
    <w:rsid w:val="00BB4F18"/>
    <w:rsid w:val="00BB54B7"/>
    <w:rsid w:val="00BB62A8"/>
    <w:rsid w:val="00BC05AC"/>
    <w:rsid w:val="00BC3993"/>
    <w:rsid w:val="00BC424D"/>
    <w:rsid w:val="00BD4AAD"/>
    <w:rsid w:val="00BD7444"/>
    <w:rsid w:val="00BE08D4"/>
    <w:rsid w:val="00BE1AF5"/>
    <w:rsid w:val="00BE1B6D"/>
    <w:rsid w:val="00BE4184"/>
    <w:rsid w:val="00BE469F"/>
    <w:rsid w:val="00BE58A0"/>
    <w:rsid w:val="00BE5A21"/>
    <w:rsid w:val="00BE746B"/>
    <w:rsid w:val="00BE7DEE"/>
    <w:rsid w:val="00BF02E1"/>
    <w:rsid w:val="00BF1929"/>
    <w:rsid w:val="00BF3DD0"/>
    <w:rsid w:val="00BF4B68"/>
    <w:rsid w:val="00BF5C31"/>
    <w:rsid w:val="00BF696E"/>
    <w:rsid w:val="00BF6FFF"/>
    <w:rsid w:val="00C00DB6"/>
    <w:rsid w:val="00C014E8"/>
    <w:rsid w:val="00C01E63"/>
    <w:rsid w:val="00C02CA6"/>
    <w:rsid w:val="00C03421"/>
    <w:rsid w:val="00C036DA"/>
    <w:rsid w:val="00C039E0"/>
    <w:rsid w:val="00C042B1"/>
    <w:rsid w:val="00C0542E"/>
    <w:rsid w:val="00C05CD7"/>
    <w:rsid w:val="00C06218"/>
    <w:rsid w:val="00C07EC6"/>
    <w:rsid w:val="00C118F5"/>
    <w:rsid w:val="00C136DD"/>
    <w:rsid w:val="00C154D8"/>
    <w:rsid w:val="00C23D63"/>
    <w:rsid w:val="00C26BCF"/>
    <w:rsid w:val="00C276E8"/>
    <w:rsid w:val="00C33F3A"/>
    <w:rsid w:val="00C34B52"/>
    <w:rsid w:val="00C34CD7"/>
    <w:rsid w:val="00C36413"/>
    <w:rsid w:val="00C3681E"/>
    <w:rsid w:val="00C42F86"/>
    <w:rsid w:val="00C43C5D"/>
    <w:rsid w:val="00C47A4A"/>
    <w:rsid w:val="00C51156"/>
    <w:rsid w:val="00C5152D"/>
    <w:rsid w:val="00C5198C"/>
    <w:rsid w:val="00C53AD3"/>
    <w:rsid w:val="00C56D87"/>
    <w:rsid w:val="00C574D8"/>
    <w:rsid w:val="00C607F8"/>
    <w:rsid w:val="00C6551F"/>
    <w:rsid w:val="00C65DAC"/>
    <w:rsid w:val="00C664AD"/>
    <w:rsid w:val="00C7192B"/>
    <w:rsid w:val="00C72DDD"/>
    <w:rsid w:val="00C7457C"/>
    <w:rsid w:val="00C74E9D"/>
    <w:rsid w:val="00C74EC8"/>
    <w:rsid w:val="00C760F3"/>
    <w:rsid w:val="00C76823"/>
    <w:rsid w:val="00C82523"/>
    <w:rsid w:val="00C83214"/>
    <w:rsid w:val="00C83D1A"/>
    <w:rsid w:val="00C927F1"/>
    <w:rsid w:val="00C930AB"/>
    <w:rsid w:val="00C93BE5"/>
    <w:rsid w:val="00C947C9"/>
    <w:rsid w:val="00C95856"/>
    <w:rsid w:val="00C96128"/>
    <w:rsid w:val="00C97E67"/>
    <w:rsid w:val="00CA0552"/>
    <w:rsid w:val="00CA36CB"/>
    <w:rsid w:val="00CA3E1D"/>
    <w:rsid w:val="00CA508A"/>
    <w:rsid w:val="00CA5817"/>
    <w:rsid w:val="00CA613C"/>
    <w:rsid w:val="00CB00A4"/>
    <w:rsid w:val="00CB1189"/>
    <w:rsid w:val="00CB1649"/>
    <w:rsid w:val="00CB29D5"/>
    <w:rsid w:val="00CB46B3"/>
    <w:rsid w:val="00CB7073"/>
    <w:rsid w:val="00CB7B2E"/>
    <w:rsid w:val="00CC0B70"/>
    <w:rsid w:val="00CC1E85"/>
    <w:rsid w:val="00CC30F7"/>
    <w:rsid w:val="00CC3211"/>
    <w:rsid w:val="00CC38C8"/>
    <w:rsid w:val="00CD01D3"/>
    <w:rsid w:val="00CD5961"/>
    <w:rsid w:val="00CD74A6"/>
    <w:rsid w:val="00CD79A1"/>
    <w:rsid w:val="00CE4DC8"/>
    <w:rsid w:val="00CE6308"/>
    <w:rsid w:val="00CE7975"/>
    <w:rsid w:val="00CF0E93"/>
    <w:rsid w:val="00CF23C5"/>
    <w:rsid w:val="00CF6073"/>
    <w:rsid w:val="00CF6327"/>
    <w:rsid w:val="00CF7303"/>
    <w:rsid w:val="00CF7979"/>
    <w:rsid w:val="00CF7C03"/>
    <w:rsid w:val="00D03DC4"/>
    <w:rsid w:val="00D04BD2"/>
    <w:rsid w:val="00D05DD5"/>
    <w:rsid w:val="00D06304"/>
    <w:rsid w:val="00D07E2D"/>
    <w:rsid w:val="00D1130B"/>
    <w:rsid w:val="00D11A9A"/>
    <w:rsid w:val="00D158FC"/>
    <w:rsid w:val="00D20CCC"/>
    <w:rsid w:val="00D21B02"/>
    <w:rsid w:val="00D22467"/>
    <w:rsid w:val="00D24653"/>
    <w:rsid w:val="00D25CE8"/>
    <w:rsid w:val="00D276B3"/>
    <w:rsid w:val="00D30254"/>
    <w:rsid w:val="00D316B7"/>
    <w:rsid w:val="00D33A34"/>
    <w:rsid w:val="00D34227"/>
    <w:rsid w:val="00D35428"/>
    <w:rsid w:val="00D3620C"/>
    <w:rsid w:val="00D3705F"/>
    <w:rsid w:val="00D40802"/>
    <w:rsid w:val="00D40A62"/>
    <w:rsid w:val="00D427F0"/>
    <w:rsid w:val="00D44680"/>
    <w:rsid w:val="00D45A2F"/>
    <w:rsid w:val="00D51D5E"/>
    <w:rsid w:val="00D54D84"/>
    <w:rsid w:val="00D5544D"/>
    <w:rsid w:val="00D55503"/>
    <w:rsid w:val="00D6249A"/>
    <w:rsid w:val="00D66EB9"/>
    <w:rsid w:val="00D670C6"/>
    <w:rsid w:val="00D70763"/>
    <w:rsid w:val="00D71277"/>
    <w:rsid w:val="00D71555"/>
    <w:rsid w:val="00D72155"/>
    <w:rsid w:val="00D74D94"/>
    <w:rsid w:val="00D775EE"/>
    <w:rsid w:val="00D81150"/>
    <w:rsid w:val="00D82D69"/>
    <w:rsid w:val="00D82E2D"/>
    <w:rsid w:val="00D832E5"/>
    <w:rsid w:val="00D858B6"/>
    <w:rsid w:val="00D85C50"/>
    <w:rsid w:val="00D85E10"/>
    <w:rsid w:val="00D85E81"/>
    <w:rsid w:val="00D9557F"/>
    <w:rsid w:val="00D972C4"/>
    <w:rsid w:val="00D9750B"/>
    <w:rsid w:val="00D97610"/>
    <w:rsid w:val="00D9781A"/>
    <w:rsid w:val="00DA174B"/>
    <w:rsid w:val="00DA2776"/>
    <w:rsid w:val="00DA2F12"/>
    <w:rsid w:val="00DA2FDA"/>
    <w:rsid w:val="00DB0259"/>
    <w:rsid w:val="00DB0529"/>
    <w:rsid w:val="00DB193C"/>
    <w:rsid w:val="00DB1F40"/>
    <w:rsid w:val="00DB3488"/>
    <w:rsid w:val="00DB4111"/>
    <w:rsid w:val="00DB45E4"/>
    <w:rsid w:val="00DB561B"/>
    <w:rsid w:val="00DB7DFD"/>
    <w:rsid w:val="00DC7B32"/>
    <w:rsid w:val="00DD0136"/>
    <w:rsid w:val="00DD01CE"/>
    <w:rsid w:val="00DD2C52"/>
    <w:rsid w:val="00DD42B6"/>
    <w:rsid w:val="00DD4F14"/>
    <w:rsid w:val="00DD53BA"/>
    <w:rsid w:val="00DD7223"/>
    <w:rsid w:val="00DD7362"/>
    <w:rsid w:val="00DD788B"/>
    <w:rsid w:val="00DE0C89"/>
    <w:rsid w:val="00DE10E7"/>
    <w:rsid w:val="00DE1A90"/>
    <w:rsid w:val="00DE217A"/>
    <w:rsid w:val="00DE253F"/>
    <w:rsid w:val="00DE4E8F"/>
    <w:rsid w:val="00DE7445"/>
    <w:rsid w:val="00DF04EE"/>
    <w:rsid w:val="00DF1115"/>
    <w:rsid w:val="00DF1EA8"/>
    <w:rsid w:val="00DF2C6B"/>
    <w:rsid w:val="00DF2CAC"/>
    <w:rsid w:val="00DF75D3"/>
    <w:rsid w:val="00E02D5E"/>
    <w:rsid w:val="00E04C70"/>
    <w:rsid w:val="00E0567F"/>
    <w:rsid w:val="00E0626B"/>
    <w:rsid w:val="00E1182F"/>
    <w:rsid w:val="00E126A3"/>
    <w:rsid w:val="00E155BD"/>
    <w:rsid w:val="00E16F4C"/>
    <w:rsid w:val="00E16FEB"/>
    <w:rsid w:val="00E1736F"/>
    <w:rsid w:val="00E2070D"/>
    <w:rsid w:val="00E23758"/>
    <w:rsid w:val="00E238A1"/>
    <w:rsid w:val="00E2602A"/>
    <w:rsid w:val="00E26BB6"/>
    <w:rsid w:val="00E30FF0"/>
    <w:rsid w:val="00E31154"/>
    <w:rsid w:val="00E32733"/>
    <w:rsid w:val="00E32F65"/>
    <w:rsid w:val="00E36B48"/>
    <w:rsid w:val="00E40A60"/>
    <w:rsid w:val="00E430E9"/>
    <w:rsid w:val="00E4325F"/>
    <w:rsid w:val="00E47CCC"/>
    <w:rsid w:val="00E50E2C"/>
    <w:rsid w:val="00E51C43"/>
    <w:rsid w:val="00E52ABE"/>
    <w:rsid w:val="00E60088"/>
    <w:rsid w:val="00E64072"/>
    <w:rsid w:val="00E64A44"/>
    <w:rsid w:val="00E6627D"/>
    <w:rsid w:val="00E6741F"/>
    <w:rsid w:val="00E67A1A"/>
    <w:rsid w:val="00E771F3"/>
    <w:rsid w:val="00E779E7"/>
    <w:rsid w:val="00E77B17"/>
    <w:rsid w:val="00E81313"/>
    <w:rsid w:val="00E81B31"/>
    <w:rsid w:val="00E832A8"/>
    <w:rsid w:val="00E873D1"/>
    <w:rsid w:val="00E87C36"/>
    <w:rsid w:val="00E900C5"/>
    <w:rsid w:val="00E90A01"/>
    <w:rsid w:val="00E90ACF"/>
    <w:rsid w:val="00E948E6"/>
    <w:rsid w:val="00E9666A"/>
    <w:rsid w:val="00E97135"/>
    <w:rsid w:val="00EA1C86"/>
    <w:rsid w:val="00EA2CB4"/>
    <w:rsid w:val="00EA54FD"/>
    <w:rsid w:val="00EB01B2"/>
    <w:rsid w:val="00EB01FB"/>
    <w:rsid w:val="00EB0261"/>
    <w:rsid w:val="00EB1BD6"/>
    <w:rsid w:val="00EB4776"/>
    <w:rsid w:val="00EB4C40"/>
    <w:rsid w:val="00EB74BB"/>
    <w:rsid w:val="00EC16B4"/>
    <w:rsid w:val="00EC1E28"/>
    <w:rsid w:val="00EC2415"/>
    <w:rsid w:val="00EC34E7"/>
    <w:rsid w:val="00EC42BD"/>
    <w:rsid w:val="00EC5ED0"/>
    <w:rsid w:val="00EC63AE"/>
    <w:rsid w:val="00EC6C21"/>
    <w:rsid w:val="00EC7658"/>
    <w:rsid w:val="00ED0593"/>
    <w:rsid w:val="00ED4D13"/>
    <w:rsid w:val="00EE0E49"/>
    <w:rsid w:val="00EE1169"/>
    <w:rsid w:val="00EE5615"/>
    <w:rsid w:val="00EF1B3C"/>
    <w:rsid w:val="00EF3454"/>
    <w:rsid w:val="00EF5559"/>
    <w:rsid w:val="00EF64B1"/>
    <w:rsid w:val="00EF7B0D"/>
    <w:rsid w:val="00F007C9"/>
    <w:rsid w:val="00F009DB"/>
    <w:rsid w:val="00F02762"/>
    <w:rsid w:val="00F041D5"/>
    <w:rsid w:val="00F043F4"/>
    <w:rsid w:val="00F04CFF"/>
    <w:rsid w:val="00F0501C"/>
    <w:rsid w:val="00F05770"/>
    <w:rsid w:val="00F120B7"/>
    <w:rsid w:val="00F14B76"/>
    <w:rsid w:val="00F244B7"/>
    <w:rsid w:val="00F3082A"/>
    <w:rsid w:val="00F31C57"/>
    <w:rsid w:val="00F36674"/>
    <w:rsid w:val="00F402B5"/>
    <w:rsid w:val="00F40959"/>
    <w:rsid w:val="00F40B12"/>
    <w:rsid w:val="00F40F93"/>
    <w:rsid w:val="00F43B88"/>
    <w:rsid w:val="00F442EF"/>
    <w:rsid w:val="00F47D7C"/>
    <w:rsid w:val="00F50010"/>
    <w:rsid w:val="00F506D1"/>
    <w:rsid w:val="00F51045"/>
    <w:rsid w:val="00F5404F"/>
    <w:rsid w:val="00F54A7F"/>
    <w:rsid w:val="00F55D50"/>
    <w:rsid w:val="00F57D77"/>
    <w:rsid w:val="00F604D8"/>
    <w:rsid w:val="00F62B70"/>
    <w:rsid w:val="00F651C1"/>
    <w:rsid w:val="00F67CE7"/>
    <w:rsid w:val="00F70643"/>
    <w:rsid w:val="00F70707"/>
    <w:rsid w:val="00F717E7"/>
    <w:rsid w:val="00F7395A"/>
    <w:rsid w:val="00F74997"/>
    <w:rsid w:val="00F762C7"/>
    <w:rsid w:val="00F76C86"/>
    <w:rsid w:val="00F77918"/>
    <w:rsid w:val="00F77A44"/>
    <w:rsid w:val="00F8058C"/>
    <w:rsid w:val="00F8077A"/>
    <w:rsid w:val="00F818BB"/>
    <w:rsid w:val="00F81A8C"/>
    <w:rsid w:val="00F82039"/>
    <w:rsid w:val="00F8283E"/>
    <w:rsid w:val="00F85470"/>
    <w:rsid w:val="00F86412"/>
    <w:rsid w:val="00F87E31"/>
    <w:rsid w:val="00F9594B"/>
    <w:rsid w:val="00F9598B"/>
    <w:rsid w:val="00F97844"/>
    <w:rsid w:val="00FA52F1"/>
    <w:rsid w:val="00FA617F"/>
    <w:rsid w:val="00FA7280"/>
    <w:rsid w:val="00FB0F48"/>
    <w:rsid w:val="00FB1CB7"/>
    <w:rsid w:val="00FB2377"/>
    <w:rsid w:val="00FB2A4D"/>
    <w:rsid w:val="00FB2BE6"/>
    <w:rsid w:val="00FB37B5"/>
    <w:rsid w:val="00FB4052"/>
    <w:rsid w:val="00FB446C"/>
    <w:rsid w:val="00FB7DB8"/>
    <w:rsid w:val="00FC1158"/>
    <w:rsid w:val="00FC1203"/>
    <w:rsid w:val="00FC4947"/>
    <w:rsid w:val="00FC4A0A"/>
    <w:rsid w:val="00FC5050"/>
    <w:rsid w:val="00FC675A"/>
    <w:rsid w:val="00FC68A3"/>
    <w:rsid w:val="00FD0B54"/>
    <w:rsid w:val="00FD15A4"/>
    <w:rsid w:val="00FD6403"/>
    <w:rsid w:val="00FD7B95"/>
    <w:rsid w:val="00FE1340"/>
    <w:rsid w:val="00FE3E7B"/>
    <w:rsid w:val="00FE435C"/>
    <w:rsid w:val="00FE7CC5"/>
    <w:rsid w:val="00FF2782"/>
    <w:rsid w:val="00FF295A"/>
    <w:rsid w:val="00FF2A6F"/>
    <w:rsid w:val="00FF3FCD"/>
    <w:rsid w:val="00FF4C02"/>
    <w:rsid w:val="00FF5B50"/>
    <w:rsid w:val="00FF5EF9"/>
    <w:rsid w:val="00FF6B9B"/>
    <w:rsid w:val="00FF6F0A"/>
    <w:rsid w:val="00FF729B"/>
    <w:rsid w:val="010E70F1"/>
    <w:rsid w:val="0129403A"/>
    <w:rsid w:val="01693DA9"/>
    <w:rsid w:val="01826A17"/>
    <w:rsid w:val="01B77866"/>
    <w:rsid w:val="01C33986"/>
    <w:rsid w:val="01DC2959"/>
    <w:rsid w:val="022C2E9B"/>
    <w:rsid w:val="025837A5"/>
    <w:rsid w:val="025909DE"/>
    <w:rsid w:val="02D13D4F"/>
    <w:rsid w:val="02F456F2"/>
    <w:rsid w:val="032441FD"/>
    <w:rsid w:val="0398674A"/>
    <w:rsid w:val="03CB0F7B"/>
    <w:rsid w:val="045A77D7"/>
    <w:rsid w:val="04FF11CA"/>
    <w:rsid w:val="05921EE8"/>
    <w:rsid w:val="05F11169"/>
    <w:rsid w:val="06527826"/>
    <w:rsid w:val="06556C41"/>
    <w:rsid w:val="06A718B6"/>
    <w:rsid w:val="06B036DE"/>
    <w:rsid w:val="07346F7A"/>
    <w:rsid w:val="0736768B"/>
    <w:rsid w:val="075860A1"/>
    <w:rsid w:val="07F341CA"/>
    <w:rsid w:val="0858117E"/>
    <w:rsid w:val="086A32AC"/>
    <w:rsid w:val="089247D2"/>
    <w:rsid w:val="08A22C7C"/>
    <w:rsid w:val="090B5587"/>
    <w:rsid w:val="091A588A"/>
    <w:rsid w:val="092F01B8"/>
    <w:rsid w:val="097C6801"/>
    <w:rsid w:val="09CC7F17"/>
    <w:rsid w:val="09E366F4"/>
    <w:rsid w:val="09FC2CA4"/>
    <w:rsid w:val="0A14667A"/>
    <w:rsid w:val="0A217411"/>
    <w:rsid w:val="0A462BC7"/>
    <w:rsid w:val="0A663F6C"/>
    <w:rsid w:val="0AD1239D"/>
    <w:rsid w:val="0B1F4989"/>
    <w:rsid w:val="0B227CC9"/>
    <w:rsid w:val="0B2F58BB"/>
    <w:rsid w:val="0B626F71"/>
    <w:rsid w:val="0B7F5D75"/>
    <w:rsid w:val="0B9E10CF"/>
    <w:rsid w:val="0BA56541"/>
    <w:rsid w:val="0BE845BB"/>
    <w:rsid w:val="0BE934DD"/>
    <w:rsid w:val="0C186B74"/>
    <w:rsid w:val="0C6C1935"/>
    <w:rsid w:val="0C6C62F9"/>
    <w:rsid w:val="0C853538"/>
    <w:rsid w:val="0CA05CB1"/>
    <w:rsid w:val="0CDE5118"/>
    <w:rsid w:val="0CE106DB"/>
    <w:rsid w:val="0CF663AE"/>
    <w:rsid w:val="0D2B61B4"/>
    <w:rsid w:val="0D6B4803"/>
    <w:rsid w:val="0D942D77"/>
    <w:rsid w:val="0D9D1AE5"/>
    <w:rsid w:val="0DFB64F3"/>
    <w:rsid w:val="0DFE49A3"/>
    <w:rsid w:val="0E11418C"/>
    <w:rsid w:val="0E1A7E28"/>
    <w:rsid w:val="0E4A05AE"/>
    <w:rsid w:val="0E63372C"/>
    <w:rsid w:val="0E652AC5"/>
    <w:rsid w:val="0E682A23"/>
    <w:rsid w:val="0EE651DB"/>
    <w:rsid w:val="0EFD76DC"/>
    <w:rsid w:val="0F7756E1"/>
    <w:rsid w:val="0F7D6A6F"/>
    <w:rsid w:val="0FBD7CB1"/>
    <w:rsid w:val="0FBE6C35"/>
    <w:rsid w:val="0FD216B3"/>
    <w:rsid w:val="0FF52AA9"/>
    <w:rsid w:val="0FF8315F"/>
    <w:rsid w:val="10112315"/>
    <w:rsid w:val="102E4B93"/>
    <w:rsid w:val="103112F5"/>
    <w:rsid w:val="104D01F0"/>
    <w:rsid w:val="10732363"/>
    <w:rsid w:val="10937656"/>
    <w:rsid w:val="10DB414B"/>
    <w:rsid w:val="10EA1EE2"/>
    <w:rsid w:val="110A251D"/>
    <w:rsid w:val="111E393A"/>
    <w:rsid w:val="115A6B37"/>
    <w:rsid w:val="11666897"/>
    <w:rsid w:val="123A0C48"/>
    <w:rsid w:val="12483364"/>
    <w:rsid w:val="128F4AEF"/>
    <w:rsid w:val="12A433B1"/>
    <w:rsid w:val="12BB58E4"/>
    <w:rsid w:val="12E75B94"/>
    <w:rsid w:val="13563DAA"/>
    <w:rsid w:val="136F1C20"/>
    <w:rsid w:val="13877D68"/>
    <w:rsid w:val="139F3BE4"/>
    <w:rsid w:val="13BA2040"/>
    <w:rsid w:val="13D3452B"/>
    <w:rsid w:val="140774AD"/>
    <w:rsid w:val="15051099"/>
    <w:rsid w:val="1517701E"/>
    <w:rsid w:val="15842905"/>
    <w:rsid w:val="15CC66A1"/>
    <w:rsid w:val="163E57AE"/>
    <w:rsid w:val="164976AB"/>
    <w:rsid w:val="16505C99"/>
    <w:rsid w:val="167F4558"/>
    <w:rsid w:val="16AF4771"/>
    <w:rsid w:val="16BA0495"/>
    <w:rsid w:val="16D34E8F"/>
    <w:rsid w:val="16E46EF0"/>
    <w:rsid w:val="1734382F"/>
    <w:rsid w:val="17597546"/>
    <w:rsid w:val="17B9223F"/>
    <w:rsid w:val="17BE19D3"/>
    <w:rsid w:val="17D1198B"/>
    <w:rsid w:val="18067E8E"/>
    <w:rsid w:val="18176DF0"/>
    <w:rsid w:val="182013D2"/>
    <w:rsid w:val="182C5C1D"/>
    <w:rsid w:val="186758E2"/>
    <w:rsid w:val="18720C84"/>
    <w:rsid w:val="19B337B9"/>
    <w:rsid w:val="19EF7AF9"/>
    <w:rsid w:val="1A371634"/>
    <w:rsid w:val="1B0B13D3"/>
    <w:rsid w:val="1B304838"/>
    <w:rsid w:val="1B495A57"/>
    <w:rsid w:val="1B634D6B"/>
    <w:rsid w:val="1B803B6F"/>
    <w:rsid w:val="1B9746C1"/>
    <w:rsid w:val="1BC9403A"/>
    <w:rsid w:val="1C050957"/>
    <w:rsid w:val="1C0556D0"/>
    <w:rsid w:val="1C2C7853"/>
    <w:rsid w:val="1C487D99"/>
    <w:rsid w:val="1C4955DC"/>
    <w:rsid w:val="1C5847A3"/>
    <w:rsid w:val="1C5C30AE"/>
    <w:rsid w:val="1C7D3C0B"/>
    <w:rsid w:val="1C8C6544"/>
    <w:rsid w:val="1C9176B6"/>
    <w:rsid w:val="1C9920A6"/>
    <w:rsid w:val="1CB05C33"/>
    <w:rsid w:val="1D914C03"/>
    <w:rsid w:val="1DD51824"/>
    <w:rsid w:val="1DEE08FE"/>
    <w:rsid w:val="1E786D7F"/>
    <w:rsid w:val="1E7F49B4"/>
    <w:rsid w:val="1EC47882"/>
    <w:rsid w:val="1ECE4BF1"/>
    <w:rsid w:val="1F1F5B3A"/>
    <w:rsid w:val="1F5F3A9B"/>
    <w:rsid w:val="1F856AAA"/>
    <w:rsid w:val="1FA3607E"/>
    <w:rsid w:val="1FBD6951"/>
    <w:rsid w:val="1FD24B33"/>
    <w:rsid w:val="1FD91AA0"/>
    <w:rsid w:val="1FF22B62"/>
    <w:rsid w:val="20303E66"/>
    <w:rsid w:val="20BF43BB"/>
    <w:rsid w:val="20F25A2B"/>
    <w:rsid w:val="20F66299"/>
    <w:rsid w:val="20F85F56"/>
    <w:rsid w:val="21433208"/>
    <w:rsid w:val="218755AB"/>
    <w:rsid w:val="21E6657A"/>
    <w:rsid w:val="22010E3A"/>
    <w:rsid w:val="223942B3"/>
    <w:rsid w:val="223C6316"/>
    <w:rsid w:val="2296771B"/>
    <w:rsid w:val="22F02729"/>
    <w:rsid w:val="22F4507B"/>
    <w:rsid w:val="232B2612"/>
    <w:rsid w:val="233012E3"/>
    <w:rsid w:val="23FB1E25"/>
    <w:rsid w:val="23FD66CE"/>
    <w:rsid w:val="244D325D"/>
    <w:rsid w:val="24A15EE2"/>
    <w:rsid w:val="24AB715F"/>
    <w:rsid w:val="24B97925"/>
    <w:rsid w:val="24C85C3F"/>
    <w:rsid w:val="24D03CD9"/>
    <w:rsid w:val="24FB6FE0"/>
    <w:rsid w:val="25115DEC"/>
    <w:rsid w:val="251E084D"/>
    <w:rsid w:val="255B1D92"/>
    <w:rsid w:val="258278D2"/>
    <w:rsid w:val="25A14E0E"/>
    <w:rsid w:val="25AE3087"/>
    <w:rsid w:val="25AF7C37"/>
    <w:rsid w:val="25CF468D"/>
    <w:rsid w:val="25F81110"/>
    <w:rsid w:val="25FA35BC"/>
    <w:rsid w:val="26555728"/>
    <w:rsid w:val="26A7706F"/>
    <w:rsid w:val="26AC279E"/>
    <w:rsid w:val="26F34F21"/>
    <w:rsid w:val="270D0F81"/>
    <w:rsid w:val="27117D71"/>
    <w:rsid w:val="27167136"/>
    <w:rsid w:val="272F6449"/>
    <w:rsid w:val="27814EF7"/>
    <w:rsid w:val="278D7C5E"/>
    <w:rsid w:val="2797417A"/>
    <w:rsid w:val="27CC07A7"/>
    <w:rsid w:val="27CD66D3"/>
    <w:rsid w:val="2816238B"/>
    <w:rsid w:val="28181576"/>
    <w:rsid w:val="282854BD"/>
    <w:rsid w:val="28530E0E"/>
    <w:rsid w:val="28810F26"/>
    <w:rsid w:val="289447B6"/>
    <w:rsid w:val="289D21F4"/>
    <w:rsid w:val="289F15C5"/>
    <w:rsid w:val="28E868B0"/>
    <w:rsid w:val="28EF1322"/>
    <w:rsid w:val="290C1785"/>
    <w:rsid w:val="29553F04"/>
    <w:rsid w:val="29B2271B"/>
    <w:rsid w:val="29D0210E"/>
    <w:rsid w:val="29D67050"/>
    <w:rsid w:val="29D82521"/>
    <w:rsid w:val="29EB7B9D"/>
    <w:rsid w:val="29F714A0"/>
    <w:rsid w:val="2A364396"/>
    <w:rsid w:val="2A47342D"/>
    <w:rsid w:val="2A5F6759"/>
    <w:rsid w:val="2A8E16D9"/>
    <w:rsid w:val="2A9475EB"/>
    <w:rsid w:val="2A9665C1"/>
    <w:rsid w:val="2ACA1805"/>
    <w:rsid w:val="2B2D4A4E"/>
    <w:rsid w:val="2B5050CE"/>
    <w:rsid w:val="2B5E540C"/>
    <w:rsid w:val="2B726905"/>
    <w:rsid w:val="2B867023"/>
    <w:rsid w:val="2C5001FE"/>
    <w:rsid w:val="2C66290D"/>
    <w:rsid w:val="2C8C17BB"/>
    <w:rsid w:val="2C9C1C42"/>
    <w:rsid w:val="2CDB453F"/>
    <w:rsid w:val="2DA76D39"/>
    <w:rsid w:val="2DDB2F86"/>
    <w:rsid w:val="2DED6CD6"/>
    <w:rsid w:val="2E0B03C5"/>
    <w:rsid w:val="2E4E753A"/>
    <w:rsid w:val="2E9F12BE"/>
    <w:rsid w:val="2EA14510"/>
    <w:rsid w:val="2EA27D06"/>
    <w:rsid w:val="2EA74B17"/>
    <w:rsid w:val="2EBA7481"/>
    <w:rsid w:val="2EC025F4"/>
    <w:rsid w:val="2EC67693"/>
    <w:rsid w:val="2ED753FC"/>
    <w:rsid w:val="2EF069F5"/>
    <w:rsid w:val="2F294338"/>
    <w:rsid w:val="2F302D5E"/>
    <w:rsid w:val="2F4862FA"/>
    <w:rsid w:val="2F5E1492"/>
    <w:rsid w:val="2F6C2EA4"/>
    <w:rsid w:val="2F77273B"/>
    <w:rsid w:val="2F9A46C5"/>
    <w:rsid w:val="2FD90D3F"/>
    <w:rsid w:val="2FF65D56"/>
    <w:rsid w:val="30704CE7"/>
    <w:rsid w:val="316239A1"/>
    <w:rsid w:val="316B15CD"/>
    <w:rsid w:val="3216448E"/>
    <w:rsid w:val="322B56BF"/>
    <w:rsid w:val="32BD2B5B"/>
    <w:rsid w:val="32C31F24"/>
    <w:rsid w:val="32FD7572"/>
    <w:rsid w:val="339F7A0C"/>
    <w:rsid w:val="33B3141F"/>
    <w:rsid w:val="33C42C0A"/>
    <w:rsid w:val="33D264BB"/>
    <w:rsid w:val="341C3E29"/>
    <w:rsid w:val="342463B4"/>
    <w:rsid w:val="346E6803"/>
    <w:rsid w:val="347100A1"/>
    <w:rsid w:val="348222AE"/>
    <w:rsid w:val="348A4CBF"/>
    <w:rsid w:val="34A477BF"/>
    <w:rsid w:val="34AF401B"/>
    <w:rsid w:val="34D80120"/>
    <w:rsid w:val="34F54ADE"/>
    <w:rsid w:val="353F29DC"/>
    <w:rsid w:val="35635963"/>
    <w:rsid w:val="35753BC1"/>
    <w:rsid w:val="35B5609F"/>
    <w:rsid w:val="35CB5AD6"/>
    <w:rsid w:val="35E13AD9"/>
    <w:rsid w:val="35FC00A6"/>
    <w:rsid w:val="36316394"/>
    <w:rsid w:val="36E71A96"/>
    <w:rsid w:val="36EE262B"/>
    <w:rsid w:val="37313B18"/>
    <w:rsid w:val="3748158D"/>
    <w:rsid w:val="375D3FE4"/>
    <w:rsid w:val="376932B2"/>
    <w:rsid w:val="379F3EED"/>
    <w:rsid w:val="37AB1B1C"/>
    <w:rsid w:val="37BA1D5F"/>
    <w:rsid w:val="37E9704B"/>
    <w:rsid w:val="383C2774"/>
    <w:rsid w:val="3845264E"/>
    <w:rsid w:val="38C34BC3"/>
    <w:rsid w:val="38CD161E"/>
    <w:rsid w:val="38D2636E"/>
    <w:rsid w:val="39095129"/>
    <w:rsid w:val="391361DB"/>
    <w:rsid w:val="395343DC"/>
    <w:rsid w:val="395D1F82"/>
    <w:rsid w:val="397D4EE4"/>
    <w:rsid w:val="399049A3"/>
    <w:rsid w:val="399A6DBB"/>
    <w:rsid w:val="39EC2D56"/>
    <w:rsid w:val="39F41558"/>
    <w:rsid w:val="3A00548E"/>
    <w:rsid w:val="3A1E3B4B"/>
    <w:rsid w:val="3AAB46ED"/>
    <w:rsid w:val="3AC60BDB"/>
    <w:rsid w:val="3AD067E5"/>
    <w:rsid w:val="3AD97E6F"/>
    <w:rsid w:val="3AE77EE0"/>
    <w:rsid w:val="3AEC19EF"/>
    <w:rsid w:val="3B1A3241"/>
    <w:rsid w:val="3B493953"/>
    <w:rsid w:val="3B60266D"/>
    <w:rsid w:val="3B7364AD"/>
    <w:rsid w:val="3B847179"/>
    <w:rsid w:val="3B991666"/>
    <w:rsid w:val="3BB6736F"/>
    <w:rsid w:val="3BD31641"/>
    <w:rsid w:val="3BD57167"/>
    <w:rsid w:val="3C037EF5"/>
    <w:rsid w:val="3C4D4F50"/>
    <w:rsid w:val="3CE9395D"/>
    <w:rsid w:val="3D077723"/>
    <w:rsid w:val="3D453E79"/>
    <w:rsid w:val="3D8A3020"/>
    <w:rsid w:val="3DE11AA5"/>
    <w:rsid w:val="3E646581"/>
    <w:rsid w:val="3E825552"/>
    <w:rsid w:val="3E8517C5"/>
    <w:rsid w:val="3EB61701"/>
    <w:rsid w:val="3EBA6451"/>
    <w:rsid w:val="3ECA545B"/>
    <w:rsid w:val="3F43263A"/>
    <w:rsid w:val="3F566811"/>
    <w:rsid w:val="3F6E1604"/>
    <w:rsid w:val="3F995B77"/>
    <w:rsid w:val="3FD05D64"/>
    <w:rsid w:val="401455C3"/>
    <w:rsid w:val="405B4D28"/>
    <w:rsid w:val="4094294D"/>
    <w:rsid w:val="40A3733C"/>
    <w:rsid w:val="411029F0"/>
    <w:rsid w:val="421656C4"/>
    <w:rsid w:val="42193252"/>
    <w:rsid w:val="42277EF7"/>
    <w:rsid w:val="42411CEA"/>
    <w:rsid w:val="425C0A3B"/>
    <w:rsid w:val="426B76F0"/>
    <w:rsid w:val="42A96C58"/>
    <w:rsid w:val="42DA6C55"/>
    <w:rsid w:val="42F56341"/>
    <w:rsid w:val="432431A4"/>
    <w:rsid w:val="43371E77"/>
    <w:rsid w:val="43B46EA6"/>
    <w:rsid w:val="43E16008"/>
    <w:rsid w:val="43F0701E"/>
    <w:rsid w:val="43F55B48"/>
    <w:rsid w:val="4410037A"/>
    <w:rsid w:val="44136A7F"/>
    <w:rsid w:val="44426641"/>
    <w:rsid w:val="44633262"/>
    <w:rsid w:val="448B4867"/>
    <w:rsid w:val="44D53D34"/>
    <w:rsid w:val="44F92940"/>
    <w:rsid w:val="4501063B"/>
    <w:rsid w:val="45132AAF"/>
    <w:rsid w:val="451D02E5"/>
    <w:rsid w:val="451F649D"/>
    <w:rsid w:val="452E6B76"/>
    <w:rsid w:val="455D4E4D"/>
    <w:rsid w:val="45BE6EBE"/>
    <w:rsid w:val="465346DC"/>
    <w:rsid w:val="46CD03D6"/>
    <w:rsid w:val="47001852"/>
    <w:rsid w:val="47131AAE"/>
    <w:rsid w:val="478236DD"/>
    <w:rsid w:val="47A948D0"/>
    <w:rsid w:val="47B65A57"/>
    <w:rsid w:val="47DB01D8"/>
    <w:rsid w:val="47EA6BCA"/>
    <w:rsid w:val="480F755D"/>
    <w:rsid w:val="48194880"/>
    <w:rsid w:val="487973A3"/>
    <w:rsid w:val="489D2DBB"/>
    <w:rsid w:val="48D12A65"/>
    <w:rsid w:val="48DF6239"/>
    <w:rsid w:val="48E94252"/>
    <w:rsid w:val="48FB15B1"/>
    <w:rsid w:val="492E1C8A"/>
    <w:rsid w:val="49C13E32"/>
    <w:rsid w:val="4A193EF2"/>
    <w:rsid w:val="4A5C41EE"/>
    <w:rsid w:val="4A6B59BD"/>
    <w:rsid w:val="4A730277"/>
    <w:rsid w:val="4A8B47B9"/>
    <w:rsid w:val="4A8C0C78"/>
    <w:rsid w:val="4A911DE8"/>
    <w:rsid w:val="4AB20618"/>
    <w:rsid w:val="4AC44A5C"/>
    <w:rsid w:val="4AEC09FB"/>
    <w:rsid w:val="4B2C6678"/>
    <w:rsid w:val="4B3D1D4B"/>
    <w:rsid w:val="4B841AD9"/>
    <w:rsid w:val="4BF9040A"/>
    <w:rsid w:val="4C0B61D0"/>
    <w:rsid w:val="4CBC4A0C"/>
    <w:rsid w:val="4CC26F13"/>
    <w:rsid w:val="4D021D86"/>
    <w:rsid w:val="4D041B29"/>
    <w:rsid w:val="4D1D0B56"/>
    <w:rsid w:val="4D216D20"/>
    <w:rsid w:val="4D4B13F3"/>
    <w:rsid w:val="4D6B7D84"/>
    <w:rsid w:val="4D743336"/>
    <w:rsid w:val="4D761F49"/>
    <w:rsid w:val="4DB536B0"/>
    <w:rsid w:val="4E031D7A"/>
    <w:rsid w:val="4E250514"/>
    <w:rsid w:val="4E3C3FC8"/>
    <w:rsid w:val="4E524648"/>
    <w:rsid w:val="4E7A439B"/>
    <w:rsid w:val="4E873E5B"/>
    <w:rsid w:val="4EB4266F"/>
    <w:rsid w:val="4EC13713"/>
    <w:rsid w:val="4F477F24"/>
    <w:rsid w:val="4F506DD9"/>
    <w:rsid w:val="4F5603B0"/>
    <w:rsid w:val="4F7B372A"/>
    <w:rsid w:val="50383E81"/>
    <w:rsid w:val="50492ED6"/>
    <w:rsid w:val="50594E5E"/>
    <w:rsid w:val="506A549A"/>
    <w:rsid w:val="5091587B"/>
    <w:rsid w:val="50AA427B"/>
    <w:rsid w:val="50E27D28"/>
    <w:rsid w:val="50F30CAD"/>
    <w:rsid w:val="51733EAB"/>
    <w:rsid w:val="51A26F77"/>
    <w:rsid w:val="51BD44CE"/>
    <w:rsid w:val="51BE5C1E"/>
    <w:rsid w:val="51CB640B"/>
    <w:rsid w:val="51E1029C"/>
    <w:rsid w:val="522B1A1A"/>
    <w:rsid w:val="524B2DC8"/>
    <w:rsid w:val="52AF2B74"/>
    <w:rsid w:val="52D11EE3"/>
    <w:rsid w:val="530110AB"/>
    <w:rsid w:val="53171B77"/>
    <w:rsid w:val="531D551D"/>
    <w:rsid w:val="534E1882"/>
    <w:rsid w:val="53E478AF"/>
    <w:rsid w:val="541128AF"/>
    <w:rsid w:val="543563F0"/>
    <w:rsid w:val="5488245D"/>
    <w:rsid w:val="54D6640B"/>
    <w:rsid w:val="551E1D72"/>
    <w:rsid w:val="55204C11"/>
    <w:rsid w:val="553841BF"/>
    <w:rsid w:val="556E388B"/>
    <w:rsid w:val="55806D8B"/>
    <w:rsid w:val="55D77168"/>
    <w:rsid w:val="560C77D2"/>
    <w:rsid w:val="56142BD0"/>
    <w:rsid w:val="5643193D"/>
    <w:rsid w:val="56462CE4"/>
    <w:rsid w:val="56867584"/>
    <w:rsid w:val="56EA7B13"/>
    <w:rsid w:val="56EE0A49"/>
    <w:rsid w:val="56F05B65"/>
    <w:rsid w:val="5715598F"/>
    <w:rsid w:val="572D5C52"/>
    <w:rsid w:val="57473B22"/>
    <w:rsid w:val="575D4AEE"/>
    <w:rsid w:val="57736AB0"/>
    <w:rsid w:val="577D699F"/>
    <w:rsid w:val="57C07912"/>
    <w:rsid w:val="58133B49"/>
    <w:rsid w:val="584720E0"/>
    <w:rsid w:val="585A0885"/>
    <w:rsid w:val="58D27FB8"/>
    <w:rsid w:val="58F9524E"/>
    <w:rsid w:val="59A3777C"/>
    <w:rsid w:val="59DB7BE7"/>
    <w:rsid w:val="59E529BF"/>
    <w:rsid w:val="5A1D6EB3"/>
    <w:rsid w:val="5A352FBE"/>
    <w:rsid w:val="5A390534"/>
    <w:rsid w:val="5A4A63D7"/>
    <w:rsid w:val="5A715E56"/>
    <w:rsid w:val="5A901AAA"/>
    <w:rsid w:val="5A9B04D6"/>
    <w:rsid w:val="5B6F4A8B"/>
    <w:rsid w:val="5BF74EC7"/>
    <w:rsid w:val="5C1F50E4"/>
    <w:rsid w:val="5C205BA2"/>
    <w:rsid w:val="5CC96302"/>
    <w:rsid w:val="5CCC1228"/>
    <w:rsid w:val="5CF93B2D"/>
    <w:rsid w:val="5D83037A"/>
    <w:rsid w:val="5DA90013"/>
    <w:rsid w:val="5DB03139"/>
    <w:rsid w:val="5DB9023F"/>
    <w:rsid w:val="5DED7EE9"/>
    <w:rsid w:val="5DFF6F42"/>
    <w:rsid w:val="5E4443F8"/>
    <w:rsid w:val="5EBB21E3"/>
    <w:rsid w:val="5EC71A4F"/>
    <w:rsid w:val="5ED811C0"/>
    <w:rsid w:val="5EFE78C9"/>
    <w:rsid w:val="5F04319F"/>
    <w:rsid w:val="5F230C6E"/>
    <w:rsid w:val="5F6D55CC"/>
    <w:rsid w:val="5F8C1EAA"/>
    <w:rsid w:val="5FE559CD"/>
    <w:rsid w:val="5FEB71DA"/>
    <w:rsid w:val="5FF13C7F"/>
    <w:rsid w:val="606B6E69"/>
    <w:rsid w:val="607A491A"/>
    <w:rsid w:val="60932FCA"/>
    <w:rsid w:val="60B52CF3"/>
    <w:rsid w:val="60D9470F"/>
    <w:rsid w:val="611742AB"/>
    <w:rsid w:val="612049BB"/>
    <w:rsid w:val="614F614E"/>
    <w:rsid w:val="6151253D"/>
    <w:rsid w:val="615841C4"/>
    <w:rsid w:val="615978D1"/>
    <w:rsid w:val="615C785F"/>
    <w:rsid w:val="61B16610"/>
    <w:rsid w:val="61CD3451"/>
    <w:rsid w:val="61DD2A6C"/>
    <w:rsid w:val="61E6479E"/>
    <w:rsid w:val="624B0417"/>
    <w:rsid w:val="625E7607"/>
    <w:rsid w:val="62614A02"/>
    <w:rsid w:val="62625805"/>
    <w:rsid w:val="62AC1A0A"/>
    <w:rsid w:val="631E68A0"/>
    <w:rsid w:val="632C0E54"/>
    <w:rsid w:val="639F1C85"/>
    <w:rsid w:val="63FC4110"/>
    <w:rsid w:val="641066D8"/>
    <w:rsid w:val="6411743B"/>
    <w:rsid w:val="642C15E5"/>
    <w:rsid w:val="64301C12"/>
    <w:rsid w:val="64877D3C"/>
    <w:rsid w:val="649829A9"/>
    <w:rsid w:val="64AD03D2"/>
    <w:rsid w:val="64C42F83"/>
    <w:rsid w:val="64C74ED6"/>
    <w:rsid w:val="64EB67CE"/>
    <w:rsid w:val="658729D1"/>
    <w:rsid w:val="6614060F"/>
    <w:rsid w:val="6639016F"/>
    <w:rsid w:val="66392D9A"/>
    <w:rsid w:val="6663635F"/>
    <w:rsid w:val="66754F1F"/>
    <w:rsid w:val="669058B5"/>
    <w:rsid w:val="66993F11"/>
    <w:rsid w:val="66B772E6"/>
    <w:rsid w:val="66CE13EF"/>
    <w:rsid w:val="66DB4D83"/>
    <w:rsid w:val="67346614"/>
    <w:rsid w:val="674120F2"/>
    <w:rsid w:val="6744501E"/>
    <w:rsid w:val="674E7C3D"/>
    <w:rsid w:val="678C7A88"/>
    <w:rsid w:val="67BD6B7E"/>
    <w:rsid w:val="67EB2EF9"/>
    <w:rsid w:val="688C2BE0"/>
    <w:rsid w:val="68994EF5"/>
    <w:rsid w:val="68EF29E6"/>
    <w:rsid w:val="690D50F9"/>
    <w:rsid w:val="695A0B28"/>
    <w:rsid w:val="697C498C"/>
    <w:rsid w:val="69927E5F"/>
    <w:rsid w:val="69D0221D"/>
    <w:rsid w:val="6A4242B5"/>
    <w:rsid w:val="6A8272FB"/>
    <w:rsid w:val="6A912B8B"/>
    <w:rsid w:val="6AC341F7"/>
    <w:rsid w:val="6AF44665"/>
    <w:rsid w:val="6B1D6721"/>
    <w:rsid w:val="6B6E08BB"/>
    <w:rsid w:val="6B710969"/>
    <w:rsid w:val="6B9E135C"/>
    <w:rsid w:val="6BDA5FDD"/>
    <w:rsid w:val="6C1B20C5"/>
    <w:rsid w:val="6C8D4D71"/>
    <w:rsid w:val="6CCF3B4B"/>
    <w:rsid w:val="6D427557"/>
    <w:rsid w:val="6D6C470B"/>
    <w:rsid w:val="6D7018D3"/>
    <w:rsid w:val="6D724E66"/>
    <w:rsid w:val="6E027D32"/>
    <w:rsid w:val="6E331948"/>
    <w:rsid w:val="6E533D98"/>
    <w:rsid w:val="6E5B0E2F"/>
    <w:rsid w:val="6E5C35A4"/>
    <w:rsid w:val="6ED352FB"/>
    <w:rsid w:val="6F154861"/>
    <w:rsid w:val="6F486B64"/>
    <w:rsid w:val="6F814220"/>
    <w:rsid w:val="6F8B1310"/>
    <w:rsid w:val="6FAE2A7D"/>
    <w:rsid w:val="6FAF5830"/>
    <w:rsid w:val="6FEA732C"/>
    <w:rsid w:val="701D4BDE"/>
    <w:rsid w:val="70204F9A"/>
    <w:rsid w:val="70897BFE"/>
    <w:rsid w:val="70911BAC"/>
    <w:rsid w:val="70A02736"/>
    <w:rsid w:val="70B43760"/>
    <w:rsid w:val="70C108B5"/>
    <w:rsid w:val="71701401"/>
    <w:rsid w:val="718129CA"/>
    <w:rsid w:val="71C0365F"/>
    <w:rsid w:val="71C1201B"/>
    <w:rsid w:val="71C32FA0"/>
    <w:rsid w:val="71E865E8"/>
    <w:rsid w:val="7202642B"/>
    <w:rsid w:val="722153EB"/>
    <w:rsid w:val="723247C9"/>
    <w:rsid w:val="727D464C"/>
    <w:rsid w:val="72801E0E"/>
    <w:rsid w:val="728A58AF"/>
    <w:rsid w:val="728D72D4"/>
    <w:rsid w:val="72F6424D"/>
    <w:rsid w:val="72FF004B"/>
    <w:rsid w:val="734168B5"/>
    <w:rsid w:val="7351143E"/>
    <w:rsid w:val="73591E51"/>
    <w:rsid w:val="7379604F"/>
    <w:rsid w:val="73CD213F"/>
    <w:rsid w:val="73D94D40"/>
    <w:rsid w:val="74205BD2"/>
    <w:rsid w:val="74671F38"/>
    <w:rsid w:val="747B1BB4"/>
    <w:rsid w:val="74B3090C"/>
    <w:rsid w:val="74B72AE2"/>
    <w:rsid w:val="74FD4A5E"/>
    <w:rsid w:val="750000AA"/>
    <w:rsid w:val="759C55AE"/>
    <w:rsid w:val="75A35605"/>
    <w:rsid w:val="75A62A4E"/>
    <w:rsid w:val="75D01109"/>
    <w:rsid w:val="75D61CF2"/>
    <w:rsid w:val="760342F6"/>
    <w:rsid w:val="76054C7B"/>
    <w:rsid w:val="766E5C13"/>
    <w:rsid w:val="76C03F95"/>
    <w:rsid w:val="76D33CC8"/>
    <w:rsid w:val="76DE134D"/>
    <w:rsid w:val="76F33ECC"/>
    <w:rsid w:val="77004391"/>
    <w:rsid w:val="772876AC"/>
    <w:rsid w:val="773418AC"/>
    <w:rsid w:val="7745495D"/>
    <w:rsid w:val="77B25FEB"/>
    <w:rsid w:val="77BC77E7"/>
    <w:rsid w:val="77C979EF"/>
    <w:rsid w:val="780266F5"/>
    <w:rsid w:val="78076539"/>
    <w:rsid w:val="78203E33"/>
    <w:rsid w:val="783E05E3"/>
    <w:rsid w:val="78590CF3"/>
    <w:rsid w:val="7881218E"/>
    <w:rsid w:val="788B576D"/>
    <w:rsid w:val="78AD0549"/>
    <w:rsid w:val="78E81443"/>
    <w:rsid w:val="79137054"/>
    <w:rsid w:val="795F234F"/>
    <w:rsid w:val="796A0C20"/>
    <w:rsid w:val="79721340"/>
    <w:rsid w:val="79AD4A5C"/>
    <w:rsid w:val="79AD7538"/>
    <w:rsid w:val="79B078F9"/>
    <w:rsid w:val="79D00993"/>
    <w:rsid w:val="79DB3109"/>
    <w:rsid w:val="7A0519F3"/>
    <w:rsid w:val="7A0E68EE"/>
    <w:rsid w:val="7A3F5061"/>
    <w:rsid w:val="7A6F5AB6"/>
    <w:rsid w:val="7AC23EDC"/>
    <w:rsid w:val="7ACA6D89"/>
    <w:rsid w:val="7AF35895"/>
    <w:rsid w:val="7B2173E8"/>
    <w:rsid w:val="7B336A83"/>
    <w:rsid w:val="7B9D6653"/>
    <w:rsid w:val="7BCB4C79"/>
    <w:rsid w:val="7BD42F30"/>
    <w:rsid w:val="7C3E59B8"/>
    <w:rsid w:val="7C806757"/>
    <w:rsid w:val="7C9E2682"/>
    <w:rsid w:val="7CC44922"/>
    <w:rsid w:val="7CD41616"/>
    <w:rsid w:val="7D155209"/>
    <w:rsid w:val="7D8379F3"/>
    <w:rsid w:val="7D8A547F"/>
    <w:rsid w:val="7D9879F5"/>
    <w:rsid w:val="7DBD71A6"/>
    <w:rsid w:val="7DC336AA"/>
    <w:rsid w:val="7E050960"/>
    <w:rsid w:val="7E5A4710"/>
    <w:rsid w:val="7E784F68"/>
    <w:rsid w:val="7E9D0CF2"/>
    <w:rsid w:val="7EBA56AC"/>
    <w:rsid w:val="7EC04E5E"/>
    <w:rsid w:val="7F0F03A1"/>
    <w:rsid w:val="7F1955B0"/>
    <w:rsid w:val="7F3217A8"/>
    <w:rsid w:val="7F7818B1"/>
    <w:rsid w:val="7F952167"/>
    <w:rsid w:val="7FBC19D7"/>
    <w:rsid w:val="7FCA06E4"/>
    <w:rsid w:val="7FDD1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0"/>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61"/>
    <w:qFormat/>
    <w:uiPriority w:val="0"/>
    <w:pPr>
      <w:keepNext/>
      <w:keepLines/>
      <w:spacing w:before="260" w:after="260" w:line="416" w:lineRule="auto"/>
      <w:outlineLvl w:val="2"/>
    </w:pPr>
    <w:rPr>
      <w:b/>
      <w:bCs/>
      <w:kern w:val="0"/>
      <w:sz w:val="32"/>
      <w:szCs w:val="32"/>
    </w:rPr>
  </w:style>
  <w:style w:type="paragraph" w:styleId="7">
    <w:name w:val="heading 5"/>
    <w:basedOn w:val="1"/>
    <w:next w:val="8"/>
    <w:link w:val="6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63"/>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64"/>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65"/>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6"/>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link w:val="71"/>
    <w:qFormat/>
    <w:uiPriority w:val="0"/>
    <w:pPr>
      <w:ind w:firstLine="830" w:firstLineChars="352"/>
    </w:pPr>
    <w:rPr>
      <w:rFonts w:ascii="仿宋_GB2312" w:eastAsia="仿宋_GB2312"/>
      <w:kern w:val="0"/>
      <w:sz w:val="32"/>
      <w:szCs w:val="20"/>
    </w:rPr>
  </w:style>
  <w:style w:type="paragraph" w:styleId="8">
    <w:name w:val="Normal Indent"/>
    <w:basedOn w:val="1"/>
    <w:qFormat/>
    <w:uiPriority w:val="0"/>
    <w:pPr>
      <w:ind w:firstLine="420"/>
    </w:pPr>
    <w:rPr>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index 8"/>
    <w:basedOn w:val="1"/>
    <w:next w:val="1"/>
    <w:qFormat/>
    <w:uiPriority w:val="0"/>
    <w:pPr>
      <w:spacing w:line="400" w:lineRule="exact"/>
      <w:ind w:left="2940" w:firstLine="1044" w:firstLineChars="200"/>
      <w:jc w:val="left"/>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67"/>
    <w:unhideWhenUsed/>
    <w:qFormat/>
    <w:uiPriority w:val="0"/>
    <w:pPr>
      <w:shd w:val="clear" w:color="auto" w:fill="000080"/>
    </w:pPr>
    <w:rPr>
      <w:rFonts w:hint="eastAsia" w:ascii="宋体" w:hAnsi="宋体"/>
      <w:kern w:val="0"/>
      <w:sz w:val="20"/>
      <w:szCs w:val="20"/>
    </w:rPr>
  </w:style>
  <w:style w:type="paragraph" w:styleId="18">
    <w:name w:val="annotation text"/>
    <w:basedOn w:val="1"/>
    <w:link w:val="68"/>
    <w:unhideWhenUsed/>
    <w:qFormat/>
    <w:uiPriority w:val="0"/>
    <w:pPr>
      <w:jc w:val="left"/>
    </w:pPr>
  </w:style>
  <w:style w:type="paragraph" w:styleId="19">
    <w:name w:val="Body Text 3"/>
    <w:basedOn w:val="1"/>
    <w:link w:val="69"/>
    <w:qFormat/>
    <w:uiPriority w:val="0"/>
    <w:pPr>
      <w:spacing w:line="500" w:lineRule="exact"/>
    </w:pPr>
    <w:rPr>
      <w:b/>
      <w:bCs/>
      <w:kern w:val="0"/>
      <w:sz w:val="24"/>
    </w:rPr>
  </w:style>
  <w:style w:type="paragraph" w:styleId="20">
    <w:name w:val="Body Text"/>
    <w:basedOn w:val="1"/>
    <w:next w:val="1"/>
    <w:link w:val="70"/>
    <w:qFormat/>
    <w:uiPriority w:val="0"/>
    <w:pPr>
      <w:spacing w:line="380" w:lineRule="exact"/>
    </w:pPr>
    <w:rPr>
      <w:kern w:val="0"/>
      <w:sz w:val="24"/>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next w:val="1"/>
    <w:link w:val="72"/>
    <w:qFormat/>
    <w:uiPriority w:val="99"/>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73"/>
    <w:qFormat/>
    <w:uiPriority w:val="0"/>
    <w:pPr>
      <w:ind w:left="100" w:leftChars="2500"/>
    </w:pPr>
    <w:rPr>
      <w:rFonts w:ascii="宋体" w:hAnsi="Courier New"/>
      <w:kern w:val="0"/>
      <w:sz w:val="20"/>
      <w:szCs w:val="21"/>
    </w:rPr>
  </w:style>
  <w:style w:type="paragraph" w:styleId="28">
    <w:name w:val="Body Text Indent 2"/>
    <w:basedOn w:val="1"/>
    <w:link w:val="74"/>
    <w:qFormat/>
    <w:uiPriority w:val="0"/>
    <w:pPr>
      <w:ind w:firstLine="630"/>
    </w:pPr>
    <w:rPr>
      <w:kern w:val="0"/>
      <w:sz w:val="32"/>
      <w:szCs w:val="20"/>
    </w:rPr>
  </w:style>
  <w:style w:type="paragraph" w:styleId="29">
    <w:name w:val="endnote text"/>
    <w:basedOn w:val="1"/>
    <w:link w:val="75"/>
    <w:unhideWhenUsed/>
    <w:qFormat/>
    <w:uiPriority w:val="99"/>
    <w:pPr>
      <w:snapToGrid w:val="0"/>
      <w:jc w:val="left"/>
    </w:pPr>
  </w:style>
  <w:style w:type="paragraph" w:styleId="30">
    <w:name w:val="Balloon Text"/>
    <w:basedOn w:val="1"/>
    <w:link w:val="76"/>
    <w:semiHidden/>
    <w:qFormat/>
    <w:uiPriority w:val="0"/>
    <w:rPr>
      <w:kern w:val="0"/>
      <w:sz w:val="18"/>
      <w:szCs w:val="18"/>
    </w:rPr>
  </w:style>
  <w:style w:type="paragraph" w:styleId="31">
    <w:name w:val="footer"/>
    <w:basedOn w:val="1"/>
    <w:link w:val="77"/>
    <w:unhideWhenUsed/>
    <w:qFormat/>
    <w:uiPriority w:val="99"/>
    <w:pPr>
      <w:tabs>
        <w:tab w:val="center" w:pos="4153"/>
        <w:tab w:val="right" w:pos="8306"/>
      </w:tabs>
      <w:snapToGrid w:val="0"/>
      <w:jc w:val="left"/>
    </w:pPr>
    <w:rPr>
      <w:kern w:val="0"/>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link w:val="78"/>
    <w:unhideWhenUsed/>
    <w:qFormat/>
    <w:uiPriority w:val="0"/>
    <w:pPr>
      <w:pBdr>
        <w:bottom w:val="single" w:color="auto" w:sz="6" w:space="1"/>
      </w:pBdr>
      <w:tabs>
        <w:tab w:val="center" w:pos="0"/>
        <w:tab w:val="lef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footnote text"/>
    <w:basedOn w:val="1"/>
    <w:link w:val="79"/>
    <w:unhideWhenUsed/>
    <w:qFormat/>
    <w:uiPriority w:val="99"/>
    <w:pPr>
      <w:snapToGrid w:val="0"/>
      <w:jc w:val="left"/>
    </w:pPr>
    <w:rPr>
      <w:sz w:val="18"/>
      <w:szCs w:val="1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80"/>
    <w:qFormat/>
    <w:uiPriority w:val="0"/>
    <w:pPr>
      <w:spacing w:after="120"/>
      <w:ind w:left="420" w:leftChars="200"/>
    </w:pPr>
    <w:rPr>
      <w:kern w:val="0"/>
      <w:sz w:val="16"/>
      <w:szCs w:val="16"/>
    </w:rPr>
  </w:style>
  <w:style w:type="paragraph" w:styleId="40">
    <w:name w:val="toc 2"/>
    <w:basedOn w:val="1"/>
    <w:next w:val="1"/>
    <w:unhideWhenUsed/>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81"/>
    <w:qFormat/>
    <w:uiPriority w:val="0"/>
    <w:pPr>
      <w:spacing w:after="120" w:line="480" w:lineRule="auto"/>
    </w:pPr>
    <w:rPr>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qFormat/>
    <w:uiPriority w:val="0"/>
    <w:pPr>
      <w:spacing w:line="400" w:lineRule="exact"/>
      <w:ind w:firstLine="420" w:firstLineChars="200"/>
    </w:pPr>
    <w:rPr>
      <w:rFonts w:ascii="宋体" w:hAnsi="Courier New"/>
      <w:b/>
      <w:szCs w:val="20"/>
    </w:rPr>
  </w:style>
  <w:style w:type="paragraph" w:styleId="45">
    <w:name w:val="Title"/>
    <w:basedOn w:val="1"/>
    <w:next w:val="1"/>
    <w:link w:val="82"/>
    <w:qFormat/>
    <w:uiPriority w:val="10"/>
    <w:pPr>
      <w:spacing w:before="240" w:after="60"/>
      <w:jc w:val="center"/>
      <w:outlineLvl w:val="0"/>
    </w:pPr>
    <w:rPr>
      <w:rFonts w:ascii="Cambria" w:hAnsi="Cambria"/>
      <w:b/>
      <w:bCs/>
      <w:sz w:val="32"/>
      <w:szCs w:val="32"/>
    </w:rPr>
  </w:style>
  <w:style w:type="paragraph" w:styleId="46">
    <w:name w:val="annotation subject"/>
    <w:basedOn w:val="18"/>
    <w:next w:val="18"/>
    <w:link w:val="83"/>
    <w:unhideWhenUsed/>
    <w:qFormat/>
    <w:uiPriority w:val="99"/>
    <w:rPr>
      <w:b/>
      <w:bCs/>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endnote reference"/>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unhideWhenUsed/>
    <w:qFormat/>
    <w:uiPriority w:val="0"/>
    <w:rPr>
      <w:sz w:val="21"/>
      <w:szCs w:val="21"/>
    </w:rPr>
  </w:style>
  <w:style w:type="character" w:styleId="56">
    <w:name w:val="footnote reference"/>
    <w:unhideWhenUsed/>
    <w:qFormat/>
    <w:uiPriority w:val="99"/>
    <w:rPr>
      <w:vertAlign w:val="superscript"/>
    </w:rPr>
  </w:style>
  <w:style w:type="paragraph" w:customStyle="1" w:styleId="57">
    <w:name w:val="首行缩进"/>
    <w:basedOn w:val="1"/>
    <w:qFormat/>
    <w:uiPriority w:val="0"/>
    <w:pPr>
      <w:ind w:firstLine="480" w:firstLineChars="200"/>
    </w:pPr>
  </w:style>
  <w:style w:type="paragraph" w:customStyle="1" w:styleId="5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59">
    <w:name w:val="标题 1 Char1"/>
    <w:link w:val="4"/>
    <w:qFormat/>
    <w:uiPriority w:val="0"/>
    <w:rPr>
      <w:rFonts w:ascii="Times New Roman" w:hAnsi="Times New Roman" w:eastAsia="宋体" w:cs="Times New Roman"/>
      <w:b/>
      <w:bCs/>
      <w:kern w:val="44"/>
      <w:sz w:val="44"/>
      <w:szCs w:val="44"/>
    </w:rPr>
  </w:style>
  <w:style w:type="character" w:customStyle="1" w:styleId="60">
    <w:name w:val="标题 2 Char1"/>
    <w:link w:val="5"/>
    <w:qFormat/>
    <w:uiPriority w:val="0"/>
    <w:rPr>
      <w:rFonts w:ascii="Arial" w:hAnsi="Arial" w:eastAsia="黑体" w:cs="Times New Roman"/>
      <w:b/>
      <w:bCs/>
      <w:sz w:val="32"/>
      <w:szCs w:val="32"/>
    </w:rPr>
  </w:style>
  <w:style w:type="character" w:customStyle="1" w:styleId="61">
    <w:name w:val="标题 3 Char1"/>
    <w:link w:val="6"/>
    <w:qFormat/>
    <w:uiPriority w:val="0"/>
    <w:rPr>
      <w:rFonts w:ascii="Times New Roman" w:hAnsi="Times New Roman" w:eastAsia="宋体" w:cs="Times New Roman"/>
      <w:b/>
      <w:bCs/>
      <w:sz w:val="32"/>
      <w:szCs w:val="32"/>
    </w:rPr>
  </w:style>
  <w:style w:type="character" w:customStyle="1" w:styleId="62">
    <w:name w:val="标题 5 Char2"/>
    <w:link w:val="7"/>
    <w:qFormat/>
    <w:uiPriority w:val="0"/>
    <w:rPr>
      <w:b/>
      <w:kern w:val="2"/>
      <w:sz w:val="28"/>
      <w:szCs w:val="24"/>
    </w:rPr>
  </w:style>
  <w:style w:type="character" w:customStyle="1" w:styleId="63">
    <w:name w:val="标题 6 Char1"/>
    <w:link w:val="9"/>
    <w:qFormat/>
    <w:uiPriority w:val="0"/>
    <w:rPr>
      <w:rFonts w:ascii="Arial" w:hAnsi="Arial" w:eastAsia="黑体"/>
      <w:b/>
      <w:kern w:val="2"/>
      <w:sz w:val="24"/>
      <w:szCs w:val="24"/>
    </w:rPr>
  </w:style>
  <w:style w:type="character" w:customStyle="1" w:styleId="64">
    <w:name w:val="标题 7 Char1"/>
    <w:link w:val="10"/>
    <w:qFormat/>
    <w:uiPriority w:val="0"/>
    <w:rPr>
      <w:rFonts w:ascii="Times New Roman" w:hAnsi="Times New Roman"/>
      <w:b/>
      <w:kern w:val="2"/>
      <w:sz w:val="24"/>
      <w:szCs w:val="24"/>
    </w:rPr>
  </w:style>
  <w:style w:type="character" w:customStyle="1" w:styleId="65">
    <w:name w:val="标题 8 Char1"/>
    <w:link w:val="11"/>
    <w:qFormat/>
    <w:uiPriority w:val="0"/>
    <w:rPr>
      <w:rFonts w:ascii="Arial" w:hAnsi="Arial" w:eastAsia="黑体"/>
      <w:kern w:val="2"/>
      <w:sz w:val="24"/>
      <w:szCs w:val="24"/>
    </w:rPr>
  </w:style>
  <w:style w:type="character" w:customStyle="1" w:styleId="66">
    <w:name w:val="标题 9 Char1"/>
    <w:link w:val="12"/>
    <w:qFormat/>
    <w:uiPriority w:val="0"/>
    <w:rPr>
      <w:rFonts w:ascii="Arial" w:hAnsi="Arial" w:eastAsia="黑体"/>
      <w:kern w:val="2"/>
      <w:sz w:val="21"/>
      <w:szCs w:val="24"/>
    </w:rPr>
  </w:style>
  <w:style w:type="character" w:customStyle="1" w:styleId="67">
    <w:name w:val="文档结构图 Char1"/>
    <w:link w:val="17"/>
    <w:qFormat/>
    <w:uiPriority w:val="0"/>
    <w:rPr>
      <w:rFonts w:hint="eastAsia" w:ascii="宋体" w:hAnsi="宋体" w:eastAsia="宋体" w:cs="宋体"/>
    </w:rPr>
  </w:style>
  <w:style w:type="character" w:customStyle="1" w:styleId="68">
    <w:name w:val="批注文字 Char3"/>
    <w:link w:val="18"/>
    <w:qFormat/>
    <w:uiPriority w:val="0"/>
    <w:rPr>
      <w:rFonts w:ascii="Times New Roman" w:hAnsi="Times New Roman"/>
      <w:kern w:val="2"/>
      <w:sz w:val="21"/>
      <w:szCs w:val="24"/>
    </w:rPr>
  </w:style>
  <w:style w:type="character" w:customStyle="1" w:styleId="69">
    <w:name w:val="正文文本 3 Char1"/>
    <w:link w:val="19"/>
    <w:qFormat/>
    <w:uiPriority w:val="0"/>
    <w:rPr>
      <w:rFonts w:ascii="Times New Roman" w:hAnsi="Times New Roman" w:eastAsia="宋体" w:cs="Times New Roman"/>
      <w:b/>
      <w:bCs/>
      <w:sz w:val="24"/>
      <w:szCs w:val="24"/>
    </w:rPr>
  </w:style>
  <w:style w:type="character" w:customStyle="1" w:styleId="70">
    <w:name w:val="正文文本 Char2"/>
    <w:link w:val="20"/>
    <w:qFormat/>
    <w:uiPriority w:val="0"/>
    <w:rPr>
      <w:rFonts w:ascii="Times New Roman" w:hAnsi="Times New Roman" w:eastAsia="宋体" w:cs="Times New Roman"/>
      <w:sz w:val="24"/>
      <w:szCs w:val="24"/>
    </w:rPr>
  </w:style>
  <w:style w:type="character" w:customStyle="1" w:styleId="71">
    <w:name w:val="正文文本缩进 Char1"/>
    <w:link w:val="3"/>
    <w:qFormat/>
    <w:uiPriority w:val="0"/>
    <w:rPr>
      <w:rFonts w:ascii="仿宋_GB2312" w:hAnsi="Times New Roman" w:eastAsia="仿宋_GB2312" w:cs="Times New Roman"/>
      <w:sz w:val="32"/>
      <w:szCs w:val="20"/>
    </w:rPr>
  </w:style>
  <w:style w:type="character" w:customStyle="1" w:styleId="72">
    <w:name w:val="纯文本 Char3"/>
    <w:link w:val="25"/>
    <w:qFormat/>
    <w:uiPriority w:val="0"/>
    <w:rPr>
      <w:rFonts w:ascii="宋体" w:hAnsi="Courier New" w:eastAsia="宋体" w:cs="Courier New"/>
      <w:szCs w:val="21"/>
    </w:rPr>
  </w:style>
  <w:style w:type="character" w:customStyle="1" w:styleId="73">
    <w:name w:val="日期 Char1"/>
    <w:link w:val="27"/>
    <w:qFormat/>
    <w:uiPriority w:val="0"/>
    <w:rPr>
      <w:rFonts w:ascii="宋体" w:hAnsi="Courier New" w:eastAsia="宋体" w:cs="Courier New"/>
      <w:szCs w:val="21"/>
    </w:rPr>
  </w:style>
  <w:style w:type="character" w:customStyle="1" w:styleId="74">
    <w:name w:val="正文文本缩进 2 Char1"/>
    <w:link w:val="28"/>
    <w:qFormat/>
    <w:uiPriority w:val="0"/>
    <w:rPr>
      <w:rFonts w:ascii="Times New Roman" w:hAnsi="Times New Roman" w:eastAsia="宋体" w:cs="Times New Roman"/>
      <w:sz w:val="32"/>
      <w:szCs w:val="20"/>
    </w:rPr>
  </w:style>
  <w:style w:type="character" w:customStyle="1" w:styleId="75">
    <w:name w:val="尾注文本 Char1"/>
    <w:link w:val="29"/>
    <w:qFormat/>
    <w:uiPriority w:val="99"/>
    <w:rPr>
      <w:rFonts w:ascii="Times New Roman" w:hAnsi="Times New Roman"/>
      <w:kern w:val="2"/>
      <w:sz w:val="21"/>
      <w:szCs w:val="24"/>
    </w:rPr>
  </w:style>
  <w:style w:type="character" w:customStyle="1" w:styleId="76">
    <w:name w:val="批注框文本 Char1"/>
    <w:link w:val="30"/>
    <w:semiHidden/>
    <w:qFormat/>
    <w:uiPriority w:val="0"/>
    <w:rPr>
      <w:rFonts w:ascii="Times New Roman" w:hAnsi="Times New Roman" w:eastAsia="宋体" w:cs="Times New Roman"/>
      <w:sz w:val="18"/>
      <w:szCs w:val="18"/>
    </w:rPr>
  </w:style>
  <w:style w:type="character" w:customStyle="1" w:styleId="77">
    <w:name w:val="页脚 Char1"/>
    <w:link w:val="31"/>
    <w:qFormat/>
    <w:uiPriority w:val="99"/>
    <w:rPr>
      <w:sz w:val="18"/>
      <w:szCs w:val="18"/>
    </w:rPr>
  </w:style>
  <w:style w:type="character" w:customStyle="1" w:styleId="78">
    <w:name w:val="页眉 Char1"/>
    <w:link w:val="33"/>
    <w:qFormat/>
    <w:uiPriority w:val="99"/>
    <w:rPr>
      <w:rFonts w:ascii="Times New Roman" w:hAnsi="Times New Roman"/>
      <w:kern w:val="2"/>
      <w:sz w:val="18"/>
      <w:szCs w:val="18"/>
    </w:rPr>
  </w:style>
  <w:style w:type="character" w:customStyle="1" w:styleId="79">
    <w:name w:val="脚注文本 Char1"/>
    <w:link w:val="37"/>
    <w:qFormat/>
    <w:uiPriority w:val="99"/>
    <w:rPr>
      <w:rFonts w:ascii="Times New Roman" w:hAnsi="Times New Roman"/>
      <w:kern w:val="2"/>
      <w:sz w:val="18"/>
      <w:szCs w:val="18"/>
    </w:rPr>
  </w:style>
  <w:style w:type="character" w:customStyle="1" w:styleId="80">
    <w:name w:val="正文文本缩进 3 Char1"/>
    <w:link w:val="39"/>
    <w:qFormat/>
    <w:uiPriority w:val="0"/>
    <w:rPr>
      <w:rFonts w:ascii="Times New Roman" w:hAnsi="Times New Roman" w:eastAsia="宋体" w:cs="Times New Roman"/>
      <w:sz w:val="16"/>
      <w:szCs w:val="16"/>
    </w:rPr>
  </w:style>
  <w:style w:type="character" w:customStyle="1" w:styleId="81">
    <w:name w:val="正文文本 2 Char1"/>
    <w:link w:val="42"/>
    <w:qFormat/>
    <w:uiPriority w:val="0"/>
    <w:rPr>
      <w:rFonts w:ascii="Times New Roman" w:hAnsi="Times New Roman" w:eastAsia="宋体" w:cs="Times New Roman"/>
      <w:szCs w:val="24"/>
    </w:rPr>
  </w:style>
  <w:style w:type="character" w:customStyle="1" w:styleId="82">
    <w:name w:val="标题 Char1"/>
    <w:link w:val="45"/>
    <w:qFormat/>
    <w:uiPriority w:val="10"/>
    <w:rPr>
      <w:rFonts w:ascii="Cambria" w:hAnsi="Cambria" w:cs="Times New Roman"/>
      <w:b/>
      <w:bCs/>
      <w:kern w:val="2"/>
      <w:sz w:val="32"/>
      <w:szCs w:val="32"/>
    </w:rPr>
  </w:style>
  <w:style w:type="character" w:customStyle="1" w:styleId="83">
    <w:name w:val="批注主题 Char1"/>
    <w:link w:val="46"/>
    <w:qFormat/>
    <w:uiPriority w:val="99"/>
    <w:rPr>
      <w:rFonts w:ascii="Times New Roman" w:hAnsi="Times New Roman"/>
      <w:b/>
      <w:bCs/>
      <w:kern w:val="2"/>
      <w:sz w:val="21"/>
      <w:szCs w:val="24"/>
    </w:rPr>
  </w:style>
  <w:style w:type="character" w:customStyle="1" w:styleId="84">
    <w:name w:val="font11"/>
    <w:qFormat/>
    <w:uiPriority w:val="0"/>
    <w:rPr>
      <w:rFonts w:hint="eastAsia" w:ascii="宋体" w:hAnsi="宋体" w:eastAsia="宋体" w:cs="宋体"/>
      <w:color w:val="000000"/>
      <w:sz w:val="20"/>
      <w:szCs w:val="20"/>
      <w:u w:val="none"/>
    </w:rPr>
  </w:style>
  <w:style w:type="character" w:customStyle="1" w:styleId="85">
    <w:name w:val="批注文字 字符1"/>
    <w:qFormat/>
    <w:uiPriority w:val="0"/>
    <w:rPr>
      <w:rFonts w:ascii="Times New Roman" w:hAnsi="Times New Roman"/>
      <w:kern w:val="2"/>
      <w:sz w:val="21"/>
      <w:szCs w:val="24"/>
    </w:rPr>
  </w:style>
  <w:style w:type="character" w:customStyle="1" w:styleId="86">
    <w:name w:val="标题 2 字符"/>
    <w:qFormat/>
    <w:uiPriority w:val="0"/>
    <w:rPr>
      <w:rFonts w:ascii="Arial" w:hAnsi="Arial" w:eastAsia="黑体" w:cs="Times New Roman"/>
      <w:b/>
      <w:bCs/>
      <w:sz w:val="32"/>
      <w:szCs w:val="32"/>
    </w:rPr>
  </w:style>
  <w:style w:type="character" w:customStyle="1" w:styleId="8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8">
    <w:name w:val="批注文字 Char1"/>
    <w:semiHidden/>
    <w:qFormat/>
    <w:locked/>
    <w:uiPriority w:val="0"/>
    <w:rPr>
      <w:rFonts w:ascii="Times New Roman" w:hAnsi="Times New Roman"/>
      <w:kern w:val="2"/>
      <w:sz w:val="21"/>
      <w:szCs w:val="24"/>
    </w:rPr>
  </w:style>
  <w:style w:type="character" w:customStyle="1" w:styleId="89">
    <w:name w:val="页眉 字符"/>
    <w:qFormat/>
    <w:uiPriority w:val="0"/>
    <w:rPr>
      <w:rFonts w:ascii="Times New Roman" w:hAnsi="Times New Roman"/>
      <w:kern w:val="2"/>
      <w:sz w:val="18"/>
      <w:szCs w:val="18"/>
    </w:rPr>
  </w:style>
  <w:style w:type="character" w:customStyle="1" w:styleId="90">
    <w:name w:val="apple-style-span"/>
    <w:qFormat/>
    <w:uiPriority w:val="0"/>
  </w:style>
  <w:style w:type="character" w:customStyle="1" w:styleId="91">
    <w:name w:val="尾注文本 字符"/>
    <w:qFormat/>
    <w:uiPriority w:val="99"/>
    <w:rPr>
      <w:rFonts w:ascii="Times New Roman" w:hAnsi="Times New Roman"/>
      <w:kern w:val="2"/>
      <w:sz w:val="21"/>
      <w:szCs w:val="24"/>
    </w:rPr>
  </w:style>
  <w:style w:type="character" w:customStyle="1" w:styleId="92">
    <w:name w:val="正文文本缩进 字符"/>
    <w:qFormat/>
    <w:uiPriority w:val="0"/>
    <w:rPr>
      <w:rFonts w:ascii="仿宋_GB2312" w:hAnsi="Times New Roman" w:eastAsia="仿宋_GB2312" w:cs="Times New Roman"/>
      <w:sz w:val="32"/>
      <w:szCs w:val="20"/>
    </w:rPr>
  </w:style>
  <w:style w:type="character" w:customStyle="1" w:styleId="93">
    <w:name w:val="普通文字 Char Char2"/>
    <w:qFormat/>
    <w:uiPriority w:val="0"/>
    <w:rPr>
      <w:rFonts w:ascii="宋体" w:hAnsi="Courier New" w:eastAsia="宋体"/>
      <w:kern w:val="2"/>
      <w:sz w:val="21"/>
      <w:lang w:val="en-US" w:eastAsia="zh-CN" w:bidi="ar-SA"/>
    </w:rPr>
  </w:style>
  <w:style w:type="character" w:customStyle="1" w:styleId="94">
    <w:name w:val="正文文本缩进 3 字符"/>
    <w:qFormat/>
    <w:uiPriority w:val="0"/>
    <w:rPr>
      <w:rFonts w:ascii="Times New Roman" w:hAnsi="Times New Roman" w:eastAsia="宋体" w:cs="Times New Roman"/>
      <w:sz w:val="16"/>
      <w:szCs w:val="16"/>
    </w:rPr>
  </w:style>
  <w:style w:type="character" w:customStyle="1" w:styleId="95">
    <w:name w:val="font21"/>
    <w:basedOn w:val="49"/>
    <w:qFormat/>
    <w:uiPriority w:val="0"/>
    <w:rPr>
      <w:rFonts w:hint="eastAsia" w:ascii="宋体" w:hAnsi="宋体" w:eastAsia="宋体" w:cs="宋体"/>
      <w:color w:val="FF0000"/>
      <w:sz w:val="20"/>
      <w:szCs w:val="20"/>
      <w:u w:val="none"/>
    </w:rPr>
  </w:style>
  <w:style w:type="character" w:customStyle="1" w:styleId="96">
    <w:name w:val="页脚 字符"/>
    <w:qFormat/>
    <w:uiPriority w:val="99"/>
  </w:style>
  <w:style w:type="character" w:customStyle="1" w:styleId="97">
    <w:name w:val="标题 7 字符"/>
    <w:qFormat/>
    <w:uiPriority w:val="0"/>
    <w:rPr>
      <w:rFonts w:ascii="Times New Roman" w:hAnsi="Times New Roman"/>
      <w:b/>
      <w:kern w:val="2"/>
      <w:sz w:val="24"/>
      <w:szCs w:val="24"/>
    </w:rPr>
  </w:style>
  <w:style w:type="character" w:customStyle="1" w:styleId="98">
    <w:name w:val="标题 3 字符"/>
    <w:qFormat/>
    <w:uiPriority w:val="0"/>
    <w:rPr>
      <w:rFonts w:ascii="Times New Roman" w:hAnsi="Times New Roman" w:eastAsia="宋体" w:cs="Times New Roman"/>
      <w:b/>
      <w:bCs/>
      <w:sz w:val="32"/>
      <w:szCs w:val="32"/>
    </w:rPr>
  </w:style>
  <w:style w:type="character" w:customStyle="1" w:styleId="99">
    <w:name w:val="正文文本缩进 字符1"/>
    <w:qFormat/>
    <w:uiPriority w:val="0"/>
    <w:rPr>
      <w:rFonts w:ascii="仿宋_GB2312" w:hAnsi="Times New Roman" w:eastAsia="仿宋_GB2312" w:cs="Times New Roman"/>
      <w:sz w:val="32"/>
      <w:szCs w:val="20"/>
    </w:rPr>
  </w:style>
  <w:style w:type="character" w:customStyle="1" w:styleId="100">
    <w:name w:val="批注文字 字符"/>
    <w:qFormat/>
    <w:uiPriority w:val="0"/>
    <w:rPr>
      <w:rFonts w:ascii="Times New Roman" w:hAnsi="Times New Roman"/>
      <w:kern w:val="2"/>
      <w:sz w:val="21"/>
      <w:szCs w:val="24"/>
    </w:rPr>
  </w:style>
  <w:style w:type="character" w:customStyle="1" w:styleId="101">
    <w:name w:val="标题 8 字符"/>
    <w:qFormat/>
    <w:uiPriority w:val="0"/>
    <w:rPr>
      <w:rFonts w:ascii="Arial" w:hAnsi="Arial" w:eastAsia="黑体"/>
      <w:kern w:val="2"/>
      <w:sz w:val="24"/>
      <w:szCs w:val="24"/>
    </w:rPr>
  </w:style>
  <w:style w:type="character" w:customStyle="1" w:styleId="102">
    <w:name w:val="UserStyle_9"/>
    <w:link w:val="103"/>
    <w:qFormat/>
    <w:locked/>
    <w:uiPriority w:val="0"/>
    <w:rPr>
      <w:kern w:val="2"/>
      <w:sz w:val="21"/>
      <w:szCs w:val="24"/>
    </w:rPr>
  </w:style>
  <w:style w:type="paragraph" w:customStyle="1" w:styleId="103">
    <w:name w:val="AnnotationText"/>
    <w:basedOn w:val="1"/>
    <w:link w:val="102"/>
    <w:qFormat/>
    <w:uiPriority w:val="0"/>
    <w:pPr>
      <w:widowControl/>
      <w:jc w:val="left"/>
    </w:pPr>
  </w:style>
  <w:style w:type="character" w:customStyle="1" w:styleId="104">
    <w:name w:val="textcontents"/>
    <w:qFormat/>
    <w:uiPriority w:val="0"/>
  </w:style>
  <w:style w:type="character" w:customStyle="1" w:styleId="105">
    <w:name w:val="批注框文本 字符"/>
    <w:semiHidden/>
    <w:qFormat/>
    <w:uiPriority w:val="0"/>
    <w:rPr>
      <w:rFonts w:ascii="Times New Roman" w:hAnsi="Times New Roman" w:eastAsia="宋体" w:cs="Times New Roman"/>
      <w:sz w:val="18"/>
      <w:szCs w:val="18"/>
    </w:rPr>
  </w:style>
  <w:style w:type="character" w:customStyle="1" w:styleId="106">
    <w:name w:val="批注文字 Char"/>
    <w:qFormat/>
    <w:uiPriority w:val="0"/>
    <w:rPr>
      <w:rFonts w:ascii="Times New Roman" w:hAnsi="Times New Roman"/>
      <w:kern w:val="2"/>
      <w:sz w:val="21"/>
      <w:szCs w:val="24"/>
    </w:rPr>
  </w:style>
  <w:style w:type="character" w:customStyle="1" w:styleId="107">
    <w:name w:val="纯文本 字符"/>
    <w:qFormat/>
    <w:uiPriority w:val="99"/>
    <w:rPr>
      <w:rFonts w:ascii="宋体" w:hAnsi="Courier New" w:eastAsia="宋体" w:cs="Courier New"/>
      <w:szCs w:val="21"/>
    </w:rPr>
  </w:style>
  <w:style w:type="character" w:customStyle="1" w:styleId="108">
    <w:name w:val="正文文本 2 字符"/>
    <w:qFormat/>
    <w:uiPriority w:val="0"/>
    <w:rPr>
      <w:rFonts w:ascii="Times New Roman" w:hAnsi="Times New Roman" w:eastAsia="宋体" w:cs="Times New Roman"/>
      <w:szCs w:val="24"/>
    </w:rPr>
  </w:style>
  <w:style w:type="character" w:customStyle="1" w:styleId="109">
    <w:name w:val="标题 6 字符"/>
    <w:qFormat/>
    <w:uiPriority w:val="0"/>
    <w:rPr>
      <w:rFonts w:ascii="Arial" w:hAnsi="Arial" w:eastAsia="黑体"/>
      <w:b/>
      <w:kern w:val="2"/>
      <w:sz w:val="24"/>
      <w:szCs w:val="24"/>
    </w:rPr>
  </w:style>
  <w:style w:type="character" w:customStyle="1" w:styleId="110">
    <w:name w:val="批注主题 字符"/>
    <w:qFormat/>
    <w:uiPriority w:val="99"/>
    <w:rPr>
      <w:rFonts w:ascii="Times New Roman" w:hAnsi="Times New Roman"/>
      <w:b/>
      <w:bCs/>
      <w:kern w:val="2"/>
      <w:sz w:val="21"/>
      <w:szCs w:val="24"/>
    </w:rPr>
  </w:style>
  <w:style w:type="character" w:customStyle="1" w:styleId="111">
    <w:name w:val="正文2 Char Char"/>
    <w:link w:val="112"/>
    <w:qFormat/>
    <w:uiPriority w:val="0"/>
    <w:rPr>
      <w:kern w:val="2"/>
      <w:sz w:val="24"/>
    </w:rPr>
  </w:style>
  <w:style w:type="paragraph" w:customStyle="1" w:styleId="112">
    <w:name w:val="正文2"/>
    <w:basedOn w:val="1"/>
    <w:link w:val="111"/>
    <w:qFormat/>
    <w:uiPriority w:val="0"/>
    <w:pPr>
      <w:adjustRightInd w:val="0"/>
      <w:spacing w:before="156" w:line="360" w:lineRule="auto"/>
      <w:ind w:firstLine="510" w:firstLineChars="200"/>
    </w:pPr>
    <w:rPr>
      <w:sz w:val="24"/>
      <w:szCs w:val="20"/>
    </w:rPr>
  </w:style>
  <w:style w:type="character" w:customStyle="1" w:styleId="113">
    <w:name w:val="脚注文本 字符"/>
    <w:qFormat/>
    <w:uiPriority w:val="99"/>
    <w:rPr>
      <w:rFonts w:ascii="Times New Roman" w:hAnsi="Times New Roman"/>
      <w:kern w:val="2"/>
      <w:sz w:val="18"/>
      <w:szCs w:val="18"/>
    </w:rPr>
  </w:style>
  <w:style w:type="character" w:customStyle="1" w:styleId="114">
    <w:name w:val="纯文本 Char"/>
    <w:qFormat/>
    <w:uiPriority w:val="99"/>
    <w:rPr>
      <w:rFonts w:ascii="宋体" w:hAnsi="Courier New" w:eastAsia="宋体"/>
      <w:kern w:val="2"/>
      <w:sz w:val="21"/>
      <w:lang w:val="en-US" w:eastAsia="zh-CN" w:bidi="ar-SA"/>
    </w:rPr>
  </w:style>
  <w:style w:type="character" w:customStyle="1" w:styleId="115">
    <w:name w:val="页脚 字符1"/>
    <w:qFormat/>
    <w:uiPriority w:val="99"/>
    <w:rPr>
      <w:sz w:val="18"/>
      <w:szCs w:val="18"/>
    </w:rPr>
  </w:style>
  <w:style w:type="character" w:customStyle="1" w:styleId="116">
    <w:name w:val="font31"/>
    <w:qFormat/>
    <w:uiPriority w:val="0"/>
    <w:rPr>
      <w:rFonts w:hint="eastAsia" w:ascii="宋体" w:hAnsi="宋体" w:eastAsia="宋体" w:cs="宋体"/>
      <w:color w:val="FF0000"/>
      <w:sz w:val="20"/>
      <w:szCs w:val="20"/>
      <w:u w:val="none"/>
    </w:rPr>
  </w:style>
  <w:style w:type="character" w:customStyle="1" w:styleId="117">
    <w:name w:val="正文文本 Char1"/>
    <w:qFormat/>
    <w:locked/>
    <w:uiPriority w:val="0"/>
    <w:rPr>
      <w:sz w:val="24"/>
      <w:szCs w:val="24"/>
    </w:rPr>
  </w:style>
  <w:style w:type="character" w:customStyle="1" w:styleId="118">
    <w:name w:val="标题 5 Char"/>
    <w:qFormat/>
    <w:uiPriority w:val="0"/>
    <w:rPr>
      <w:b/>
      <w:kern w:val="2"/>
      <w:sz w:val="28"/>
      <w:szCs w:val="24"/>
    </w:rPr>
  </w:style>
  <w:style w:type="character" w:customStyle="1" w:styleId="119">
    <w:name w:val="标题 字符"/>
    <w:qFormat/>
    <w:uiPriority w:val="10"/>
    <w:rPr>
      <w:rFonts w:ascii="Cambria" w:hAnsi="Cambria" w:cs="Times New Roman"/>
      <w:b/>
      <w:bCs/>
      <w:kern w:val="2"/>
      <w:sz w:val="32"/>
      <w:szCs w:val="32"/>
    </w:rPr>
  </w:style>
  <w:style w:type="character" w:customStyle="1" w:styleId="120">
    <w:name w:val="标题 1 字符1"/>
    <w:qFormat/>
    <w:uiPriority w:val="0"/>
    <w:rPr>
      <w:rFonts w:ascii="Times New Roman" w:hAnsi="Times New Roman" w:eastAsia="宋体" w:cs="Times New Roman"/>
      <w:b/>
      <w:bCs/>
      <w:kern w:val="44"/>
      <w:sz w:val="44"/>
      <w:szCs w:val="44"/>
    </w:rPr>
  </w:style>
  <w:style w:type="character" w:customStyle="1" w:styleId="121">
    <w:name w:val="批注文字 字符2"/>
    <w:qFormat/>
    <w:uiPriority w:val="0"/>
    <w:rPr>
      <w:rFonts w:ascii="Times New Roman" w:hAnsi="Times New Roman"/>
      <w:kern w:val="2"/>
      <w:sz w:val="21"/>
      <w:szCs w:val="24"/>
    </w:rPr>
  </w:style>
  <w:style w:type="character" w:customStyle="1" w:styleId="122">
    <w:name w:val="正文文本 3 字符"/>
    <w:qFormat/>
    <w:uiPriority w:val="0"/>
    <w:rPr>
      <w:rFonts w:ascii="Times New Roman" w:hAnsi="Times New Roman" w:eastAsia="宋体" w:cs="Times New Roman"/>
      <w:b/>
      <w:bCs/>
      <w:sz w:val="24"/>
      <w:szCs w:val="24"/>
    </w:rPr>
  </w:style>
  <w:style w:type="character" w:customStyle="1" w:styleId="123">
    <w:name w:val="纯文本 字符1"/>
    <w:qFormat/>
    <w:uiPriority w:val="0"/>
    <w:rPr>
      <w:rFonts w:ascii="宋体" w:hAnsi="Courier New"/>
    </w:rPr>
  </w:style>
  <w:style w:type="character" w:customStyle="1" w:styleId="124">
    <w:name w:val="headline-content4"/>
    <w:qFormat/>
    <w:uiPriority w:val="0"/>
  </w:style>
  <w:style w:type="character" w:customStyle="1" w:styleId="125">
    <w:name w:val="正文文本缩进 2 字符"/>
    <w:qFormat/>
    <w:uiPriority w:val="0"/>
    <w:rPr>
      <w:rFonts w:ascii="Times New Roman" w:hAnsi="Times New Roman" w:eastAsia="宋体" w:cs="Times New Roman"/>
      <w:sz w:val="32"/>
      <w:szCs w:val="20"/>
    </w:rPr>
  </w:style>
  <w:style w:type="character" w:customStyle="1" w:styleId="126">
    <w:name w:val="标题 1 字符"/>
    <w:qFormat/>
    <w:uiPriority w:val="9"/>
    <w:rPr>
      <w:rFonts w:ascii="Times New Roman" w:hAnsi="Times New Roman" w:eastAsia="宋体" w:cs="Times New Roman"/>
      <w:b/>
      <w:bCs/>
      <w:kern w:val="44"/>
      <w:sz w:val="44"/>
      <w:szCs w:val="44"/>
    </w:rPr>
  </w:style>
  <w:style w:type="character" w:customStyle="1" w:styleId="127">
    <w:name w:val="文档结构图 字符"/>
    <w:qFormat/>
    <w:uiPriority w:val="0"/>
    <w:rPr>
      <w:rFonts w:hint="eastAsia" w:ascii="宋体" w:hAnsi="宋体" w:eastAsia="宋体" w:cs="宋体"/>
    </w:rPr>
  </w:style>
  <w:style w:type="character" w:customStyle="1" w:styleId="128">
    <w:name w:val="case31"/>
    <w:qFormat/>
    <w:uiPriority w:val="0"/>
    <w:rPr>
      <w:rFonts w:hint="default"/>
      <w:sz w:val="21"/>
      <w:szCs w:val="21"/>
    </w:rPr>
  </w:style>
  <w:style w:type="character" w:customStyle="1" w:styleId="129">
    <w:name w:val="纯文本 字符2"/>
    <w:qFormat/>
    <w:uiPriority w:val="0"/>
    <w:rPr>
      <w:rFonts w:ascii="宋体" w:hAnsi="Courier New" w:eastAsia="宋体" w:cs="Courier New"/>
      <w:szCs w:val="21"/>
    </w:rPr>
  </w:style>
  <w:style w:type="character" w:customStyle="1" w:styleId="130">
    <w:name w:val="NormalCharacter"/>
    <w:qFormat/>
    <w:uiPriority w:val="0"/>
  </w:style>
  <w:style w:type="character" w:customStyle="1" w:styleId="131">
    <w:name w:val="日期 字符"/>
    <w:qFormat/>
    <w:uiPriority w:val="0"/>
    <w:rPr>
      <w:rFonts w:ascii="宋体" w:hAnsi="Courier New" w:eastAsia="宋体" w:cs="Courier New"/>
      <w:szCs w:val="21"/>
    </w:rPr>
  </w:style>
  <w:style w:type="character" w:customStyle="1" w:styleId="132">
    <w:name w:val="正文文本 字符"/>
    <w:qFormat/>
    <w:uiPriority w:val="99"/>
    <w:rPr>
      <w:rFonts w:ascii="Times New Roman" w:hAnsi="Times New Roman" w:eastAsia="宋体" w:cs="Times New Roman"/>
      <w:sz w:val="24"/>
      <w:szCs w:val="24"/>
    </w:rPr>
  </w:style>
  <w:style w:type="character" w:customStyle="1" w:styleId="133">
    <w:name w:val="标题 5 字符"/>
    <w:qFormat/>
    <w:uiPriority w:val="0"/>
    <w:rPr>
      <w:b/>
      <w:kern w:val="2"/>
      <w:sz w:val="28"/>
      <w:szCs w:val="24"/>
    </w:rPr>
  </w:style>
  <w:style w:type="character" w:customStyle="1" w:styleId="134">
    <w:name w:val="标题 9 字符"/>
    <w:qFormat/>
    <w:uiPriority w:val="0"/>
    <w:rPr>
      <w:rFonts w:ascii="Arial" w:hAnsi="Arial" w:eastAsia="黑体"/>
      <w:kern w:val="2"/>
      <w:sz w:val="21"/>
      <w:szCs w:val="24"/>
    </w:rPr>
  </w:style>
  <w:style w:type="paragraph" w:customStyle="1" w:styleId="135">
    <w:name w:val="Table Paragraph"/>
    <w:basedOn w:val="1"/>
    <w:qFormat/>
    <w:uiPriority w:val="1"/>
    <w:pPr>
      <w:jc w:val="left"/>
    </w:pPr>
    <w:rPr>
      <w:rFonts w:ascii="Calibri" w:hAnsi="Calibri"/>
      <w:kern w:val="0"/>
      <w:sz w:val="22"/>
      <w:szCs w:val="22"/>
      <w:lang w:eastAsia="en-US"/>
    </w:rPr>
  </w:style>
  <w:style w:type="paragraph" w:customStyle="1" w:styleId="13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37">
    <w:name w:val="样式 首行缩进:  2 字符"/>
    <w:basedOn w:val="1"/>
    <w:qFormat/>
    <w:uiPriority w:val="0"/>
    <w:pPr>
      <w:spacing w:line="400" w:lineRule="exact"/>
      <w:ind w:firstLine="200" w:firstLineChars="200"/>
    </w:pPr>
    <w:rPr>
      <w:rFonts w:cs="宋体"/>
      <w:sz w:val="24"/>
    </w:rPr>
  </w:style>
  <w:style w:type="paragraph" w:styleId="138">
    <w:name w:val="List Paragraph"/>
    <w:basedOn w:val="1"/>
    <w:qFormat/>
    <w:uiPriority w:val="34"/>
    <w:pPr>
      <w:ind w:firstLine="420" w:firstLineChars="200"/>
    </w:pPr>
  </w:style>
  <w:style w:type="paragraph" w:customStyle="1" w:styleId="13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0">
    <w:name w:val="正文段"/>
    <w:basedOn w:val="1"/>
    <w:qFormat/>
    <w:uiPriority w:val="0"/>
    <w:pPr>
      <w:widowControl/>
      <w:snapToGrid w:val="0"/>
      <w:spacing w:afterLines="50"/>
      <w:ind w:firstLine="200" w:firstLineChars="200"/>
    </w:pPr>
    <w:rPr>
      <w:kern w:val="0"/>
      <w:sz w:val="24"/>
      <w:szCs w:val="20"/>
    </w:rPr>
  </w:style>
  <w:style w:type="paragraph" w:customStyle="1" w:styleId="141">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42">
    <w:name w:val="正文正"/>
    <w:basedOn w:val="1"/>
    <w:qFormat/>
    <w:uiPriority w:val="99"/>
    <w:pPr>
      <w:spacing w:line="560" w:lineRule="exact"/>
      <w:ind w:firstLine="561"/>
    </w:pPr>
    <w:rPr>
      <w:rFonts w:eastAsia="仿宋_GB2312"/>
      <w:sz w:val="28"/>
    </w:rPr>
  </w:style>
  <w:style w:type="paragraph" w:customStyle="1" w:styleId="14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44">
    <w:name w:val="默认段落字体 Para Char Char Char Char Char Char Char Char Char1 Char Char Char Char"/>
    <w:basedOn w:val="1"/>
    <w:qFormat/>
    <w:uiPriority w:val="0"/>
    <w:rPr>
      <w:rFonts w:ascii="Tahoma" w:hAnsi="Tahoma"/>
      <w:sz w:val="24"/>
      <w:szCs w:val="20"/>
    </w:rPr>
  </w:style>
  <w:style w:type="paragraph" w:customStyle="1" w:styleId="145">
    <w:name w:val="表格"/>
    <w:basedOn w:val="1"/>
    <w:qFormat/>
    <w:uiPriority w:val="0"/>
    <w:pPr>
      <w:spacing w:line="400" w:lineRule="exact"/>
    </w:pPr>
    <w:rPr>
      <w:sz w:val="24"/>
    </w:rPr>
  </w:style>
  <w:style w:type="paragraph" w:customStyle="1" w:styleId="146">
    <w:name w:val="纯文本1"/>
    <w:basedOn w:val="1"/>
    <w:qFormat/>
    <w:uiPriority w:val="0"/>
    <w:rPr>
      <w:rFonts w:ascii="宋体" w:hAnsi="Courier New" w:cs="Century"/>
      <w:szCs w:val="21"/>
    </w:rPr>
  </w:style>
  <w:style w:type="paragraph" w:customStyle="1" w:styleId="14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8">
    <w:name w:val="Char1"/>
    <w:basedOn w:val="1"/>
    <w:qFormat/>
    <w:uiPriority w:val="0"/>
    <w:rPr>
      <w:szCs w:val="21"/>
    </w:rPr>
  </w:style>
  <w:style w:type="paragraph" w:customStyle="1" w:styleId="149">
    <w:name w:val="正文首行缩进两字符"/>
    <w:basedOn w:val="1"/>
    <w:qFormat/>
    <w:uiPriority w:val="0"/>
    <w:pPr>
      <w:spacing w:line="360" w:lineRule="auto"/>
      <w:ind w:firstLine="200" w:firstLineChars="200"/>
    </w:pPr>
  </w:style>
  <w:style w:type="paragraph" w:customStyle="1" w:styleId="15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51">
    <w:name w:val="_Style 60"/>
    <w:basedOn w:val="1"/>
    <w:next w:val="138"/>
    <w:qFormat/>
    <w:uiPriority w:val="99"/>
    <w:pPr>
      <w:ind w:firstLine="420" w:firstLineChars="200"/>
    </w:pPr>
  </w:style>
  <w:style w:type="table" w:customStyle="1" w:styleId="152">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customStyle="1" w:styleId="153">
    <w:name w:val="_Style 129"/>
    <w:basedOn w:val="1"/>
    <w:next w:val="138"/>
    <w:qFormat/>
    <w:uiPriority w:val="99"/>
    <w:pPr>
      <w:ind w:firstLine="420" w:firstLineChars="200"/>
    </w:pPr>
  </w:style>
  <w:style w:type="character" w:customStyle="1" w:styleId="154">
    <w:name w:val="纯文本 Char1"/>
    <w:qFormat/>
    <w:locked/>
    <w:uiPriority w:val="0"/>
    <w:rPr>
      <w:rFonts w:ascii="宋体" w:hAnsi="Courier New" w:cs="Courier New"/>
      <w:szCs w:val="21"/>
    </w:rPr>
  </w:style>
  <w:style w:type="character" w:customStyle="1" w:styleId="155">
    <w:name w:val="正文文本 Char"/>
    <w:qFormat/>
    <w:uiPriority w:val="0"/>
    <w:rPr>
      <w:rFonts w:ascii="Times New Roman" w:hAnsi="Times New Roman" w:eastAsia="宋体" w:cs="Times New Roman"/>
      <w:sz w:val="24"/>
      <w:szCs w:val="24"/>
    </w:rPr>
  </w:style>
  <w:style w:type="character" w:customStyle="1" w:styleId="156">
    <w:name w:val="标题 1 Char"/>
    <w:qFormat/>
    <w:uiPriority w:val="9"/>
    <w:rPr>
      <w:rFonts w:ascii="Times New Roman" w:hAnsi="Times New Roman" w:eastAsia="宋体" w:cs="Times New Roman"/>
      <w:b/>
      <w:bCs/>
      <w:kern w:val="44"/>
      <w:sz w:val="44"/>
      <w:szCs w:val="44"/>
    </w:rPr>
  </w:style>
  <w:style w:type="character" w:customStyle="1" w:styleId="157">
    <w:name w:val="标题 2 Char"/>
    <w:qFormat/>
    <w:uiPriority w:val="0"/>
    <w:rPr>
      <w:rFonts w:ascii="Arial" w:hAnsi="Arial" w:eastAsia="黑体" w:cs="Times New Roman"/>
      <w:b/>
      <w:bCs/>
      <w:sz w:val="32"/>
      <w:szCs w:val="32"/>
    </w:rPr>
  </w:style>
  <w:style w:type="character" w:customStyle="1" w:styleId="158">
    <w:name w:val="标题 3 Char"/>
    <w:qFormat/>
    <w:uiPriority w:val="0"/>
    <w:rPr>
      <w:rFonts w:ascii="Times New Roman" w:hAnsi="Times New Roman" w:eastAsia="宋体" w:cs="Times New Roman"/>
      <w:b/>
      <w:bCs/>
      <w:sz w:val="32"/>
      <w:szCs w:val="32"/>
    </w:rPr>
  </w:style>
  <w:style w:type="character" w:customStyle="1" w:styleId="159">
    <w:name w:val="标题 5 Char1"/>
    <w:qFormat/>
    <w:uiPriority w:val="0"/>
    <w:rPr>
      <w:b/>
      <w:kern w:val="2"/>
      <w:sz w:val="28"/>
      <w:szCs w:val="24"/>
    </w:rPr>
  </w:style>
  <w:style w:type="character" w:customStyle="1" w:styleId="160">
    <w:name w:val="标题 6 Char"/>
    <w:qFormat/>
    <w:uiPriority w:val="0"/>
    <w:rPr>
      <w:rFonts w:ascii="Arial" w:hAnsi="Arial" w:eastAsia="黑体"/>
      <w:b/>
      <w:kern w:val="2"/>
      <w:sz w:val="24"/>
      <w:szCs w:val="24"/>
    </w:rPr>
  </w:style>
  <w:style w:type="character" w:customStyle="1" w:styleId="161">
    <w:name w:val="标题 7 Char"/>
    <w:qFormat/>
    <w:uiPriority w:val="0"/>
    <w:rPr>
      <w:rFonts w:ascii="Times New Roman" w:hAnsi="Times New Roman"/>
      <w:b/>
      <w:kern w:val="2"/>
      <w:sz w:val="24"/>
      <w:szCs w:val="24"/>
    </w:rPr>
  </w:style>
  <w:style w:type="character" w:customStyle="1" w:styleId="162">
    <w:name w:val="标题 8 Char"/>
    <w:qFormat/>
    <w:uiPriority w:val="0"/>
    <w:rPr>
      <w:rFonts w:ascii="Arial" w:hAnsi="Arial" w:eastAsia="黑体"/>
      <w:kern w:val="2"/>
      <w:sz w:val="24"/>
      <w:szCs w:val="24"/>
    </w:rPr>
  </w:style>
  <w:style w:type="character" w:customStyle="1" w:styleId="163">
    <w:name w:val="标题 9 Char"/>
    <w:qFormat/>
    <w:uiPriority w:val="0"/>
    <w:rPr>
      <w:rFonts w:ascii="Arial" w:hAnsi="Arial" w:eastAsia="黑体"/>
      <w:kern w:val="2"/>
      <w:sz w:val="21"/>
      <w:szCs w:val="24"/>
    </w:rPr>
  </w:style>
  <w:style w:type="paragraph" w:customStyle="1" w:styleId="164">
    <w:name w:val="_Style 161"/>
    <w:basedOn w:val="1"/>
    <w:next w:val="138"/>
    <w:qFormat/>
    <w:uiPriority w:val="99"/>
    <w:pPr>
      <w:ind w:firstLine="420" w:firstLineChars="200"/>
    </w:pPr>
  </w:style>
  <w:style w:type="character" w:customStyle="1" w:styleId="165">
    <w:name w:val="文档结构图 Char"/>
    <w:qFormat/>
    <w:uiPriority w:val="0"/>
    <w:rPr>
      <w:rFonts w:hint="eastAsia" w:ascii="宋体" w:hAnsi="宋体" w:eastAsia="宋体" w:cs="宋体"/>
    </w:rPr>
  </w:style>
  <w:style w:type="character" w:customStyle="1" w:styleId="166">
    <w:name w:val="批注文字 Char2"/>
    <w:qFormat/>
    <w:uiPriority w:val="0"/>
    <w:rPr>
      <w:rFonts w:ascii="Times New Roman" w:hAnsi="Times New Roman"/>
      <w:kern w:val="2"/>
      <w:sz w:val="21"/>
      <w:szCs w:val="24"/>
    </w:rPr>
  </w:style>
  <w:style w:type="character" w:customStyle="1" w:styleId="167">
    <w:name w:val="正文文本 3 Char"/>
    <w:qFormat/>
    <w:uiPriority w:val="0"/>
    <w:rPr>
      <w:rFonts w:ascii="Times New Roman" w:hAnsi="Times New Roman" w:eastAsia="宋体" w:cs="Times New Roman"/>
      <w:b/>
      <w:bCs/>
      <w:sz w:val="24"/>
      <w:szCs w:val="24"/>
    </w:rPr>
  </w:style>
  <w:style w:type="character" w:customStyle="1" w:styleId="168">
    <w:name w:val="正文文本缩进 Char"/>
    <w:qFormat/>
    <w:uiPriority w:val="0"/>
    <w:rPr>
      <w:rFonts w:ascii="仿宋_GB2312" w:hAnsi="Times New Roman" w:eastAsia="仿宋_GB2312" w:cs="Times New Roman"/>
      <w:sz w:val="32"/>
      <w:szCs w:val="20"/>
    </w:rPr>
  </w:style>
  <w:style w:type="character" w:customStyle="1" w:styleId="169">
    <w:name w:val="纯文本 Char2"/>
    <w:qFormat/>
    <w:uiPriority w:val="0"/>
    <w:rPr>
      <w:rFonts w:ascii="宋体" w:hAnsi="Courier New" w:eastAsia="宋体" w:cs="Courier New"/>
      <w:szCs w:val="21"/>
    </w:rPr>
  </w:style>
  <w:style w:type="character" w:customStyle="1" w:styleId="170">
    <w:name w:val="日期 Char"/>
    <w:qFormat/>
    <w:uiPriority w:val="0"/>
    <w:rPr>
      <w:rFonts w:ascii="宋体" w:hAnsi="Courier New" w:eastAsia="宋体" w:cs="Courier New"/>
      <w:szCs w:val="21"/>
    </w:rPr>
  </w:style>
  <w:style w:type="character" w:customStyle="1" w:styleId="171">
    <w:name w:val="正文文本缩进 2 Char"/>
    <w:qFormat/>
    <w:uiPriority w:val="0"/>
    <w:rPr>
      <w:rFonts w:ascii="Times New Roman" w:hAnsi="Times New Roman" w:eastAsia="宋体" w:cs="Times New Roman"/>
      <w:sz w:val="32"/>
      <w:szCs w:val="20"/>
    </w:rPr>
  </w:style>
  <w:style w:type="character" w:customStyle="1" w:styleId="172">
    <w:name w:val="尾注文本 Char"/>
    <w:qFormat/>
    <w:uiPriority w:val="99"/>
    <w:rPr>
      <w:rFonts w:ascii="Times New Roman" w:hAnsi="Times New Roman"/>
      <w:kern w:val="2"/>
      <w:sz w:val="21"/>
      <w:szCs w:val="24"/>
    </w:rPr>
  </w:style>
  <w:style w:type="character" w:customStyle="1" w:styleId="173">
    <w:name w:val="批注框文本 Char"/>
    <w:semiHidden/>
    <w:qFormat/>
    <w:uiPriority w:val="0"/>
    <w:rPr>
      <w:rFonts w:ascii="Times New Roman" w:hAnsi="Times New Roman" w:eastAsia="宋体" w:cs="Times New Roman"/>
      <w:sz w:val="18"/>
      <w:szCs w:val="18"/>
    </w:rPr>
  </w:style>
  <w:style w:type="character" w:customStyle="1" w:styleId="174">
    <w:name w:val="页脚 Char"/>
    <w:qFormat/>
    <w:uiPriority w:val="99"/>
    <w:rPr>
      <w:sz w:val="18"/>
      <w:szCs w:val="18"/>
    </w:rPr>
  </w:style>
  <w:style w:type="character" w:customStyle="1" w:styleId="175">
    <w:name w:val="页眉 Char"/>
    <w:qFormat/>
    <w:uiPriority w:val="99"/>
    <w:rPr>
      <w:rFonts w:ascii="Times New Roman" w:hAnsi="Times New Roman"/>
      <w:kern w:val="2"/>
      <w:sz w:val="18"/>
      <w:szCs w:val="18"/>
    </w:rPr>
  </w:style>
  <w:style w:type="character" w:customStyle="1" w:styleId="176">
    <w:name w:val="脚注文本 Char"/>
    <w:qFormat/>
    <w:uiPriority w:val="99"/>
    <w:rPr>
      <w:rFonts w:ascii="Times New Roman" w:hAnsi="Times New Roman"/>
      <w:kern w:val="2"/>
      <w:sz w:val="18"/>
      <w:szCs w:val="18"/>
    </w:rPr>
  </w:style>
  <w:style w:type="character" w:customStyle="1" w:styleId="177">
    <w:name w:val="正文文本缩进 3 Char"/>
    <w:qFormat/>
    <w:uiPriority w:val="0"/>
    <w:rPr>
      <w:rFonts w:ascii="Times New Roman" w:hAnsi="Times New Roman" w:eastAsia="宋体" w:cs="Times New Roman"/>
      <w:sz w:val="16"/>
      <w:szCs w:val="16"/>
    </w:rPr>
  </w:style>
  <w:style w:type="character" w:customStyle="1" w:styleId="178">
    <w:name w:val="正文文本 2 Char"/>
    <w:qFormat/>
    <w:uiPriority w:val="0"/>
    <w:rPr>
      <w:rFonts w:ascii="Times New Roman" w:hAnsi="Times New Roman" w:eastAsia="宋体" w:cs="Times New Roman"/>
      <w:szCs w:val="24"/>
    </w:rPr>
  </w:style>
  <w:style w:type="character" w:customStyle="1" w:styleId="179">
    <w:name w:val="标题 Char"/>
    <w:qFormat/>
    <w:uiPriority w:val="10"/>
    <w:rPr>
      <w:rFonts w:ascii="Cambria" w:hAnsi="Cambria" w:cs="Times New Roman"/>
      <w:b/>
      <w:bCs/>
      <w:kern w:val="2"/>
      <w:sz w:val="32"/>
      <w:szCs w:val="32"/>
    </w:rPr>
  </w:style>
  <w:style w:type="character" w:customStyle="1" w:styleId="180">
    <w:name w:val="批注主题 Char"/>
    <w:qFormat/>
    <w:uiPriority w:val="99"/>
    <w:rPr>
      <w:rFonts w:ascii="Times New Roman" w:hAnsi="Times New Roman"/>
      <w:b/>
      <w:bCs/>
      <w:kern w:val="2"/>
      <w:sz w:val="21"/>
      <w:szCs w:val="24"/>
    </w:rPr>
  </w:style>
  <w:style w:type="character" w:customStyle="1" w:styleId="181">
    <w:name w:val="vxe-cell--label"/>
    <w:basedOn w:val="49"/>
    <w:qFormat/>
    <w:uiPriority w:val="0"/>
  </w:style>
  <w:style w:type="character" w:customStyle="1" w:styleId="182">
    <w:name w:val="未处理的提及1"/>
    <w:basedOn w:val="49"/>
    <w:semiHidden/>
    <w:unhideWhenUsed/>
    <w:qFormat/>
    <w:uiPriority w:val="99"/>
    <w:rPr>
      <w:color w:val="605E5C"/>
      <w:shd w:val="clear" w:color="auto" w:fill="E1DFDD"/>
    </w:rPr>
  </w:style>
  <w:style w:type="character" w:customStyle="1" w:styleId="183">
    <w:name w:val="样式1 Char"/>
    <w:link w:val="184"/>
    <w:qFormat/>
    <w:uiPriority w:val="0"/>
    <w:rPr>
      <w:rFonts w:ascii="宋体" w:hAnsi="宋体"/>
      <w:b/>
      <w:kern w:val="2"/>
      <w:sz w:val="24"/>
    </w:rPr>
  </w:style>
  <w:style w:type="paragraph" w:customStyle="1" w:styleId="184">
    <w:name w:val="样式1"/>
    <w:basedOn w:val="1"/>
    <w:link w:val="183"/>
    <w:qFormat/>
    <w:uiPriority w:val="0"/>
    <w:pPr>
      <w:spacing w:before="120" w:after="120" w:line="300" w:lineRule="auto"/>
    </w:pPr>
    <w:rPr>
      <w:rFonts w:ascii="宋体" w:hAnsi="宋体"/>
      <w:b/>
      <w:sz w:val="24"/>
      <w:szCs w:val="20"/>
    </w:rPr>
  </w:style>
  <w:style w:type="paragraph" w:customStyle="1" w:styleId="185">
    <w:name w:val="msolistparagraph"/>
    <w:basedOn w:val="1"/>
    <w:qFormat/>
    <w:uiPriority w:val="0"/>
    <w:pPr>
      <w:ind w:firstLine="420" w:firstLineChars="200"/>
    </w:pPr>
  </w:style>
  <w:style w:type="paragraph" w:customStyle="1" w:styleId="186">
    <w:name w:val="Char"/>
    <w:basedOn w:val="1"/>
    <w:qFormat/>
    <w:uiPriority w:val="99"/>
  </w:style>
  <w:style w:type="paragraph" w:customStyle="1" w:styleId="187">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file:///C:\Users\Administrator\AppData\Roaming\Tencent\Users\84332323\QQ\WinTemp\RichOle\IBTSMDNQID2EUB%2525252525252525252525252525252525252525252525252525252525252525252525252525252525252525252525252525252525252525252525252525252525252525252525252525252525252525252525252525252525252525252525252525252525252525252525252525252525252525252525252525252525257b1%2525252525252525252525252525252525252525252525252525252525252525252525252525252525252525252525252525252525252525252525252525252525252525252525252525252525252525252525252525252525252525252525252525252525252525252525252525252525252525252525252525252525255d6~PD(5.png" TargetMode="External"/><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92</Pages>
  <Words>7867</Words>
  <Characters>8509</Characters>
  <Lines>411</Lines>
  <Paragraphs>115</Paragraphs>
  <TotalTime>170</TotalTime>
  <ScaleCrop>false</ScaleCrop>
  <LinksUpToDate>false</LinksUpToDate>
  <CharactersWithSpaces>8553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2023-11-20T11:04:00Z</dcterms:created>
  <dc:creator>番茄花园</dc:creator>
  <cp:lastModifiedBy>wzl</cp:lastModifiedBy>
  <cp:lastPrinted>2024-12-11T08:58:00Z</cp:lastPrinted>
  <dcterms:modified xsi:type="dcterms:W3CDTF">2025-01-10T07:15:34Z</dcterms:modified>
  <dc:title>公开招标采购文件范本</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241CEF953B43477CAE28C500ABB7E405_13</vt:lpwstr>
  </property>
  <property fmtid="{D5CDD505-2E9C-101B-9397-08002B2CF9AE}" pid="4" name="KSOTemplateDocerSaveRecord">
    <vt:lpwstr>eyJoZGlkIjoiNzI5OWM3OGY1NTAzMjZjNjUxMTAzMDE0ZGZiNTY1MWMiLCJ1c2VySWQiOiIyNzE3NTAyMzQifQ==</vt:lpwstr>
  </property>
</Properties>
</file>