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ABCAF">
      <w:pPr>
        <w:spacing w:line="360" w:lineRule="auto"/>
        <w:jc w:val="center"/>
        <w:rPr>
          <w:rStyle w:val="83"/>
          <w:rFonts w:hint="eastAsia"/>
          <w:color w:val="auto"/>
        </w:rPr>
      </w:pPr>
    </w:p>
    <w:p w14:paraId="740BCDA8">
      <w:pPr>
        <w:spacing w:line="360" w:lineRule="auto"/>
        <w:jc w:val="center"/>
        <w:rPr>
          <w:rFonts w:ascii="宋体" w:hAnsi="宋体" w:cs="宋体"/>
          <w:b/>
          <w:bCs/>
          <w:color w:val="auto"/>
          <w:sz w:val="52"/>
          <w:szCs w:val="52"/>
        </w:rPr>
      </w:pPr>
    </w:p>
    <w:p w14:paraId="28C6FBB1">
      <w:pPr>
        <w:spacing w:line="360" w:lineRule="auto"/>
        <w:jc w:val="center"/>
        <w:rPr>
          <w:rFonts w:ascii="方正小标宋简体" w:hAnsi="方正小标宋简体" w:eastAsia="方正小标宋简体" w:cs="方正小标宋简体"/>
          <w:color w:val="auto"/>
          <w:sz w:val="52"/>
          <w:szCs w:val="52"/>
        </w:rPr>
      </w:pPr>
      <w:r>
        <w:rPr>
          <w:rFonts w:hint="eastAsia" w:ascii="宋体" w:hAnsi="宋体" w:cs="宋体"/>
          <w:b/>
          <w:bCs/>
          <w:color w:val="auto"/>
          <w:sz w:val="52"/>
          <w:szCs w:val="52"/>
        </w:rPr>
        <w:t>欧邦工程管理集团有限公司</w:t>
      </w:r>
    </w:p>
    <w:p w14:paraId="0F9E0FF1">
      <w:pPr>
        <w:spacing w:line="360" w:lineRule="auto"/>
        <w:jc w:val="center"/>
        <w:rPr>
          <w:rFonts w:ascii="方正小标宋简体" w:hAnsi="方正小标宋简体" w:eastAsia="方正小标宋简体" w:cs="方正小标宋简体"/>
          <w:b/>
          <w:color w:val="auto"/>
          <w:sz w:val="44"/>
          <w:szCs w:val="44"/>
        </w:rPr>
      </w:pPr>
    </w:p>
    <w:p w14:paraId="440BCD97">
      <w:pPr>
        <w:spacing w:line="360" w:lineRule="auto"/>
        <w:jc w:val="center"/>
        <w:rPr>
          <w:rFonts w:ascii="方正小标宋简体" w:hAnsi="方正小标宋简体" w:eastAsia="方正小标宋简体" w:cs="方正小标宋简体"/>
          <w:b/>
          <w:color w:val="auto"/>
          <w:sz w:val="44"/>
          <w:szCs w:val="44"/>
        </w:rPr>
      </w:pPr>
    </w:p>
    <w:p w14:paraId="60372CA6">
      <w:pPr>
        <w:snapToGrid w:val="0"/>
        <w:spacing w:before="120" w:beforeLines="50" w:line="360" w:lineRule="auto"/>
        <w:jc w:val="center"/>
        <w:rPr>
          <w:rFonts w:ascii="华文新魏" w:hAnsi="宋体" w:eastAsia="华文新魏"/>
          <w:color w:val="auto"/>
          <w:sz w:val="120"/>
          <w:szCs w:val="120"/>
        </w:rPr>
      </w:pPr>
      <w:r>
        <w:rPr>
          <w:rFonts w:hint="eastAsia" w:ascii="华文新魏" w:hAnsi="宋体" w:eastAsia="华文新魏"/>
          <w:color w:val="auto"/>
          <w:sz w:val="120"/>
          <w:szCs w:val="120"/>
        </w:rPr>
        <w:t>竞争性磋商文件</w:t>
      </w:r>
    </w:p>
    <w:p w14:paraId="0C4E1AA3">
      <w:pPr>
        <w:snapToGrid w:val="0"/>
        <w:spacing w:before="120" w:beforeLines="50" w:line="360" w:lineRule="auto"/>
        <w:jc w:val="center"/>
        <w:rPr>
          <w:rFonts w:ascii="仿宋_GB2312" w:hAnsi="仿宋" w:eastAsia="仿宋_GB2312"/>
          <w:b/>
          <w:color w:val="auto"/>
          <w:sz w:val="30"/>
          <w:szCs w:val="72"/>
        </w:rPr>
      </w:pPr>
    </w:p>
    <w:p w14:paraId="7E4D122C">
      <w:pPr>
        <w:snapToGrid w:val="0"/>
        <w:spacing w:before="120" w:beforeLines="50" w:line="360" w:lineRule="auto"/>
        <w:jc w:val="center"/>
        <w:rPr>
          <w:rFonts w:ascii="仿宋_GB2312" w:hAnsi="仿宋" w:eastAsia="仿宋_GB2312"/>
          <w:b/>
          <w:color w:val="auto"/>
          <w:sz w:val="30"/>
          <w:szCs w:val="72"/>
        </w:rPr>
      </w:pPr>
    </w:p>
    <w:p w14:paraId="424D268B">
      <w:pPr>
        <w:snapToGrid w:val="0"/>
        <w:spacing w:before="120" w:beforeLines="50" w:line="360" w:lineRule="auto"/>
        <w:jc w:val="center"/>
        <w:rPr>
          <w:rFonts w:ascii="仿宋_GB2312" w:hAnsi="仿宋" w:eastAsia="仿宋_GB2312"/>
          <w:b/>
          <w:color w:val="auto"/>
          <w:sz w:val="30"/>
          <w:szCs w:val="72"/>
        </w:rPr>
      </w:pPr>
    </w:p>
    <w:p w14:paraId="3397D17F">
      <w:pPr>
        <w:pStyle w:val="17"/>
        <w:snapToGrid w:val="0"/>
        <w:spacing w:line="360" w:lineRule="auto"/>
        <w:ind w:firstLine="673" w:firstLineChars="235"/>
        <w:rPr>
          <w:rFonts w:hint="default" w:hAnsi="宋体" w:eastAsia="宋体" w:cs="宋体"/>
          <w:b/>
          <w:bCs/>
          <w:color w:val="auto"/>
          <w:w w:val="95"/>
          <w:sz w:val="30"/>
          <w:szCs w:val="30"/>
          <w:lang w:val="en-US" w:eastAsia="zh-CN"/>
        </w:rPr>
      </w:pPr>
      <w:r>
        <w:rPr>
          <w:rFonts w:hint="eastAsia" w:hAnsi="宋体" w:cs="宋体"/>
          <w:b/>
          <w:bCs/>
          <w:color w:val="auto"/>
          <w:w w:val="95"/>
          <w:sz w:val="30"/>
          <w:szCs w:val="30"/>
        </w:rPr>
        <w:t>项目名称：直线加速器维保</w:t>
      </w:r>
      <w:r>
        <w:rPr>
          <w:rFonts w:hint="eastAsia" w:hAnsi="宋体" w:cs="宋体"/>
          <w:b/>
          <w:bCs/>
          <w:color w:val="auto"/>
          <w:w w:val="95"/>
          <w:sz w:val="30"/>
          <w:szCs w:val="30"/>
          <w:lang w:val="en-US" w:eastAsia="zh-CN"/>
        </w:rPr>
        <w:t>一台</w:t>
      </w:r>
    </w:p>
    <w:p w14:paraId="0EB4C6B4">
      <w:pPr>
        <w:pStyle w:val="17"/>
        <w:snapToGrid w:val="0"/>
        <w:spacing w:line="360" w:lineRule="auto"/>
        <w:ind w:firstLine="673" w:firstLineChars="235"/>
        <w:rPr>
          <w:rFonts w:hint="eastAsia" w:hAnsi="宋体" w:eastAsia="宋体" w:cs="宋体"/>
          <w:b/>
          <w:bCs/>
          <w:color w:val="auto"/>
          <w:w w:val="95"/>
          <w:sz w:val="30"/>
          <w:szCs w:val="30"/>
          <w:lang w:eastAsia="zh-CN"/>
        </w:rPr>
      </w:pPr>
      <w:r>
        <w:rPr>
          <w:rFonts w:hint="eastAsia" w:hAnsi="宋体" w:cs="宋体"/>
          <w:b/>
          <w:bCs/>
          <w:color w:val="auto"/>
          <w:w w:val="95"/>
          <w:sz w:val="30"/>
          <w:szCs w:val="30"/>
        </w:rPr>
        <w:t>项目编号：</w:t>
      </w:r>
      <w:r>
        <w:rPr>
          <w:rFonts w:hint="eastAsia" w:hAnsi="宋体" w:cs="宋体"/>
          <w:b/>
          <w:bCs/>
          <w:color w:val="auto"/>
          <w:w w:val="95"/>
          <w:sz w:val="30"/>
          <w:szCs w:val="30"/>
          <w:lang w:eastAsia="zh-CN"/>
        </w:rPr>
        <w:t>GXZC2024-C3-006532-OBGC</w:t>
      </w:r>
    </w:p>
    <w:p w14:paraId="30B7CE7B">
      <w:pPr>
        <w:pStyle w:val="17"/>
        <w:snapToGrid w:val="0"/>
        <w:spacing w:line="360" w:lineRule="auto"/>
        <w:ind w:firstLine="673" w:firstLineChars="235"/>
        <w:rPr>
          <w:rFonts w:hAnsi="宋体" w:cs="宋体"/>
          <w:b/>
          <w:bCs/>
          <w:color w:val="auto"/>
          <w:w w:val="95"/>
          <w:sz w:val="30"/>
          <w:szCs w:val="30"/>
        </w:rPr>
      </w:pPr>
      <w:r>
        <w:rPr>
          <w:rFonts w:hint="eastAsia" w:hAnsi="宋体" w:cs="宋体"/>
          <w:b/>
          <w:bCs/>
          <w:color w:val="auto"/>
          <w:w w:val="95"/>
          <w:sz w:val="30"/>
          <w:szCs w:val="30"/>
        </w:rPr>
        <w:t>采购人： 桂林医学院附属医院</w:t>
      </w:r>
    </w:p>
    <w:p w14:paraId="09B70AA0">
      <w:pPr>
        <w:pStyle w:val="17"/>
        <w:snapToGrid w:val="0"/>
        <w:spacing w:line="360" w:lineRule="auto"/>
        <w:ind w:firstLine="673" w:firstLineChars="235"/>
        <w:rPr>
          <w:rFonts w:hAnsi="宋体" w:cs="宋体"/>
          <w:b/>
          <w:bCs/>
          <w:color w:val="auto"/>
          <w:w w:val="95"/>
          <w:sz w:val="30"/>
          <w:szCs w:val="30"/>
        </w:rPr>
      </w:pPr>
      <w:r>
        <w:rPr>
          <w:rFonts w:hint="eastAsia" w:hAnsi="宋体" w:cs="宋体"/>
          <w:b/>
          <w:bCs/>
          <w:color w:val="auto"/>
          <w:w w:val="95"/>
          <w:sz w:val="30"/>
          <w:szCs w:val="30"/>
        </w:rPr>
        <w:t>采购代理机构：欧邦工程管理集团有限公司</w:t>
      </w:r>
    </w:p>
    <w:p w14:paraId="2CB50AE6">
      <w:pPr>
        <w:pStyle w:val="17"/>
        <w:snapToGrid w:val="0"/>
        <w:spacing w:line="360" w:lineRule="auto"/>
        <w:ind w:firstLine="673" w:firstLineChars="235"/>
        <w:rPr>
          <w:rFonts w:hAnsi="宋体" w:cs="宋体"/>
          <w:b/>
          <w:bCs/>
          <w:color w:val="auto"/>
          <w:w w:val="95"/>
          <w:sz w:val="30"/>
          <w:szCs w:val="30"/>
        </w:rPr>
      </w:pPr>
    </w:p>
    <w:p w14:paraId="783CE55F">
      <w:pPr>
        <w:pStyle w:val="17"/>
        <w:snapToGrid w:val="0"/>
        <w:spacing w:line="360" w:lineRule="auto"/>
        <w:ind w:firstLine="673" w:firstLineChars="235"/>
        <w:rPr>
          <w:rFonts w:ascii="仿宋_GB2312" w:hAnsi="仿宋" w:eastAsia="仿宋_GB2312"/>
          <w:b/>
          <w:bCs/>
          <w:color w:val="auto"/>
          <w:w w:val="95"/>
          <w:sz w:val="30"/>
          <w:szCs w:val="30"/>
        </w:rPr>
      </w:pPr>
    </w:p>
    <w:p w14:paraId="6CCCEC67">
      <w:pPr>
        <w:pStyle w:val="17"/>
        <w:snapToGrid w:val="0"/>
        <w:spacing w:line="360" w:lineRule="auto"/>
        <w:ind w:firstLine="673" w:firstLineChars="235"/>
        <w:jc w:val="center"/>
        <w:rPr>
          <w:rFonts w:hAnsi="宋体" w:cs="宋体"/>
          <w:b/>
          <w:bCs/>
          <w:color w:val="auto"/>
          <w:w w:val="95"/>
          <w:sz w:val="30"/>
          <w:szCs w:val="30"/>
        </w:rPr>
      </w:pPr>
    </w:p>
    <w:p w14:paraId="2B9C5150">
      <w:pPr>
        <w:spacing w:line="360" w:lineRule="auto"/>
        <w:jc w:val="center"/>
        <w:rPr>
          <w:rFonts w:ascii="宋体" w:hAnsi="宋体"/>
          <w:b/>
          <w:color w:val="auto"/>
          <w:sz w:val="44"/>
          <w:szCs w:val="44"/>
        </w:rPr>
      </w:pPr>
    </w:p>
    <w:p w14:paraId="372C3544">
      <w:pPr>
        <w:spacing w:line="360" w:lineRule="auto"/>
        <w:jc w:val="center"/>
        <w:rPr>
          <w:rFonts w:ascii="宋体" w:hAnsi="宋体"/>
          <w:b/>
          <w:color w:val="auto"/>
          <w:sz w:val="44"/>
          <w:szCs w:val="44"/>
        </w:rPr>
      </w:pPr>
      <w:r>
        <w:rPr>
          <w:rFonts w:ascii="宋体" w:hAnsi="宋体"/>
          <w:b/>
          <w:color w:val="auto"/>
          <w:sz w:val="44"/>
          <w:szCs w:val="44"/>
        </w:rPr>
        <w:br w:type="page"/>
      </w:r>
      <w:r>
        <w:rPr>
          <w:rFonts w:hint="eastAsia" w:ascii="宋体" w:hAnsi="宋体"/>
          <w:b/>
          <w:color w:val="auto"/>
          <w:sz w:val="44"/>
          <w:szCs w:val="44"/>
        </w:rPr>
        <w:t>目  录</w:t>
      </w:r>
    </w:p>
    <w:p w14:paraId="6441E2B1">
      <w:pPr>
        <w:spacing w:line="400" w:lineRule="exact"/>
        <w:rPr>
          <w:rFonts w:ascii="宋体" w:hAnsi="宋体"/>
          <w:b/>
          <w:color w:val="auto"/>
          <w:sz w:val="44"/>
          <w:szCs w:val="44"/>
        </w:rPr>
      </w:pPr>
    </w:p>
    <w:p w14:paraId="11034658">
      <w:pPr>
        <w:tabs>
          <w:tab w:val="right" w:leader="dot" w:pos="8869"/>
        </w:tabs>
        <w:snapToGrid w:val="0"/>
        <w:spacing w:line="460" w:lineRule="exact"/>
        <w:rPr>
          <w:rFonts w:ascii="宋体" w:hAnsi="宋体"/>
          <w:b/>
          <w:color w:val="auto"/>
          <w:sz w:val="24"/>
        </w:rPr>
      </w:pPr>
      <w:r>
        <w:rPr>
          <w:rStyle w:val="33"/>
          <w:rFonts w:hint="eastAsia" w:ascii="宋体" w:hAnsi="宋体"/>
          <w:b/>
          <w:color w:val="auto"/>
          <w:sz w:val="24"/>
          <w:u w:val="none"/>
        </w:rPr>
        <w:t>第一章</w:t>
      </w:r>
      <w:r>
        <w:rPr>
          <w:rStyle w:val="33"/>
          <w:rFonts w:ascii="宋体" w:hAnsi="宋体"/>
          <w:b/>
          <w:color w:val="auto"/>
          <w:sz w:val="24"/>
          <w:u w:val="none"/>
        </w:rPr>
        <w:t xml:space="preserve"> </w:t>
      </w:r>
      <w:r>
        <w:rPr>
          <w:rStyle w:val="33"/>
          <w:rFonts w:hint="eastAsia" w:ascii="宋体" w:hAnsi="宋体"/>
          <w:b/>
          <w:color w:val="auto"/>
          <w:sz w:val="24"/>
          <w:u w:val="none"/>
        </w:rPr>
        <w:t>竞争性磋商公告</w:t>
      </w:r>
      <w:r>
        <w:rPr>
          <w:rFonts w:ascii="宋体" w:hAnsi="宋体"/>
          <w:b/>
          <w:color w:val="auto"/>
          <w:sz w:val="24"/>
        </w:rPr>
        <w:tab/>
      </w:r>
      <w:r>
        <w:rPr>
          <w:rFonts w:ascii="宋体" w:hAnsi="宋体"/>
          <w:b/>
          <w:color w:val="auto"/>
          <w:sz w:val="24"/>
        </w:rPr>
        <w:t>2</w:t>
      </w:r>
    </w:p>
    <w:p w14:paraId="05B11759">
      <w:pPr>
        <w:pStyle w:val="78"/>
        <w:tabs>
          <w:tab w:val="right" w:leader="dot" w:pos="8869"/>
        </w:tabs>
        <w:snapToGrid w:val="0"/>
        <w:spacing w:line="460" w:lineRule="exact"/>
        <w:rPr>
          <w:rFonts w:ascii="宋体" w:hAnsi="宋体"/>
          <w:b/>
          <w:color w:val="auto"/>
          <w:sz w:val="24"/>
        </w:rPr>
      </w:pPr>
      <w:r>
        <w:rPr>
          <w:rStyle w:val="33"/>
          <w:rFonts w:hint="eastAsia" w:ascii="宋体" w:hAnsi="宋体"/>
          <w:b/>
          <w:color w:val="auto"/>
          <w:sz w:val="24"/>
          <w:u w:val="none"/>
        </w:rPr>
        <w:t>第二章</w:t>
      </w:r>
      <w:r>
        <w:rPr>
          <w:rStyle w:val="33"/>
          <w:rFonts w:ascii="宋体" w:hAnsi="宋体"/>
          <w:b/>
          <w:color w:val="auto"/>
          <w:sz w:val="24"/>
          <w:u w:val="none"/>
        </w:rPr>
        <w:t xml:space="preserve"> </w:t>
      </w:r>
      <w:r>
        <w:rPr>
          <w:rStyle w:val="33"/>
          <w:rFonts w:hint="eastAsia" w:ascii="宋体" w:hAnsi="宋体"/>
          <w:b/>
          <w:color w:val="auto"/>
          <w:sz w:val="24"/>
          <w:u w:val="none"/>
        </w:rPr>
        <w:t>供应商须知</w:t>
      </w:r>
      <w:r>
        <w:rPr>
          <w:rFonts w:ascii="宋体" w:hAnsi="宋体"/>
          <w:b/>
          <w:color w:val="auto"/>
          <w:sz w:val="24"/>
        </w:rPr>
        <w:tab/>
      </w:r>
      <w:r>
        <w:rPr>
          <w:rFonts w:ascii="宋体" w:hAnsi="宋体"/>
          <w:b/>
          <w:color w:val="auto"/>
          <w:sz w:val="24"/>
        </w:rPr>
        <w:t>5</w:t>
      </w:r>
    </w:p>
    <w:p w14:paraId="5C93AF5D">
      <w:pPr>
        <w:pStyle w:val="78"/>
        <w:tabs>
          <w:tab w:val="right" w:leader="dot" w:pos="8869"/>
        </w:tabs>
        <w:snapToGrid w:val="0"/>
        <w:spacing w:line="460" w:lineRule="exact"/>
        <w:rPr>
          <w:rFonts w:ascii="宋体" w:hAnsi="宋体"/>
          <w:b/>
          <w:color w:val="auto"/>
          <w:sz w:val="24"/>
        </w:rPr>
      </w:pPr>
      <w:r>
        <w:rPr>
          <w:rStyle w:val="33"/>
          <w:rFonts w:hint="eastAsia" w:ascii="宋体" w:hAnsi="宋体"/>
          <w:b/>
          <w:color w:val="auto"/>
          <w:sz w:val="24"/>
          <w:u w:val="none"/>
        </w:rPr>
        <w:t>第三章</w:t>
      </w:r>
      <w:r>
        <w:rPr>
          <w:rStyle w:val="33"/>
          <w:rFonts w:ascii="宋体" w:hAnsi="宋体"/>
          <w:b/>
          <w:color w:val="auto"/>
          <w:sz w:val="24"/>
          <w:u w:val="none"/>
        </w:rPr>
        <w:t xml:space="preserve"> </w:t>
      </w:r>
      <w:r>
        <w:rPr>
          <w:rStyle w:val="33"/>
          <w:rFonts w:hint="eastAsia" w:ascii="宋体" w:hAnsi="宋体"/>
          <w:b/>
          <w:color w:val="auto"/>
          <w:sz w:val="24"/>
          <w:u w:val="none"/>
        </w:rPr>
        <w:t>采购需求</w:t>
      </w:r>
      <w:r>
        <w:rPr>
          <w:rFonts w:ascii="宋体" w:hAnsi="宋体"/>
          <w:b/>
          <w:color w:val="auto"/>
          <w:sz w:val="24"/>
        </w:rPr>
        <w:tab/>
      </w:r>
      <w:r>
        <w:rPr>
          <w:rFonts w:ascii="宋体" w:hAnsi="宋体"/>
          <w:b/>
          <w:color w:val="auto"/>
          <w:sz w:val="24"/>
        </w:rPr>
        <w:t>2</w:t>
      </w:r>
      <w:r>
        <w:rPr>
          <w:rFonts w:hint="eastAsia" w:ascii="宋体" w:hAnsi="宋体"/>
          <w:b/>
          <w:color w:val="auto"/>
          <w:sz w:val="24"/>
        </w:rPr>
        <w:t>4</w:t>
      </w:r>
    </w:p>
    <w:p w14:paraId="6FABDB8E">
      <w:pPr>
        <w:pStyle w:val="78"/>
        <w:tabs>
          <w:tab w:val="right" w:leader="dot" w:pos="8869"/>
        </w:tabs>
        <w:snapToGrid w:val="0"/>
        <w:spacing w:line="460" w:lineRule="exact"/>
        <w:rPr>
          <w:rFonts w:ascii="宋体" w:hAnsi="宋体"/>
          <w:b/>
          <w:color w:val="auto"/>
          <w:sz w:val="24"/>
        </w:rPr>
      </w:pPr>
      <w:r>
        <w:rPr>
          <w:rStyle w:val="33"/>
          <w:rFonts w:hint="eastAsia" w:ascii="宋体" w:hAnsi="宋体"/>
          <w:b/>
          <w:color w:val="auto"/>
          <w:sz w:val="24"/>
          <w:u w:val="none"/>
        </w:rPr>
        <w:t>第四章</w:t>
      </w:r>
      <w:r>
        <w:rPr>
          <w:rStyle w:val="33"/>
          <w:rFonts w:ascii="宋体" w:hAnsi="宋体"/>
          <w:b/>
          <w:color w:val="auto"/>
          <w:sz w:val="24"/>
          <w:u w:val="none"/>
        </w:rPr>
        <w:t xml:space="preserve"> </w:t>
      </w:r>
      <w:r>
        <w:rPr>
          <w:rStyle w:val="33"/>
          <w:rFonts w:hint="eastAsia" w:ascii="宋体" w:hAnsi="宋体"/>
          <w:b/>
          <w:color w:val="auto"/>
          <w:sz w:val="24"/>
          <w:u w:val="none"/>
        </w:rPr>
        <w:t>评审程序、评审</w:t>
      </w:r>
      <w:bookmarkStart w:id="0" w:name="_Hlt115339271"/>
      <w:bookmarkStart w:id="1" w:name="_Hlt115339272"/>
      <w:r>
        <w:rPr>
          <w:rStyle w:val="33"/>
          <w:rFonts w:hint="eastAsia" w:ascii="宋体" w:hAnsi="宋体"/>
          <w:b/>
          <w:color w:val="auto"/>
          <w:sz w:val="24"/>
          <w:u w:val="none"/>
        </w:rPr>
        <w:t>方</w:t>
      </w:r>
      <w:bookmarkEnd w:id="0"/>
      <w:bookmarkEnd w:id="1"/>
      <w:r>
        <w:rPr>
          <w:rStyle w:val="33"/>
          <w:rFonts w:hint="eastAsia" w:ascii="宋体" w:hAnsi="宋体"/>
          <w:b/>
          <w:color w:val="auto"/>
          <w:sz w:val="24"/>
          <w:u w:val="none"/>
        </w:rPr>
        <w:t>法和评审标准</w:t>
      </w:r>
      <w:bookmarkStart w:id="2" w:name="_Hlt115276853"/>
      <w:r>
        <w:rPr>
          <w:rFonts w:ascii="宋体" w:hAnsi="宋体"/>
          <w:b/>
          <w:color w:val="auto"/>
          <w:sz w:val="24"/>
        </w:rPr>
        <w:tab/>
      </w:r>
      <w:bookmarkEnd w:id="2"/>
      <w:r>
        <w:rPr>
          <w:rFonts w:hint="eastAsia" w:ascii="宋体" w:hAnsi="宋体"/>
          <w:b/>
          <w:color w:val="auto"/>
          <w:sz w:val="24"/>
        </w:rPr>
        <w:t>29</w:t>
      </w:r>
    </w:p>
    <w:p w14:paraId="45766FCC">
      <w:pPr>
        <w:pStyle w:val="78"/>
        <w:tabs>
          <w:tab w:val="right" w:leader="dot" w:pos="8869"/>
        </w:tabs>
        <w:snapToGrid w:val="0"/>
        <w:spacing w:line="460" w:lineRule="exact"/>
        <w:rPr>
          <w:rFonts w:ascii="宋体" w:hAnsi="宋体"/>
          <w:b/>
          <w:color w:val="auto"/>
          <w:sz w:val="24"/>
        </w:rPr>
      </w:pPr>
      <w:r>
        <w:rPr>
          <w:rStyle w:val="33"/>
          <w:rFonts w:hint="eastAsia" w:ascii="宋体" w:hAnsi="宋体"/>
          <w:b/>
          <w:color w:val="auto"/>
          <w:sz w:val="24"/>
          <w:u w:val="none"/>
        </w:rPr>
        <w:t>第五章</w:t>
      </w:r>
      <w:r>
        <w:rPr>
          <w:rStyle w:val="33"/>
          <w:rFonts w:ascii="宋体" w:hAnsi="宋体"/>
          <w:b/>
          <w:color w:val="auto"/>
          <w:sz w:val="24"/>
          <w:u w:val="none"/>
        </w:rPr>
        <w:t xml:space="preserve"> </w:t>
      </w:r>
      <w:r>
        <w:rPr>
          <w:rStyle w:val="33"/>
          <w:rFonts w:hint="eastAsia" w:ascii="宋体" w:hAnsi="宋体"/>
          <w:b/>
          <w:color w:val="auto"/>
          <w:sz w:val="24"/>
          <w:u w:val="none"/>
        </w:rPr>
        <w:t>响应文件格式</w:t>
      </w:r>
      <w:r>
        <w:rPr>
          <w:rFonts w:ascii="宋体" w:hAnsi="宋体"/>
          <w:b/>
          <w:color w:val="auto"/>
          <w:sz w:val="24"/>
        </w:rPr>
        <w:tab/>
      </w:r>
      <w:r>
        <w:rPr>
          <w:rFonts w:hint="eastAsia" w:ascii="宋体" w:hAnsi="宋体"/>
          <w:b/>
          <w:color w:val="auto"/>
          <w:sz w:val="24"/>
        </w:rPr>
        <w:t>37</w:t>
      </w:r>
    </w:p>
    <w:p w14:paraId="53CF98A7">
      <w:pPr>
        <w:pStyle w:val="78"/>
        <w:tabs>
          <w:tab w:val="right" w:leader="dot" w:pos="8869"/>
        </w:tabs>
        <w:snapToGrid w:val="0"/>
        <w:spacing w:after="120" w:line="460" w:lineRule="exact"/>
        <w:rPr>
          <w:rFonts w:ascii="宋体" w:hAnsi="宋体"/>
          <w:b/>
          <w:color w:val="auto"/>
          <w:sz w:val="24"/>
        </w:rPr>
      </w:pPr>
      <w:r>
        <w:rPr>
          <w:rStyle w:val="33"/>
          <w:rFonts w:hint="eastAsia" w:ascii="宋体" w:hAnsi="宋体"/>
          <w:b/>
          <w:color w:val="auto"/>
          <w:sz w:val="24"/>
          <w:u w:val="none"/>
        </w:rPr>
        <w:t>第六章</w:t>
      </w:r>
      <w:r>
        <w:rPr>
          <w:rStyle w:val="33"/>
          <w:rFonts w:ascii="宋体" w:hAnsi="宋体"/>
          <w:b/>
          <w:color w:val="auto"/>
          <w:sz w:val="24"/>
          <w:u w:val="none"/>
        </w:rPr>
        <w:t xml:space="preserve"> </w:t>
      </w:r>
      <w:r>
        <w:rPr>
          <w:rStyle w:val="33"/>
          <w:rFonts w:hint="eastAsia" w:ascii="宋体" w:hAnsi="宋体"/>
          <w:b/>
          <w:color w:val="auto"/>
          <w:sz w:val="24"/>
          <w:u w:val="none"/>
        </w:rPr>
        <w:t>合同文本</w:t>
      </w:r>
      <w:r>
        <w:rPr>
          <w:rFonts w:ascii="宋体" w:hAnsi="宋体"/>
          <w:b/>
          <w:color w:val="auto"/>
          <w:sz w:val="24"/>
        </w:rPr>
        <w:tab/>
      </w:r>
      <w:r>
        <w:rPr>
          <w:rFonts w:hint="eastAsia" w:ascii="宋体" w:hAnsi="宋体"/>
          <w:b/>
          <w:color w:val="auto"/>
          <w:sz w:val="24"/>
        </w:rPr>
        <w:t>65</w:t>
      </w:r>
    </w:p>
    <w:p w14:paraId="798ACD7F">
      <w:pPr>
        <w:pStyle w:val="24"/>
        <w:snapToGrid w:val="0"/>
        <w:spacing w:line="500" w:lineRule="atLeast"/>
        <w:rPr>
          <w:rFonts w:ascii="宋体" w:hAnsi="宋体"/>
          <w:b/>
          <w:color w:val="auto"/>
          <w:sz w:val="24"/>
        </w:rPr>
      </w:pPr>
    </w:p>
    <w:p w14:paraId="4B8E949F">
      <w:pPr>
        <w:spacing w:line="400" w:lineRule="exact"/>
        <w:rPr>
          <w:rFonts w:ascii="宋体" w:hAnsi="宋体"/>
          <w:b/>
          <w:color w:val="auto"/>
          <w:sz w:val="32"/>
          <w:szCs w:val="32"/>
        </w:rPr>
        <w:sectPr>
          <w:headerReference r:id="rId4" w:type="first"/>
          <w:headerReference r:id="rId3" w:type="default"/>
          <w:footerReference r:id="rId5" w:type="default"/>
          <w:pgSz w:w="11906" w:h="16838"/>
          <w:pgMar w:top="1440" w:right="1440" w:bottom="1440" w:left="1587" w:header="851" w:footer="992" w:gutter="0"/>
          <w:pgNumType w:start="0"/>
          <w:cols w:space="720" w:num="1"/>
          <w:titlePg/>
          <w:docGrid w:linePitch="312" w:charSpace="0"/>
        </w:sectPr>
      </w:pPr>
    </w:p>
    <w:p w14:paraId="7D7BD17F">
      <w:pPr>
        <w:pStyle w:val="2"/>
        <w:spacing w:line="240" w:lineRule="auto"/>
        <w:jc w:val="center"/>
        <w:rPr>
          <w:color w:val="auto"/>
        </w:rPr>
      </w:pPr>
      <w:bookmarkStart w:id="3" w:name="_Toc74322605"/>
      <w:r>
        <w:rPr>
          <w:rFonts w:hint="eastAsia"/>
          <w:color w:val="auto"/>
        </w:rPr>
        <w:t>第一章 竞争性磋商公告</w:t>
      </w:r>
      <w:bookmarkEnd w:id="3"/>
    </w:p>
    <w:p w14:paraId="66A1EA9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bookmarkStart w:id="4" w:name="_Hlk37430271"/>
      <w:r>
        <w:rPr>
          <w:rFonts w:hint="eastAsia" w:ascii="宋体" w:hAnsi="宋体"/>
          <w:color w:val="auto"/>
          <w:szCs w:val="21"/>
        </w:rPr>
        <w:t>项目概况</w:t>
      </w:r>
    </w:p>
    <w:p w14:paraId="7A6D75C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rPr>
        <w:t>直线加速器维保</w:t>
      </w:r>
      <w:r>
        <w:rPr>
          <w:rFonts w:hint="eastAsia" w:ascii="宋体" w:hAnsi="宋体"/>
          <w:color w:val="auto"/>
          <w:szCs w:val="21"/>
          <w:lang w:val="en-US" w:eastAsia="zh-CN"/>
        </w:rPr>
        <w:t>一台</w:t>
      </w:r>
      <w:r>
        <w:rPr>
          <w:rFonts w:hint="eastAsia" w:ascii="宋体" w:hAnsi="宋体"/>
          <w:color w:val="auto"/>
          <w:szCs w:val="21"/>
        </w:rPr>
        <w:t>的</w:t>
      </w:r>
      <w:r>
        <w:rPr>
          <w:rFonts w:hint="eastAsia"/>
          <w:color w:val="auto"/>
        </w:rPr>
        <w:t>潜</w:t>
      </w:r>
      <w:r>
        <w:rPr>
          <w:rFonts w:hint="eastAsia" w:ascii="宋体" w:hAnsi="宋体"/>
          <w:color w:val="auto"/>
          <w:szCs w:val="21"/>
        </w:rPr>
        <w:t>在供应商应在广西政府采购云平台（</w:t>
      </w:r>
      <w:r>
        <w:rPr>
          <w:rFonts w:hint="eastAsia" w:ascii="宋体" w:hAnsi="宋体"/>
          <w:bCs/>
          <w:color w:val="auto"/>
          <w:szCs w:val="21"/>
        </w:rPr>
        <w:t>https://www.gcy.zfcg.gxzf.gov.cn/</w:t>
      </w:r>
      <w:r>
        <w:rPr>
          <w:rFonts w:hint="eastAsia" w:ascii="宋体" w:hAnsi="宋体"/>
          <w:color w:val="auto"/>
          <w:szCs w:val="21"/>
        </w:rPr>
        <w:t>）</w:t>
      </w:r>
      <w:r>
        <w:rPr>
          <w:color w:val="auto"/>
        </w:rPr>
        <w:fldChar w:fldCharType="begin"/>
      </w:r>
      <w:r>
        <w:rPr>
          <w:color w:val="auto"/>
        </w:rPr>
        <w:instrText xml:space="preserve"> HYPERLINK "http://www.zcygov.cn）获取（下载）竞争性磋商文件，并于2023年" </w:instrText>
      </w:r>
      <w:r>
        <w:rPr>
          <w:color w:val="auto"/>
        </w:rPr>
        <w:fldChar w:fldCharType="separate"/>
      </w:r>
      <w:r>
        <w:rPr>
          <w:rFonts w:hint="eastAsia" w:ascii="宋体" w:hAnsi="宋体"/>
          <w:color w:val="auto"/>
          <w:szCs w:val="21"/>
        </w:rPr>
        <w:t>获取（下载）竞争性磋商文件，并于202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rPr>
        <w:fldChar w:fldCharType="end"/>
      </w:r>
      <w:r>
        <w:rPr>
          <w:rFonts w:hint="eastAsia" w:ascii="宋体" w:hAnsi="宋体"/>
          <w:color w:val="auto"/>
          <w:szCs w:val="21"/>
          <w:lang w:val="en-US" w:eastAsia="zh-CN"/>
        </w:rPr>
        <w:t>1</w:t>
      </w:r>
      <w:r>
        <w:rPr>
          <w:rFonts w:ascii="宋体" w:hAnsi="宋体"/>
          <w:color w:val="auto"/>
        </w:rPr>
        <w:t>月</w:t>
      </w:r>
      <w:r>
        <w:rPr>
          <w:rFonts w:hint="eastAsia" w:ascii="宋体" w:hAnsi="宋体"/>
          <w:color w:val="auto"/>
          <w:lang w:val="en-US" w:eastAsia="zh-CN"/>
        </w:rPr>
        <w:t>10</w:t>
      </w:r>
      <w:r>
        <w:rPr>
          <w:rFonts w:ascii="宋体" w:hAnsi="宋体"/>
          <w:color w:val="auto"/>
        </w:rPr>
        <w:t>日</w:t>
      </w:r>
      <w:r>
        <w:rPr>
          <w:rFonts w:hint="eastAsia" w:ascii="宋体" w:hAnsi="宋体"/>
          <w:color w:val="auto"/>
        </w:rPr>
        <w:t>9时30分（北京时间）前提交（上传）响应文件。</w:t>
      </w:r>
    </w:p>
    <w:p w14:paraId="74AEB6A0">
      <w:pPr>
        <w:spacing w:line="360" w:lineRule="exact"/>
        <w:ind w:firstLine="424" w:firstLineChars="176"/>
        <w:rPr>
          <w:rFonts w:ascii="宋体" w:hAnsi="宋体"/>
          <w:color w:val="auto"/>
          <w:szCs w:val="21"/>
        </w:rPr>
      </w:pPr>
      <w:bookmarkStart w:id="5" w:name="_Toc44229878"/>
      <w:bookmarkStart w:id="6" w:name="_Toc35393798"/>
      <w:bookmarkStart w:id="7" w:name="_Toc71366166"/>
      <w:bookmarkStart w:id="8" w:name="_Toc35393629"/>
      <w:bookmarkStart w:id="9" w:name="_Toc28359012"/>
      <w:bookmarkStart w:id="10" w:name="_Toc28359089"/>
      <w:r>
        <w:rPr>
          <w:rFonts w:hint="eastAsia" w:ascii="宋体" w:hAnsi="宋体"/>
          <w:b/>
          <w:color w:val="auto"/>
          <w:sz w:val="24"/>
        </w:rPr>
        <w:t>一、项目基本情况</w:t>
      </w:r>
      <w:bookmarkEnd w:id="5"/>
      <w:bookmarkEnd w:id="6"/>
      <w:bookmarkEnd w:id="7"/>
      <w:bookmarkEnd w:id="8"/>
      <w:bookmarkEnd w:id="9"/>
      <w:bookmarkEnd w:id="10"/>
    </w:p>
    <w:p w14:paraId="2E566372">
      <w:pPr>
        <w:spacing w:line="360" w:lineRule="exact"/>
        <w:ind w:firstLine="420" w:firstLineChars="200"/>
        <w:rPr>
          <w:rFonts w:ascii="宋体" w:hAnsi="宋体"/>
          <w:color w:val="auto"/>
          <w:szCs w:val="21"/>
        </w:rPr>
      </w:pPr>
      <w:r>
        <w:rPr>
          <w:rFonts w:hint="eastAsia" w:ascii="宋体" w:hAnsi="宋体"/>
          <w:color w:val="auto"/>
          <w:szCs w:val="21"/>
        </w:rPr>
        <w:t>项目编号：</w:t>
      </w:r>
      <w:r>
        <w:rPr>
          <w:rFonts w:hint="eastAsia" w:ascii="宋体" w:hAnsi="宋体"/>
          <w:color w:val="auto"/>
          <w:szCs w:val="21"/>
          <w:lang w:eastAsia="zh-CN"/>
        </w:rPr>
        <w:t>GXZC2024-C3-006532-OBGC</w:t>
      </w:r>
      <w:r>
        <w:rPr>
          <w:rFonts w:hint="eastAsia" w:ascii="宋体" w:hAnsi="宋体"/>
          <w:color w:val="auto"/>
          <w:szCs w:val="21"/>
        </w:rPr>
        <w:t xml:space="preserve">  </w:t>
      </w:r>
    </w:p>
    <w:p w14:paraId="5BBC68A1">
      <w:pPr>
        <w:spacing w:line="360" w:lineRule="exact"/>
        <w:ind w:firstLine="420" w:firstLineChars="200"/>
        <w:rPr>
          <w:rFonts w:hint="default" w:ascii="宋体" w:hAnsi="宋体" w:eastAsia="宋体"/>
          <w:color w:val="auto"/>
          <w:szCs w:val="21"/>
          <w:lang w:val="en-US" w:eastAsia="zh-CN"/>
        </w:rPr>
      </w:pPr>
      <w:r>
        <w:rPr>
          <w:rFonts w:hint="eastAsia" w:ascii="宋体" w:hAnsi="宋体"/>
          <w:color w:val="auto"/>
          <w:szCs w:val="21"/>
        </w:rPr>
        <w:t>项目名称：直线加速器维保</w:t>
      </w:r>
      <w:r>
        <w:rPr>
          <w:rFonts w:hint="eastAsia" w:ascii="宋体" w:hAnsi="宋体"/>
          <w:color w:val="auto"/>
          <w:szCs w:val="21"/>
          <w:lang w:val="en-US" w:eastAsia="zh-CN"/>
        </w:rPr>
        <w:t>一台</w:t>
      </w:r>
    </w:p>
    <w:p w14:paraId="2F985921">
      <w:pPr>
        <w:spacing w:line="360" w:lineRule="exact"/>
        <w:ind w:firstLine="420" w:firstLineChars="200"/>
        <w:rPr>
          <w:rFonts w:ascii="宋体" w:hAnsi="宋体"/>
          <w:color w:val="auto"/>
          <w:szCs w:val="21"/>
        </w:rPr>
      </w:pPr>
      <w:r>
        <w:rPr>
          <w:rFonts w:hint="eastAsia" w:ascii="宋体" w:hAnsi="宋体"/>
          <w:color w:val="auto"/>
          <w:szCs w:val="21"/>
        </w:rPr>
        <w:t>采购方式：竞争性磋商</w:t>
      </w:r>
    </w:p>
    <w:p w14:paraId="1DEC8E68">
      <w:pPr>
        <w:spacing w:line="360" w:lineRule="exact"/>
        <w:ind w:firstLine="420" w:firstLineChars="200"/>
        <w:rPr>
          <w:rFonts w:ascii="宋体" w:hAnsi="宋体"/>
          <w:color w:val="auto"/>
          <w:szCs w:val="21"/>
        </w:rPr>
      </w:pPr>
      <w:r>
        <w:rPr>
          <w:rFonts w:hint="eastAsia" w:ascii="宋体" w:hAnsi="宋体"/>
          <w:color w:val="auto"/>
          <w:szCs w:val="21"/>
        </w:rPr>
        <w:t>预算金额：1845000.00</w:t>
      </w:r>
    </w:p>
    <w:p w14:paraId="188FF95D">
      <w:pPr>
        <w:spacing w:line="360" w:lineRule="exact"/>
        <w:ind w:firstLine="420" w:firstLineChars="200"/>
        <w:rPr>
          <w:rFonts w:ascii="宋体" w:hAnsi="宋体"/>
          <w:color w:val="auto"/>
          <w:szCs w:val="21"/>
        </w:rPr>
      </w:pPr>
      <w:r>
        <w:rPr>
          <w:rFonts w:hint="eastAsia" w:ascii="宋体" w:hAnsi="宋体"/>
          <w:color w:val="auto"/>
          <w:szCs w:val="21"/>
        </w:rPr>
        <w:t>最高限价：1830000.00</w:t>
      </w:r>
    </w:p>
    <w:p w14:paraId="241CACC7">
      <w:pPr>
        <w:spacing w:line="360" w:lineRule="exact"/>
        <w:ind w:firstLine="420" w:firstLineChars="200"/>
        <w:rPr>
          <w:rFonts w:ascii="宋体" w:hAnsi="宋体"/>
          <w:color w:val="auto"/>
          <w:szCs w:val="21"/>
        </w:rPr>
      </w:pPr>
      <w:r>
        <w:rPr>
          <w:rFonts w:hint="eastAsia" w:ascii="宋体" w:hAnsi="宋体"/>
          <w:color w:val="auto"/>
          <w:szCs w:val="21"/>
        </w:rPr>
        <w:t>采购需求：（1）标的的名称、数量及单位：直线加速器维保1</w:t>
      </w:r>
      <w:r>
        <w:rPr>
          <w:rFonts w:hint="eastAsia" w:ascii="宋体" w:hAnsi="宋体"/>
          <w:color w:val="auto"/>
          <w:szCs w:val="21"/>
          <w:lang w:val="en-US" w:eastAsia="zh-CN"/>
        </w:rPr>
        <w:t>台</w:t>
      </w:r>
      <w:r>
        <w:rPr>
          <w:rFonts w:hint="eastAsia" w:ascii="宋体" w:hAnsi="宋体"/>
          <w:color w:val="auto"/>
          <w:szCs w:val="21"/>
        </w:rPr>
        <w:t>。（2）简要技术需求或者服务要求：具体详见第三章采购需求。</w:t>
      </w:r>
    </w:p>
    <w:p w14:paraId="1456DEE7">
      <w:pPr>
        <w:spacing w:line="360" w:lineRule="exact"/>
        <w:ind w:firstLine="420" w:firstLineChars="200"/>
        <w:rPr>
          <w:rFonts w:ascii="宋体" w:hAnsi="宋体"/>
          <w:color w:val="auto"/>
          <w:szCs w:val="21"/>
        </w:rPr>
      </w:pPr>
      <w:r>
        <w:rPr>
          <w:rFonts w:hint="eastAsia" w:ascii="宋体" w:hAnsi="宋体"/>
          <w:color w:val="auto"/>
          <w:szCs w:val="21"/>
        </w:rPr>
        <w:t>合同履行期限：3年。</w:t>
      </w:r>
    </w:p>
    <w:p w14:paraId="00BB6F23">
      <w:pPr>
        <w:spacing w:line="360" w:lineRule="exact"/>
        <w:ind w:firstLine="420" w:firstLineChars="200"/>
        <w:rPr>
          <w:rFonts w:ascii="宋体" w:hAnsi="宋体"/>
          <w:color w:val="auto"/>
          <w:szCs w:val="21"/>
        </w:rPr>
      </w:pPr>
      <w:r>
        <w:rPr>
          <w:rFonts w:hint="eastAsia" w:ascii="宋体" w:hAnsi="宋体"/>
          <w:color w:val="auto"/>
          <w:szCs w:val="21"/>
        </w:rPr>
        <w:t>本项目不接受联合体。</w:t>
      </w:r>
    </w:p>
    <w:p w14:paraId="043BFC8F">
      <w:pPr>
        <w:spacing w:line="360" w:lineRule="exact"/>
        <w:ind w:firstLine="424" w:firstLineChars="176"/>
        <w:rPr>
          <w:rFonts w:ascii="宋体" w:hAnsi="宋体"/>
          <w:b/>
          <w:color w:val="auto"/>
          <w:sz w:val="24"/>
        </w:rPr>
      </w:pPr>
      <w:bookmarkStart w:id="11" w:name="_Toc28359090"/>
      <w:bookmarkStart w:id="12" w:name="_Toc35393630"/>
      <w:bookmarkStart w:id="13" w:name="_Toc71366167"/>
      <w:bookmarkStart w:id="14" w:name="_Toc35393799"/>
      <w:bookmarkStart w:id="15" w:name="_Toc44229879"/>
      <w:bookmarkStart w:id="16" w:name="_Toc28359013"/>
      <w:r>
        <w:rPr>
          <w:rFonts w:hint="eastAsia" w:ascii="宋体" w:hAnsi="宋体"/>
          <w:b/>
          <w:color w:val="auto"/>
          <w:sz w:val="24"/>
        </w:rPr>
        <w:t>二、申请人的资格条件：</w:t>
      </w:r>
      <w:bookmarkEnd w:id="11"/>
      <w:bookmarkEnd w:id="12"/>
      <w:bookmarkEnd w:id="13"/>
      <w:bookmarkEnd w:id="14"/>
      <w:bookmarkEnd w:id="15"/>
      <w:bookmarkEnd w:id="16"/>
    </w:p>
    <w:p w14:paraId="74FD5CEA">
      <w:pPr>
        <w:spacing w:line="360" w:lineRule="exact"/>
        <w:ind w:firstLine="420" w:firstLineChars="200"/>
        <w:rPr>
          <w:rFonts w:ascii="宋体" w:hAnsi="宋体"/>
          <w:color w:val="auto"/>
          <w:szCs w:val="21"/>
        </w:rPr>
      </w:pPr>
      <w:bookmarkStart w:id="17" w:name="_Toc35393800"/>
      <w:bookmarkStart w:id="18" w:name="_Toc28359014"/>
      <w:bookmarkStart w:id="19" w:name="_Toc35393631"/>
      <w:bookmarkStart w:id="20" w:name="_Toc28359091"/>
      <w:bookmarkStart w:id="21" w:name="_Toc44229880"/>
      <w:r>
        <w:rPr>
          <w:rFonts w:hint="eastAsia" w:ascii="宋体" w:hAnsi="宋体"/>
          <w:color w:val="auto"/>
          <w:szCs w:val="21"/>
        </w:rPr>
        <w:t>1.满足《中华人民共和国政府采购法》第二十二条规定；</w:t>
      </w:r>
    </w:p>
    <w:p w14:paraId="4A9B7017">
      <w:pPr>
        <w:spacing w:line="3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.落实政府采购政策需满足的资格要求：无；</w:t>
      </w:r>
    </w:p>
    <w:p w14:paraId="7E0D5C02">
      <w:pPr>
        <w:spacing w:line="360" w:lineRule="exact"/>
        <w:ind w:firstLine="420" w:firstLineChars="200"/>
        <w:rPr>
          <w:rFonts w:ascii="宋体" w:hAnsi="宋体"/>
          <w:color w:val="auto"/>
          <w:szCs w:val="21"/>
        </w:rPr>
      </w:pPr>
      <w:r>
        <w:rPr>
          <w:rFonts w:hint="eastAsia" w:ascii="宋体" w:hAnsi="宋体"/>
          <w:color w:val="auto"/>
          <w:szCs w:val="21"/>
        </w:rPr>
        <w:t>3.本项目的特定资格要求：</w:t>
      </w:r>
      <w:bookmarkStart w:id="22" w:name="_Toc71366168"/>
      <w:r>
        <w:rPr>
          <w:rFonts w:hint="eastAsia" w:ascii="宋体" w:hAnsi="宋体"/>
          <w:color w:val="auto"/>
          <w:szCs w:val="21"/>
        </w:rPr>
        <w:t>无。</w:t>
      </w:r>
    </w:p>
    <w:p w14:paraId="737B5E4E">
      <w:pPr>
        <w:spacing w:line="360" w:lineRule="exact"/>
        <w:ind w:firstLine="424" w:firstLineChars="176"/>
        <w:rPr>
          <w:rFonts w:ascii="宋体" w:hAnsi="宋体"/>
          <w:color w:val="auto"/>
          <w:szCs w:val="21"/>
          <w:u w:val="single"/>
        </w:rPr>
      </w:pPr>
      <w:r>
        <w:rPr>
          <w:rFonts w:hint="eastAsia" w:ascii="宋体" w:hAnsi="宋体"/>
          <w:b/>
          <w:color w:val="auto"/>
          <w:sz w:val="24"/>
        </w:rPr>
        <w:t>三、获取竞争性磋商文件</w:t>
      </w:r>
      <w:bookmarkEnd w:id="17"/>
      <w:bookmarkEnd w:id="18"/>
      <w:bookmarkEnd w:id="19"/>
      <w:bookmarkEnd w:id="20"/>
      <w:bookmarkEnd w:id="21"/>
      <w:bookmarkEnd w:id="22"/>
    </w:p>
    <w:p w14:paraId="4D5CB076">
      <w:pPr>
        <w:spacing w:line="360" w:lineRule="exact"/>
        <w:ind w:firstLine="420" w:firstLineChars="200"/>
        <w:rPr>
          <w:rFonts w:ascii="宋体" w:hAnsi="宋体" w:cs="宋体"/>
          <w:bCs/>
          <w:color w:val="auto"/>
          <w:kern w:val="0"/>
          <w:szCs w:val="21"/>
        </w:rPr>
      </w:pPr>
      <w:bookmarkStart w:id="23" w:name="_Toc28359015"/>
      <w:bookmarkStart w:id="24" w:name="_Toc35393801"/>
      <w:bookmarkStart w:id="25" w:name="_Toc35393632"/>
      <w:bookmarkStart w:id="26" w:name="_Toc44229881"/>
      <w:bookmarkStart w:id="27" w:name="_Toc28359092"/>
      <w:r>
        <w:rPr>
          <w:rFonts w:hint="eastAsia" w:ascii="宋体" w:hAnsi="宋体" w:cs="宋体"/>
          <w:bCs/>
          <w:color w:val="auto"/>
          <w:kern w:val="0"/>
          <w:szCs w:val="21"/>
        </w:rPr>
        <w:t>时间：</w:t>
      </w:r>
      <w:r>
        <w:rPr>
          <w:rFonts w:hint="eastAsia" w:ascii="宋体" w:hAnsi="宋体"/>
          <w:bCs/>
          <w:color w:val="auto"/>
          <w:szCs w:val="21"/>
        </w:rPr>
        <w:t>2024年</w:t>
      </w:r>
      <w:r>
        <w:rPr>
          <w:rFonts w:hint="eastAsia" w:ascii="宋体" w:hAnsi="宋体"/>
          <w:bCs/>
          <w:color w:val="auto"/>
          <w:szCs w:val="21"/>
          <w:lang w:val="en-US" w:eastAsia="zh-CN"/>
        </w:rPr>
        <w:t>12</w:t>
      </w:r>
      <w:r>
        <w:rPr>
          <w:rFonts w:hint="eastAsia" w:ascii="宋体" w:hAnsi="宋体"/>
          <w:bCs/>
          <w:color w:val="auto"/>
          <w:szCs w:val="21"/>
        </w:rPr>
        <w:t>月</w:t>
      </w:r>
      <w:r>
        <w:rPr>
          <w:rFonts w:hint="eastAsia" w:ascii="宋体" w:hAnsi="宋体"/>
          <w:bCs/>
          <w:color w:val="auto"/>
          <w:szCs w:val="21"/>
          <w:lang w:val="en-US" w:eastAsia="zh-CN"/>
        </w:rPr>
        <w:t>30</w:t>
      </w:r>
      <w:r>
        <w:rPr>
          <w:rFonts w:hint="eastAsia" w:ascii="宋体" w:hAnsi="宋体"/>
          <w:bCs/>
          <w:color w:val="auto"/>
          <w:szCs w:val="21"/>
        </w:rPr>
        <w:t>日</w:t>
      </w:r>
      <w:r>
        <w:rPr>
          <w:rFonts w:hint="eastAsia" w:ascii="宋体" w:hAnsi="宋体" w:cs="宋体"/>
          <w:bCs/>
          <w:color w:val="auto"/>
          <w:kern w:val="0"/>
          <w:szCs w:val="21"/>
        </w:rPr>
        <w:t>至</w:t>
      </w:r>
      <w:r>
        <w:rPr>
          <w:rFonts w:hint="eastAsia" w:ascii="宋体" w:hAnsi="宋体"/>
          <w:bCs/>
          <w:color w:val="auto"/>
          <w:szCs w:val="21"/>
        </w:rPr>
        <w:t>202</w:t>
      </w:r>
      <w:r>
        <w:rPr>
          <w:rFonts w:hint="eastAsia" w:ascii="宋体" w:hAnsi="宋体"/>
          <w:bCs/>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1</w:t>
      </w:r>
      <w:r>
        <w:rPr>
          <w:rFonts w:hint="eastAsia" w:ascii="宋体" w:hAnsi="宋体"/>
          <w:bCs/>
          <w:color w:val="auto"/>
          <w:szCs w:val="21"/>
        </w:rPr>
        <w:t>月</w:t>
      </w:r>
      <w:r>
        <w:rPr>
          <w:rFonts w:hint="eastAsia" w:ascii="宋体" w:hAnsi="宋体"/>
          <w:bCs/>
          <w:color w:val="auto"/>
          <w:szCs w:val="21"/>
          <w:lang w:val="en-US" w:eastAsia="zh-CN"/>
        </w:rPr>
        <w:t>10</w:t>
      </w:r>
      <w:bookmarkStart w:id="98" w:name="_GoBack"/>
      <w:bookmarkEnd w:id="98"/>
      <w:r>
        <w:rPr>
          <w:rFonts w:hint="eastAsia" w:ascii="宋体" w:hAnsi="宋体"/>
          <w:bCs/>
          <w:color w:val="auto"/>
          <w:szCs w:val="21"/>
        </w:rPr>
        <w:t>日</w:t>
      </w:r>
      <w:r>
        <w:rPr>
          <w:rFonts w:hint="eastAsia" w:ascii="宋体" w:hAnsi="宋体" w:cs="宋体"/>
          <w:bCs/>
          <w:color w:val="auto"/>
          <w:kern w:val="0"/>
          <w:szCs w:val="21"/>
        </w:rPr>
        <w:t>，每天上午</w:t>
      </w:r>
      <w:r>
        <w:rPr>
          <w:rFonts w:hint="eastAsia" w:ascii="宋体" w:hAnsi="宋体" w:cs="宋体"/>
          <w:color w:val="auto"/>
          <w:szCs w:val="21"/>
        </w:rPr>
        <w:t>9:00至11:59，下午12:00至17:00</w:t>
      </w:r>
      <w:r>
        <w:rPr>
          <w:rFonts w:hint="eastAsia" w:ascii="宋体" w:hAnsi="宋体" w:cs="宋体"/>
          <w:bCs/>
          <w:color w:val="auto"/>
          <w:kern w:val="0"/>
          <w:szCs w:val="21"/>
        </w:rPr>
        <w:t>（北京时间，</w:t>
      </w:r>
      <w:r>
        <w:rPr>
          <w:rFonts w:ascii="宋体" w:hAnsi="宋体" w:cs="宋体"/>
          <w:bCs/>
          <w:color w:val="auto"/>
          <w:kern w:val="0"/>
          <w:szCs w:val="21"/>
        </w:rPr>
        <w:t>法定节假日</w:t>
      </w:r>
      <w:r>
        <w:rPr>
          <w:rFonts w:hint="eastAsia" w:ascii="宋体" w:hAnsi="宋体" w:cs="宋体"/>
          <w:bCs/>
          <w:color w:val="auto"/>
          <w:kern w:val="0"/>
          <w:szCs w:val="21"/>
        </w:rPr>
        <w:t>除外）。</w:t>
      </w:r>
    </w:p>
    <w:p w14:paraId="1FB033A9">
      <w:pPr>
        <w:spacing w:line="360" w:lineRule="exact"/>
        <w:ind w:firstLine="420" w:firstLineChars="200"/>
        <w:rPr>
          <w:rFonts w:ascii="宋体" w:hAnsi="宋体" w:cs="宋体"/>
          <w:bCs/>
          <w:color w:val="auto"/>
          <w:kern w:val="0"/>
          <w:szCs w:val="21"/>
        </w:rPr>
      </w:pPr>
      <w:r>
        <w:rPr>
          <w:rFonts w:hint="eastAsia" w:ascii="宋体" w:hAnsi="宋体" w:cs="宋体"/>
          <w:bCs/>
          <w:color w:val="auto"/>
          <w:kern w:val="0"/>
          <w:szCs w:val="21"/>
        </w:rPr>
        <w:t>地点：</w:t>
      </w:r>
      <w:r>
        <w:rPr>
          <w:rFonts w:hint="eastAsia" w:ascii="宋体" w:hAnsi="宋体"/>
          <w:color w:val="auto"/>
          <w:szCs w:val="21"/>
        </w:rPr>
        <w:t>广西政府采购云平台（</w:t>
      </w:r>
      <w:r>
        <w:rPr>
          <w:rFonts w:hint="eastAsia" w:ascii="宋体" w:hAnsi="宋体"/>
          <w:bCs/>
          <w:color w:val="auto"/>
          <w:szCs w:val="21"/>
        </w:rPr>
        <w:t>https://www.gcy.zfcg.gxzf.gov.cn/</w:t>
      </w:r>
      <w:r>
        <w:rPr>
          <w:rFonts w:hint="eastAsia" w:ascii="宋体" w:hAnsi="宋体"/>
          <w:color w:val="auto"/>
          <w:szCs w:val="21"/>
        </w:rPr>
        <w:t>）</w:t>
      </w:r>
      <w:r>
        <w:rPr>
          <w:rFonts w:hint="eastAsia" w:ascii="宋体" w:hAnsi="宋体" w:cs="宋体"/>
          <w:bCs/>
          <w:color w:val="auto"/>
          <w:kern w:val="0"/>
          <w:szCs w:val="21"/>
        </w:rPr>
        <w:t>。</w:t>
      </w:r>
    </w:p>
    <w:p w14:paraId="5AA24F43">
      <w:pPr>
        <w:spacing w:line="360" w:lineRule="exact"/>
        <w:ind w:firstLine="420" w:firstLineChars="200"/>
        <w:rPr>
          <w:rFonts w:ascii="宋体" w:hAnsi="宋体" w:cs="宋体"/>
          <w:bCs/>
          <w:color w:val="auto"/>
          <w:kern w:val="0"/>
          <w:szCs w:val="21"/>
        </w:rPr>
      </w:pPr>
      <w:r>
        <w:rPr>
          <w:rFonts w:hint="eastAsia" w:ascii="宋体" w:hAnsi="宋体" w:cs="宋体"/>
          <w:bCs/>
          <w:color w:val="auto"/>
          <w:kern w:val="0"/>
          <w:szCs w:val="21"/>
        </w:rPr>
        <w:t>方式：网上下载。本项目不提供纸质文件，潜在供应商需在</w:t>
      </w:r>
      <w:r>
        <w:rPr>
          <w:rFonts w:hint="eastAsia" w:ascii="宋体" w:hAnsi="宋体"/>
          <w:color w:val="auto"/>
          <w:szCs w:val="21"/>
        </w:rPr>
        <w:t>广西政府采购云平台（</w:t>
      </w:r>
      <w:r>
        <w:rPr>
          <w:rFonts w:hint="eastAsia" w:ascii="宋体" w:hAnsi="宋体"/>
          <w:bCs/>
          <w:color w:val="auto"/>
          <w:szCs w:val="21"/>
        </w:rPr>
        <w:t>https://www.gcy.zfcg.gxzf.gov.cn/</w:t>
      </w:r>
      <w:r>
        <w:rPr>
          <w:rFonts w:hint="eastAsia" w:ascii="宋体" w:hAnsi="宋体"/>
          <w:color w:val="auto"/>
          <w:szCs w:val="21"/>
        </w:rPr>
        <w:t>）</w:t>
      </w:r>
      <w:r>
        <w:rPr>
          <w:rFonts w:ascii="宋体" w:cs="宋体"/>
          <w:bCs/>
          <w:color w:val="auto"/>
          <w:kern w:val="0"/>
          <w:szCs w:val="21"/>
        </w:rPr>
        <w:t>-</w:t>
      </w:r>
      <w:r>
        <w:rPr>
          <w:rFonts w:hint="eastAsia" w:ascii="宋体" w:hAnsi="宋体" w:cs="宋体"/>
          <w:bCs/>
          <w:color w:val="auto"/>
          <w:kern w:val="0"/>
          <w:szCs w:val="21"/>
        </w:rPr>
        <w:t>进入“项目采购”应用，在获取采购文件菜单中选择项目，获取竞争性磋商文件。</w:t>
      </w:r>
      <w:r>
        <w:rPr>
          <w:rFonts w:hint="eastAsia" w:ascii="宋体" w:hAnsi="宋体"/>
          <w:color w:val="auto"/>
          <w:szCs w:val="21"/>
        </w:rPr>
        <w:t>电子</w:t>
      </w:r>
      <w:r>
        <w:rPr>
          <w:rFonts w:hint="eastAsia"/>
          <w:color w:val="auto"/>
        </w:rPr>
        <w:t>响应文件</w:t>
      </w:r>
      <w:r>
        <w:rPr>
          <w:rFonts w:hint="eastAsia" w:ascii="宋体" w:hAnsi="宋体"/>
          <w:color w:val="auto"/>
          <w:szCs w:val="21"/>
        </w:rPr>
        <w:t>制作需要基于广西政府采购云平台获取的磋商文件编制，</w:t>
      </w:r>
      <w:r>
        <w:rPr>
          <w:rFonts w:hint="eastAsia" w:ascii="宋体" w:hAnsi="宋体" w:cs="宋体"/>
          <w:bCs/>
          <w:color w:val="auto"/>
          <w:kern w:val="0"/>
          <w:szCs w:val="21"/>
        </w:rPr>
        <w:t>通过其他方式获取磋商文件的，将有可能导致供应商无法在</w:t>
      </w:r>
      <w:r>
        <w:rPr>
          <w:rFonts w:hint="eastAsia" w:ascii="宋体" w:hAnsi="宋体"/>
          <w:color w:val="auto"/>
          <w:szCs w:val="21"/>
        </w:rPr>
        <w:t>广西政府采购云平台</w:t>
      </w:r>
      <w:r>
        <w:rPr>
          <w:rFonts w:hint="eastAsia" w:ascii="宋体" w:hAnsi="宋体" w:cs="宋体"/>
          <w:bCs/>
          <w:color w:val="auto"/>
          <w:kern w:val="0"/>
          <w:szCs w:val="21"/>
        </w:rPr>
        <w:t>编制及上传响应文件。</w:t>
      </w:r>
    </w:p>
    <w:p w14:paraId="6B691CDE">
      <w:pPr>
        <w:spacing w:line="360" w:lineRule="exact"/>
        <w:ind w:firstLine="420" w:firstLineChars="200"/>
        <w:rPr>
          <w:rFonts w:ascii="宋体" w:hAnsi="宋体" w:cs="宋体"/>
          <w:color w:val="auto"/>
          <w:szCs w:val="21"/>
        </w:rPr>
      </w:pPr>
      <w:r>
        <w:rPr>
          <w:rFonts w:hint="eastAsia" w:ascii="宋体" w:hAnsi="宋体" w:cs="宋体"/>
          <w:bCs/>
          <w:color w:val="auto"/>
          <w:kern w:val="0"/>
          <w:szCs w:val="21"/>
        </w:rPr>
        <w:t>售价：</w:t>
      </w:r>
      <w:r>
        <w:rPr>
          <w:rFonts w:hint="eastAsia" w:ascii="宋体" w:hAnsi="宋体" w:cs="宋体"/>
          <w:color w:val="auto"/>
          <w:szCs w:val="21"/>
          <w:u w:val="single"/>
        </w:rPr>
        <w:t>0</w:t>
      </w:r>
      <w:r>
        <w:rPr>
          <w:rFonts w:hint="eastAsia" w:ascii="宋体" w:hAnsi="宋体" w:cs="宋体"/>
          <w:color w:val="auto"/>
          <w:szCs w:val="21"/>
        </w:rPr>
        <w:t>元</w:t>
      </w:r>
    </w:p>
    <w:p w14:paraId="49EE5587">
      <w:pPr>
        <w:spacing w:line="360" w:lineRule="exact"/>
        <w:ind w:firstLine="361" w:firstLineChars="150"/>
        <w:rPr>
          <w:rFonts w:ascii="宋体" w:hAnsi="宋体"/>
          <w:b/>
          <w:color w:val="auto"/>
          <w:sz w:val="24"/>
        </w:rPr>
      </w:pPr>
      <w:bookmarkStart w:id="28" w:name="_Toc71366169"/>
      <w:r>
        <w:rPr>
          <w:rFonts w:hint="eastAsia" w:ascii="宋体" w:hAnsi="宋体"/>
          <w:b/>
          <w:color w:val="auto"/>
          <w:sz w:val="24"/>
        </w:rPr>
        <w:t>四、响应文件提交</w:t>
      </w:r>
      <w:bookmarkEnd w:id="23"/>
      <w:bookmarkEnd w:id="24"/>
      <w:bookmarkEnd w:id="25"/>
      <w:bookmarkEnd w:id="26"/>
      <w:bookmarkEnd w:id="27"/>
      <w:bookmarkEnd w:id="28"/>
    </w:p>
    <w:p w14:paraId="249929FD">
      <w:pPr>
        <w:spacing w:line="360" w:lineRule="exact"/>
        <w:ind w:firstLine="420" w:firstLineChars="200"/>
        <w:rPr>
          <w:rFonts w:ascii="宋体" w:hAnsi="宋体" w:cs="宋体"/>
          <w:bCs/>
          <w:color w:val="auto"/>
          <w:kern w:val="0"/>
          <w:szCs w:val="21"/>
        </w:rPr>
      </w:pPr>
      <w:bookmarkStart w:id="29" w:name="_Toc28359016"/>
      <w:bookmarkStart w:id="30" w:name="_Toc35393633"/>
      <w:bookmarkStart w:id="31" w:name="_Toc35393802"/>
      <w:bookmarkStart w:id="32" w:name="_Toc44229882"/>
      <w:bookmarkStart w:id="33" w:name="_Toc28359093"/>
      <w:r>
        <w:rPr>
          <w:rFonts w:hint="eastAsia" w:ascii="宋体" w:hAnsi="宋体" w:cs="宋体"/>
          <w:bCs/>
          <w:color w:val="auto"/>
          <w:kern w:val="0"/>
          <w:szCs w:val="21"/>
        </w:rPr>
        <w:t>1.截止时间：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w:t>
      </w:r>
      <w:r>
        <w:rPr>
          <w:rFonts w:hint="eastAsia" w:ascii="宋体" w:hAnsi="宋体"/>
          <w:bCs/>
          <w:color w:val="auto"/>
          <w:szCs w:val="21"/>
        </w:rPr>
        <w:t>9时30分</w:t>
      </w:r>
      <w:r>
        <w:rPr>
          <w:rFonts w:hint="eastAsia" w:ascii="宋体" w:hAnsi="宋体" w:cs="宋体"/>
          <w:bCs/>
          <w:color w:val="auto"/>
          <w:kern w:val="0"/>
          <w:szCs w:val="21"/>
        </w:rPr>
        <w:t>（北京时间）</w:t>
      </w:r>
    </w:p>
    <w:p w14:paraId="751D1343">
      <w:pPr>
        <w:spacing w:line="360" w:lineRule="exact"/>
        <w:ind w:firstLine="420" w:firstLineChars="200"/>
        <w:rPr>
          <w:rFonts w:ascii="宋体" w:hAnsi="宋体" w:cs="宋体"/>
          <w:bCs/>
          <w:color w:val="auto"/>
          <w:kern w:val="0"/>
          <w:szCs w:val="21"/>
        </w:rPr>
      </w:pPr>
      <w:r>
        <w:rPr>
          <w:rFonts w:hint="eastAsia" w:ascii="宋体" w:hAnsi="宋体" w:cs="宋体"/>
          <w:bCs/>
          <w:color w:val="auto"/>
          <w:kern w:val="0"/>
          <w:szCs w:val="21"/>
        </w:rPr>
        <w:t>2.地点：</w:t>
      </w:r>
      <w:r>
        <w:rPr>
          <w:rFonts w:hint="eastAsia" w:ascii="宋体" w:hAnsi="宋体"/>
          <w:color w:val="auto"/>
          <w:szCs w:val="21"/>
        </w:rPr>
        <w:t>广西政府采购云平台（</w:t>
      </w:r>
      <w:r>
        <w:rPr>
          <w:rFonts w:hint="eastAsia" w:ascii="宋体" w:hAnsi="宋体"/>
          <w:bCs/>
          <w:color w:val="auto"/>
          <w:szCs w:val="21"/>
        </w:rPr>
        <w:t>https://www.gcy.zfcg.gxzf.gov.cn/</w:t>
      </w:r>
      <w:r>
        <w:rPr>
          <w:rFonts w:hint="eastAsia" w:ascii="宋体" w:hAnsi="宋体"/>
          <w:color w:val="auto"/>
          <w:szCs w:val="21"/>
        </w:rPr>
        <w:t>）</w:t>
      </w:r>
    </w:p>
    <w:p w14:paraId="3CF2127E">
      <w:pPr>
        <w:spacing w:line="360" w:lineRule="exact"/>
        <w:ind w:firstLine="361" w:firstLineChars="150"/>
        <w:rPr>
          <w:rFonts w:ascii="宋体" w:hAnsi="宋体"/>
          <w:b/>
          <w:color w:val="auto"/>
          <w:sz w:val="24"/>
        </w:rPr>
      </w:pPr>
      <w:bookmarkStart w:id="34" w:name="_Toc71366170"/>
      <w:r>
        <w:rPr>
          <w:rFonts w:hint="eastAsia" w:ascii="宋体" w:hAnsi="宋体"/>
          <w:b/>
          <w:color w:val="auto"/>
          <w:sz w:val="24"/>
        </w:rPr>
        <w:t>五、开启</w:t>
      </w:r>
      <w:bookmarkEnd w:id="29"/>
      <w:bookmarkEnd w:id="30"/>
      <w:bookmarkEnd w:id="31"/>
      <w:bookmarkEnd w:id="32"/>
      <w:bookmarkEnd w:id="33"/>
      <w:bookmarkEnd w:id="34"/>
    </w:p>
    <w:p w14:paraId="794351CA">
      <w:pPr>
        <w:spacing w:line="360" w:lineRule="exact"/>
        <w:ind w:firstLine="420" w:firstLineChars="200"/>
        <w:rPr>
          <w:rFonts w:ascii="宋体" w:hAnsi="宋体"/>
          <w:bCs/>
          <w:color w:val="auto"/>
          <w:szCs w:val="21"/>
          <w:u w:val="single"/>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时间：202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w:t>
      </w:r>
      <w:r>
        <w:rPr>
          <w:rFonts w:hint="eastAsia" w:ascii="宋体" w:hAnsi="宋体"/>
          <w:bCs/>
          <w:color w:val="auto"/>
          <w:szCs w:val="21"/>
        </w:rPr>
        <w:t>9时30分（北京时间）</w:t>
      </w:r>
    </w:p>
    <w:p w14:paraId="3EC031B2">
      <w:pPr>
        <w:spacing w:line="360" w:lineRule="exact"/>
        <w:ind w:firstLine="420" w:firstLineChars="200"/>
        <w:rPr>
          <w:rFonts w:ascii="宋体" w:hAnsi="宋体"/>
          <w:bCs/>
          <w:color w:val="auto"/>
          <w:szCs w:val="21"/>
          <w:u w:val="single"/>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地点：广西政府采购云平台（</w:t>
      </w:r>
      <w:r>
        <w:rPr>
          <w:rFonts w:hint="eastAsia" w:ascii="宋体" w:hAnsi="宋体"/>
          <w:bCs/>
          <w:color w:val="auto"/>
          <w:szCs w:val="21"/>
        </w:rPr>
        <w:t>https://www.gcy.zfcg.gxzf.gov.cn/</w:t>
      </w:r>
      <w:r>
        <w:rPr>
          <w:rFonts w:hint="eastAsia" w:ascii="宋体" w:hAnsi="宋体"/>
          <w:color w:val="auto"/>
          <w:szCs w:val="21"/>
        </w:rPr>
        <w:t>）</w:t>
      </w:r>
    </w:p>
    <w:p w14:paraId="7DEFB941">
      <w:pPr>
        <w:spacing w:line="360" w:lineRule="exact"/>
        <w:ind w:firstLine="361" w:firstLineChars="150"/>
        <w:rPr>
          <w:rFonts w:ascii="宋体" w:hAnsi="宋体"/>
          <w:b/>
          <w:color w:val="auto"/>
          <w:sz w:val="24"/>
        </w:rPr>
      </w:pPr>
      <w:bookmarkStart w:id="35" w:name="_Toc35393634"/>
      <w:bookmarkStart w:id="36" w:name="_Toc28359094"/>
      <w:bookmarkStart w:id="37" w:name="_Toc35393803"/>
      <w:bookmarkStart w:id="38" w:name="_Toc28359017"/>
      <w:bookmarkStart w:id="39" w:name="_Toc44229883"/>
      <w:bookmarkStart w:id="40" w:name="_Toc71366171"/>
      <w:r>
        <w:rPr>
          <w:rFonts w:hint="eastAsia" w:ascii="宋体" w:hAnsi="宋体"/>
          <w:b/>
          <w:color w:val="auto"/>
          <w:sz w:val="24"/>
        </w:rPr>
        <w:t>六、公告期限</w:t>
      </w:r>
      <w:bookmarkEnd w:id="35"/>
      <w:bookmarkEnd w:id="36"/>
      <w:bookmarkEnd w:id="37"/>
      <w:bookmarkEnd w:id="38"/>
      <w:bookmarkEnd w:id="39"/>
      <w:bookmarkEnd w:id="40"/>
    </w:p>
    <w:p w14:paraId="5EEF3EE9">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自本公告发布之日起3个工作日。</w:t>
      </w:r>
    </w:p>
    <w:p w14:paraId="07DFBE64">
      <w:pPr>
        <w:spacing w:line="360" w:lineRule="exact"/>
        <w:ind w:firstLine="361" w:firstLineChars="150"/>
        <w:rPr>
          <w:rFonts w:ascii="宋体" w:hAnsi="宋体"/>
          <w:b/>
          <w:color w:val="auto"/>
          <w:sz w:val="24"/>
        </w:rPr>
      </w:pPr>
      <w:bookmarkStart w:id="41" w:name="_Toc35393804"/>
      <w:bookmarkStart w:id="42" w:name="_Toc71366172"/>
      <w:bookmarkStart w:id="43" w:name="_Toc44229884"/>
      <w:bookmarkStart w:id="44" w:name="_Toc35393635"/>
      <w:r>
        <w:rPr>
          <w:rFonts w:hint="eastAsia" w:ascii="宋体" w:hAnsi="宋体"/>
          <w:b/>
          <w:color w:val="auto"/>
          <w:sz w:val="24"/>
        </w:rPr>
        <w:t>七、其他补充事宜</w:t>
      </w:r>
      <w:bookmarkEnd w:id="41"/>
      <w:bookmarkEnd w:id="42"/>
      <w:bookmarkEnd w:id="43"/>
      <w:bookmarkEnd w:id="44"/>
    </w:p>
    <w:p w14:paraId="1EE299BF">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1.磋商保证金：</w:t>
      </w:r>
    </w:p>
    <w:p w14:paraId="0871101A">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磋商保证金：人民币</w:t>
      </w:r>
      <w:r>
        <w:rPr>
          <w:rFonts w:hint="eastAsia" w:ascii="宋体" w:hAnsi="宋体"/>
          <w:color w:val="auto"/>
          <w:szCs w:val="21"/>
        </w:rPr>
        <w:t>壹万捌仟叁佰元整（¥18300.00）</w:t>
      </w:r>
      <w:r>
        <w:rPr>
          <w:rFonts w:hint="eastAsia" w:ascii="宋体" w:hAnsi="宋体" w:cs="宋体"/>
          <w:color w:val="auto"/>
          <w:kern w:val="0"/>
          <w:szCs w:val="21"/>
        </w:rPr>
        <w:t>（须足额交纳）。</w:t>
      </w:r>
      <w:r>
        <w:rPr>
          <w:rFonts w:hint="eastAsia" w:ascii="宋体" w:hAnsi="宋体"/>
          <w:color w:val="auto"/>
          <w:szCs w:val="21"/>
        </w:rPr>
        <w:t>磋商保证金的交纳方式：银行转账、支票、汇票、本票或者金融、担保机构出具的保函（包含电子保函），禁止采用现钞方式。</w:t>
      </w:r>
    </w:p>
    <w:p w14:paraId="51F3992F">
      <w:pPr>
        <w:spacing w:line="360" w:lineRule="exact"/>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网上查询地址</w:t>
      </w:r>
    </w:p>
    <w:p w14:paraId="28943D1F">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www.ccgp.gov.cn（中国政府采购网）、zfcg.gxzf.gov.cn（广西壮族自治区政府采购网）。</w:t>
      </w:r>
    </w:p>
    <w:p w14:paraId="5BA0D399">
      <w:pPr>
        <w:spacing w:line="360" w:lineRule="exact"/>
        <w:ind w:firstLine="424" w:firstLineChars="202"/>
        <w:rPr>
          <w:rFonts w:ascii="宋体" w:hAnsi="宋体" w:cs="宋体"/>
          <w:i/>
          <w:color w:val="auto"/>
          <w:kern w:val="0"/>
          <w:szCs w:val="21"/>
        </w:rPr>
      </w:pPr>
      <w:bookmarkStart w:id="45" w:name="_Hlk37429674"/>
      <w:bookmarkStart w:id="46" w:name="_Toc28359018"/>
      <w:bookmarkStart w:id="47" w:name="_Toc35393636"/>
      <w:bookmarkStart w:id="48" w:name="_Toc35393805"/>
      <w:bookmarkStart w:id="49" w:name="_Toc28359095"/>
      <w:bookmarkStart w:id="50" w:name="_Toc44229885"/>
      <w:r>
        <w:rPr>
          <w:rFonts w:ascii="宋体" w:hAnsi="宋体"/>
          <w:color w:val="auto"/>
          <w:szCs w:val="21"/>
        </w:rPr>
        <w:t>3.</w:t>
      </w:r>
      <w:r>
        <w:rPr>
          <w:rFonts w:hint="eastAsia" w:ascii="宋体" w:hAnsi="宋体" w:cs="宋体"/>
          <w:color w:val="auto"/>
          <w:kern w:val="0"/>
          <w:szCs w:val="21"/>
        </w:rPr>
        <w:t>本项目需要落实的政府采购政策</w:t>
      </w:r>
    </w:p>
    <w:bookmarkEnd w:id="45"/>
    <w:p w14:paraId="3918A0E3">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（1）政府采购促进中小企业发展（本项目非专门面向中小企业采购）。</w:t>
      </w:r>
    </w:p>
    <w:p w14:paraId="43AA5158">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（2）政府采购支持采用本国产品的政策。</w:t>
      </w:r>
    </w:p>
    <w:p w14:paraId="45821AE7">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06B2849E">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（4）政府采购促进残疾人就业政策。</w:t>
      </w:r>
    </w:p>
    <w:p w14:paraId="6AFDFA5B">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（5）政府采购支持监狱企业发展。</w:t>
      </w:r>
    </w:p>
    <w:p w14:paraId="0A10368F">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（6）政府采购扶持不发达地区和少数民族地区政策。</w:t>
      </w:r>
    </w:p>
    <w:p w14:paraId="7AC68DA1">
      <w:pPr>
        <w:spacing w:line="360" w:lineRule="exact"/>
        <w:ind w:firstLine="420" w:firstLineChars="200"/>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资格条件特别说明</w:t>
      </w:r>
    </w:p>
    <w:p w14:paraId="2E2A7452">
      <w:pPr>
        <w:spacing w:line="360" w:lineRule="exact"/>
        <w:rPr>
          <w:rFonts w:ascii="宋体" w:hAnsi="宋体" w:cs="宋体"/>
          <w:color w:val="auto"/>
          <w:kern w:val="0"/>
          <w:szCs w:val="21"/>
        </w:rPr>
      </w:pPr>
      <w:r>
        <w:rPr>
          <w:rFonts w:hint="eastAsia" w:ascii="宋体" w:hAnsi="宋体" w:cs="宋体"/>
          <w:color w:val="auto"/>
          <w:kern w:val="0"/>
          <w:szCs w:val="21"/>
        </w:rPr>
        <w:t xml:space="preserve">    （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ACAB5C4">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627692F">
      <w:pPr>
        <w:spacing w:line="360" w:lineRule="exact"/>
        <w:ind w:firstLine="420" w:firstLineChars="200"/>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供应商竞标注意事项</w:t>
      </w:r>
    </w:p>
    <w:p w14:paraId="3BFE8FB9">
      <w:pPr>
        <w:widowControl/>
        <w:wordWrap w:val="0"/>
        <w:spacing w:line="38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）本项目为全流程电子化采购项目，通过广西政府采购云平台（</w:t>
      </w:r>
      <w:r>
        <w:rPr>
          <w:rFonts w:hint="eastAsia" w:ascii="宋体" w:hAnsi="宋体"/>
          <w:bCs/>
          <w:color w:val="auto"/>
          <w:szCs w:val="21"/>
        </w:rPr>
        <w:t>https://www.gcy.zfcg.gxzf.gov.cn/</w:t>
      </w:r>
      <w:r>
        <w:rPr>
          <w:rFonts w:hint="eastAsia" w:ascii="宋体" w:hAnsi="宋体"/>
          <w:color w:val="auto"/>
          <w:szCs w:val="21"/>
        </w:rPr>
        <w:t>）实行在线电子竞标，并按照本项目竞争性磋商文件和广西政府采购云平台的要求编制、加密后在提交响应文件截止时间前通过网络上传至广西政府采购云平台（加密的电子响应文件是指</w:t>
      </w:r>
      <w:r>
        <w:rPr>
          <w:rFonts w:hint="eastAsia"/>
          <w:color w:val="auto"/>
        </w:rPr>
        <w:t>后缀名为“</w:t>
      </w:r>
      <w:r>
        <w:rPr>
          <w:color w:val="auto"/>
        </w:rPr>
        <w:t>jmbs</w:t>
      </w:r>
      <w:r>
        <w:rPr>
          <w:rFonts w:hint="eastAsia"/>
          <w:color w:val="auto"/>
        </w:rPr>
        <w:t>”的文件</w:t>
      </w:r>
      <w:r>
        <w:rPr>
          <w:rFonts w:hint="eastAsia" w:ascii="宋体" w:hAnsi="宋体"/>
          <w:color w:val="auto"/>
          <w:szCs w:val="21"/>
        </w:rPr>
        <w:t>），</w:t>
      </w:r>
      <w:r>
        <w:rPr>
          <w:rFonts w:hint="eastAsia" w:ascii="宋体" w:hAnsi="宋体"/>
          <w:b/>
          <w:color w:val="auto"/>
          <w:szCs w:val="21"/>
        </w:rPr>
        <w:t>供应商在广西政府采购云平台提交电子响应文件时，请填写参加远程采购活动经办人联系方式。</w:t>
      </w:r>
      <w:r>
        <w:rPr>
          <w:rFonts w:hint="eastAsia" w:ascii="宋体" w:hAnsi="宋体"/>
          <w:color w:val="auto"/>
          <w:szCs w:val="21"/>
        </w:rPr>
        <w:t>供应商登录广西政府采购云平台，依次进入“服务中心</w:t>
      </w:r>
      <w:r>
        <w:rPr>
          <w:rFonts w:ascii="宋体"/>
          <w:color w:val="auto"/>
          <w:szCs w:val="21"/>
        </w:rPr>
        <w:t>-</w:t>
      </w:r>
      <w:r>
        <w:rPr>
          <w:rFonts w:hint="eastAsia" w:ascii="宋体" w:hAnsi="宋体"/>
          <w:color w:val="auto"/>
          <w:szCs w:val="21"/>
        </w:rPr>
        <w:t>项目采购</w:t>
      </w:r>
      <w:r>
        <w:rPr>
          <w:rFonts w:ascii="宋体"/>
          <w:color w:val="auto"/>
          <w:szCs w:val="21"/>
        </w:rPr>
        <w:t>-</w:t>
      </w:r>
      <w:r>
        <w:rPr>
          <w:rFonts w:hint="eastAsia" w:ascii="宋体" w:hAnsi="宋体"/>
          <w:color w:val="auto"/>
          <w:szCs w:val="21"/>
        </w:rPr>
        <w:t>操作流程</w:t>
      </w:r>
      <w:r>
        <w:rPr>
          <w:rFonts w:ascii="宋体"/>
          <w:color w:val="auto"/>
          <w:szCs w:val="21"/>
        </w:rPr>
        <w:t>-</w:t>
      </w:r>
      <w:r>
        <w:rPr>
          <w:rFonts w:hint="eastAsia" w:ascii="宋体" w:hAnsi="宋体"/>
          <w:color w:val="auto"/>
          <w:szCs w:val="21"/>
        </w:rPr>
        <w:t>电子招投标</w:t>
      </w:r>
      <w:r>
        <w:rPr>
          <w:rFonts w:ascii="宋体"/>
          <w:color w:val="auto"/>
          <w:szCs w:val="21"/>
        </w:rPr>
        <w:t>-</w:t>
      </w:r>
      <w:r>
        <w:rPr>
          <w:rFonts w:hint="eastAsia"/>
          <w:color w:val="auto"/>
        </w:rPr>
        <w:t>政府采购项目电子交易管理操作指南</w:t>
      </w:r>
      <w:r>
        <w:rPr>
          <w:color w:val="auto"/>
        </w:rPr>
        <w:t>-</w:t>
      </w:r>
      <w:r>
        <w:rPr>
          <w:rFonts w:hint="eastAsia"/>
          <w:color w:val="auto"/>
        </w:rPr>
        <w:t>供应商</w:t>
      </w:r>
      <w:r>
        <w:rPr>
          <w:rFonts w:hint="eastAsia" w:ascii="宋体" w:hAnsi="宋体"/>
          <w:color w:val="auto"/>
          <w:szCs w:val="21"/>
        </w:rPr>
        <w:t>”查看电子竞标具体操作流程。</w:t>
      </w:r>
    </w:p>
    <w:p w14:paraId="317D7A55">
      <w:pPr>
        <w:widowControl/>
        <w:wordWrap w:val="0"/>
        <w:spacing w:line="38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）未进行网上注册并办理数字证书（</w:t>
      </w:r>
      <w:r>
        <w:rPr>
          <w:rFonts w:ascii="宋体" w:hAnsi="宋体"/>
          <w:color w:val="auto"/>
          <w:szCs w:val="21"/>
        </w:rPr>
        <w:t>CA</w:t>
      </w:r>
      <w:r>
        <w:rPr>
          <w:rFonts w:hint="eastAsia" w:ascii="宋体" w:hAnsi="宋体"/>
          <w:color w:val="auto"/>
          <w:szCs w:val="21"/>
        </w:rPr>
        <w:t>认证）的供应商将无法参与本项目政府采购活动，供应商应当在提交响应文件截止时间前，完成电子交易平台上的</w:t>
      </w:r>
      <w:r>
        <w:rPr>
          <w:rFonts w:ascii="宋体" w:hAnsi="宋体"/>
          <w:color w:val="auto"/>
          <w:szCs w:val="21"/>
        </w:rPr>
        <w:t>CA</w:t>
      </w:r>
      <w:r>
        <w:rPr>
          <w:rFonts w:hint="eastAsia" w:ascii="宋体" w:hAnsi="宋体"/>
          <w:color w:val="auto"/>
          <w:szCs w:val="21"/>
        </w:rPr>
        <w:t>数字证书办理及响应文件的提交（供应商可登录“广西政府采购网”，依次进入“办事服务</w:t>
      </w:r>
      <w:r>
        <w:rPr>
          <w:rFonts w:ascii="宋体"/>
          <w:color w:val="auto"/>
          <w:szCs w:val="21"/>
        </w:rPr>
        <w:t>-</w:t>
      </w:r>
      <w:r>
        <w:rPr>
          <w:rFonts w:hint="eastAsia" w:ascii="宋体" w:hAnsi="宋体"/>
          <w:color w:val="auto"/>
          <w:szCs w:val="21"/>
        </w:rPr>
        <w:t>下载专区”或者登录广西政府采购云平台</w:t>
      </w:r>
      <w:r>
        <w:rPr>
          <w:rFonts w:hint="eastAsia" w:ascii="宋体" w:hAnsi="宋体" w:cs="宋体"/>
          <w:color w:val="auto"/>
          <w:kern w:val="0"/>
          <w:szCs w:val="21"/>
        </w:rPr>
        <w:t>，</w:t>
      </w:r>
      <w:r>
        <w:rPr>
          <w:rFonts w:hint="eastAsia" w:ascii="宋体" w:hAnsi="宋体"/>
          <w:color w:val="auto"/>
          <w:szCs w:val="21"/>
        </w:rPr>
        <w:t>依次进入“服务中心</w:t>
      </w:r>
      <w:r>
        <w:rPr>
          <w:rFonts w:ascii="宋体"/>
          <w:color w:val="auto"/>
          <w:szCs w:val="21"/>
        </w:rPr>
        <w:t>-</w:t>
      </w:r>
      <w:r>
        <w:rPr>
          <w:rFonts w:hint="eastAsia" w:ascii="宋体" w:hAnsi="宋体"/>
          <w:color w:val="auto"/>
          <w:szCs w:val="21"/>
        </w:rPr>
        <w:t>入驻与配置”中查看</w:t>
      </w:r>
      <w:r>
        <w:rPr>
          <w:rFonts w:ascii="宋体" w:hAnsi="宋体"/>
          <w:color w:val="auto"/>
          <w:szCs w:val="21"/>
        </w:rPr>
        <w:t>CA</w:t>
      </w:r>
      <w:r>
        <w:rPr>
          <w:rFonts w:hint="eastAsia" w:ascii="宋体" w:hAnsi="宋体"/>
          <w:color w:val="auto"/>
          <w:szCs w:val="21"/>
        </w:rPr>
        <w:t>数字证书办理操作流程。</w:t>
      </w:r>
      <w:r>
        <w:rPr>
          <w:rFonts w:hint="eastAsia" w:ascii="宋体" w:hAnsi="宋体" w:cs="宋体"/>
          <w:bCs/>
          <w:color w:val="auto"/>
          <w:kern w:val="0"/>
          <w:szCs w:val="21"/>
        </w:rPr>
        <w:t>如在操作过程中遇到问题或者需要技术支持，请致电客服热线：</w:t>
      </w:r>
      <w:r>
        <w:rPr>
          <w:rFonts w:ascii="宋体" w:hAnsi="宋体" w:cs="宋体"/>
          <w:bCs/>
          <w:color w:val="auto"/>
          <w:kern w:val="0"/>
          <w:szCs w:val="21"/>
        </w:rPr>
        <w:t>95763</w:t>
      </w:r>
      <w:r>
        <w:rPr>
          <w:rFonts w:hint="eastAsia" w:ascii="宋体" w:hAnsi="宋体" w:cs="宋体"/>
          <w:bCs/>
          <w:color w:val="auto"/>
          <w:kern w:val="0"/>
          <w:szCs w:val="21"/>
        </w:rPr>
        <w:t>、0771-3381253</w:t>
      </w:r>
      <w:r>
        <w:rPr>
          <w:rFonts w:hint="eastAsia" w:ascii="宋体" w:hAnsi="宋体"/>
          <w:color w:val="auto"/>
          <w:szCs w:val="21"/>
        </w:rPr>
        <w:t>）。</w:t>
      </w:r>
    </w:p>
    <w:p w14:paraId="1A930050">
      <w:pPr>
        <w:wordWrap w:val="0"/>
        <w:snapToGrid w:val="0"/>
        <w:spacing w:line="380" w:lineRule="exact"/>
        <w:ind w:firstLine="420" w:firstLineChars="200"/>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CA</w:t>
      </w:r>
      <w:r>
        <w:rPr>
          <w:rFonts w:hint="eastAsia" w:ascii="宋体" w:hAnsi="宋体" w:cs="宋体"/>
          <w:color w:val="auto"/>
          <w:kern w:val="0"/>
          <w:szCs w:val="21"/>
        </w:rPr>
        <w:t>证书在线解密：首次响应文件开启时，需携带制作响应文件时用来加密的有效数字证书（</w:t>
      </w:r>
      <w:r>
        <w:rPr>
          <w:rFonts w:ascii="宋体" w:hAnsi="宋体" w:cs="宋体"/>
          <w:color w:val="auto"/>
          <w:kern w:val="0"/>
          <w:szCs w:val="21"/>
        </w:rPr>
        <w:t>CA</w:t>
      </w:r>
      <w:r>
        <w:rPr>
          <w:rFonts w:hint="eastAsia" w:ascii="宋体" w:hAnsi="宋体" w:cs="宋体"/>
          <w:color w:val="auto"/>
          <w:kern w:val="0"/>
          <w:szCs w:val="21"/>
        </w:rPr>
        <w:t>认证）登录</w:t>
      </w:r>
      <w:r>
        <w:rPr>
          <w:rFonts w:hint="eastAsia" w:ascii="宋体" w:hAnsi="宋体"/>
          <w:color w:val="auto"/>
          <w:szCs w:val="21"/>
        </w:rPr>
        <w:t>广西政府采购云平台</w:t>
      </w:r>
      <w:r>
        <w:rPr>
          <w:rFonts w:hint="eastAsia" w:ascii="宋体" w:hAnsi="宋体" w:cs="宋体"/>
          <w:color w:val="auto"/>
          <w:kern w:val="0"/>
          <w:szCs w:val="21"/>
        </w:rPr>
        <w:t>电子开标大厅现场按规定时间对加密的响应文件进行解密，否则后果自负。</w:t>
      </w:r>
    </w:p>
    <w:p w14:paraId="508FD0A2">
      <w:pPr>
        <w:widowControl/>
        <w:wordWrap w:val="0"/>
        <w:spacing w:line="380" w:lineRule="exact"/>
        <w:ind w:firstLine="420" w:firstLineChars="200"/>
        <w:jc w:val="left"/>
        <w:rPr>
          <w:rFonts w:ascii="宋体"/>
          <w:bCs/>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）为确保网上操作合法、有效和安全，请供应商确保在电子竞标过程中能够对相关数据电文进行加密和使用电子签章，妥善保管</w:t>
      </w:r>
      <w:r>
        <w:rPr>
          <w:rFonts w:ascii="宋体" w:hAnsi="宋体"/>
          <w:color w:val="auto"/>
          <w:szCs w:val="21"/>
        </w:rPr>
        <w:t>CA</w:t>
      </w:r>
      <w:r>
        <w:rPr>
          <w:rFonts w:hint="eastAsia" w:ascii="宋体" w:hAnsi="宋体"/>
          <w:color w:val="auto"/>
          <w:szCs w:val="21"/>
        </w:rPr>
        <w:t>数字证书并使用有效的</w:t>
      </w:r>
      <w:r>
        <w:rPr>
          <w:rFonts w:ascii="宋体" w:hAnsi="宋体"/>
          <w:color w:val="auto"/>
          <w:szCs w:val="21"/>
        </w:rPr>
        <w:t>CA</w:t>
      </w:r>
      <w:r>
        <w:rPr>
          <w:rFonts w:hint="eastAsia" w:ascii="宋体" w:hAnsi="宋体"/>
          <w:color w:val="auto"/>
          <w:szCs w:val="21"/>
        </w:rPr>
        <w:t>数字证书参与整个采购活动。</w:t>
      </w:r>
      <w:r>
        <w:rPr>
          <w:rFonts w:ascii="宋体" w:hAnsi="宋体"/>
          <w:color w:val="auto"/>
          <w:szCs w:val="21"/>
        </w:rPr>
        <w:t>2</w:t>
      </w:r>
      <w:r>
        <w:rPr>
          <w:rFonts w:hint="eastAsia" w:ascii="宋体" w:hAnsi="宋体"/>
          <w:color w:val="auto"/>
          <w:szCs w:val="21"/>
        </w:rPr>
        <w:t>）</w:t>
      </w:r>
      <w:r>
        <w:rPr>
          <w:rFonts w:hint="eastAsia" w:ascii="宋体" w:hAnsi="宋体"/>
          <w:bCs/>
          <w:color w:val="auto"/>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止未完成提交（上传）的，视为撤回响应文件。提交响应文件截止时间以后提交（上传）的响应文件，</w:t>
      </w:r>
      <w:r>
        <w:rPr>
          <w:rFonts w:hint="eastAsia" w:ascii="宋体" w:hAnsi="宋体"/>
          <w:color w:val="auto"/>
          <w:szCs w:val="21"/>
        </w:rPr>
        <w:t>广西政府采购云平台</w:t>
      </w:r>
      <w:r>
        <w:rPr>
          <w:rFonts w:hint="eastAsia" w:ascii="宋体" w:hAnsi="宋体"/>
          <w:bCs/>
          <w:color w:val="auto"/>
          <w:szCs w:val="21"/>
        </w:rPr>
        <w:t>将予以拒收。</w:t>
      </w:r>
    </w:p>
    <w:p w14:paraId="28B0E3B1">
      <w:pPr>
        <w:wordWrap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）供应商需要在具备有摄像头及语音功能且互联网网络状况良好的电脑登录</w:t>
      </w:r>
      <w:r>
        <w:rPr>
          <w:rFonts w:hint="eastAsia" w:ascii="宋体" w:hAnsi="宋体"/>
          <w:bCs/>
          <w:color w:val="auto"/>
          <w:szCs w:val="21"/>
        </w:rPr>
        <w:t>广西政府采购云平台</w:t>
      </w:r>
      <w:r>
        <w:rPr>
          <w:rFonts w:hint="eastAsia" w:ascii="宋体" w:hAnsi="宋体" w:cs="宋体"/>
          <w:color w:val="auto"/>
          <w:kern w:val="0"/>
          <w:szCs w:val="21"/>
        </w:rPr>
        <w:t>远程开标大厅参与本次磋商，否则后果自负。</w:t>
      </w:r>
    </w:p>
    <w:p w14:paraId="71A68C69">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6.</w:t>
      </w:r>
      <w:r>
        <w:rPr>
          <w:rFonts w:hint="eastAsia" w:ascii="宋体" w:hAnsi="宋体" w:cs="宋体"/>
          <w:color w:val="auto"/>
        </w:rPr>
        <w:t>本项目代理服务费</w:t>
      </w:r>
      <w:r>
        <w:rPr>
          <w:rFonts w:ascii="宋体" w:hAnsi="宋体" w:cs="宋体"/>
          <w:color w:val="auto"/>
          <w:kern w:val="0"/>
          <w:szCs w:val="21"/>
        </w:rPr>
        <w:t>按签订的采购代理协议</w:t>
      </w:r>
      <w:r>
        <w:rPr>
          <w:rFonts w:hint="eastAsia" w:ascii="宋体" w:hAnsi="宋体" w:cs="宋体"/>
          <w:color w:val="auto"/>
        </w:rPr>
        <w:t>由成交供应商</w:t>
      </w:r>
      <w:r>
        <w:rPr>
          <w:rFonts w:hint="eastAsia" w:ascii="宋体" w:hAnsi="宋体" w:cs="宋体"/>
          <w:color w:val="auto"/>
          <w:kern w:val="0"/>
          <w:szCs w:val="21"/>
        </w:rPr>
        <w:t>在成交</w:t>
      </w:r>
      <w:r>
        <w:rPr>
          <w:rFonts w:ascii="宋体" w:hAnsi="宋体" w:cs="宋体"/>
          <w:color w:val="auto"/>
          <w:kern w:val="0"/>
          <w:szCs w:val="21"/>
        </w:rPr>
        <w:t>公告发布之日起5个工作日内</w:t>
      </w:r>
      <w:r>
        <w:rPr>
          <w:rFonts w:hint="eastAsia" w:ascii="宋体" w:hAnsi="宋体" w:cs="宋体"/>
          <w:color w:val="auto"/>
        </w:rPr>
        <w:t>一次性向采购代理机构支付。</w:t>
      </w:r>
    </w:p>
    <w:p w14:paraId="1662ADBF">
      <w:pPr>
        <w:spacing w:line="360" w:lineRule="exact"/>
        <w:ind w:firstLine="361" w:firstLineChars="150"/>
        <w:rPr>
          <w:rFonts w:ascii="宋体" w:hAnsi="宋体"/>
          <w:color w:val="auto"/>
          <w:sz w:val="24"/>
        </w:rPr>
      </w:pPr>
      <w:r>
        <w:rPr>
          <w:rFonts w:hint="eastAsia" w:ascii="宋体" w:hAnsi="宋体"/>
          <w:b/>
          <w:color w:val="auto"/>
          <w:sz w:val="24"/>
        </w:rPr>
        <w:t>八、凡对本次采购提出询问，请按</w:t>
      </w:r>
      <w:r>
        <w:rPr>
          <w:rFonts w:ascii="宋体" w:hAnsi="宋体"/>
          <w:b/>
          <w:color w:val="auto"/>
          <w:sz w:val="24"/>
        </w:rPr>
        <w:t>以下方式</w:t>
      </w:r>
      <w:r>
        <w:rPr>
          <w:rFonts w:hint="eastAsia" w:ascii="宋体" w:hAnsi="宋体"/>
          <w:b/>
          <w:color w:val="auto"/>
          <w:sz w:val="24"/>
        </w:rPr>
        <w:t>联系。</w:t>
      </w:r>
      <w:bookmarkEnd w:id="46"/>
      <w:bookmarkEnd w:id="47"/>
      <w:bookmarkEnd w:id="48"/>
      <w:bookmarkEnd w:id="49"/>
      <w:bookmarkEnd w:id="50"/>
    </w:p>
    <w:p w14:paraId="27B52934">
      <w:pPr>
        <w:spacing w:line="360" w:lineRule="exact"/>
        <w:ind w:firstLine="420" w:firstLineChars="200"/>
        <w:rPr>
          <w:rFonts w:ascii="宋体" w:hAnsi="宋体" w:cs="宋体"/>
          <w:color w:val="auto"/>
          <w:kern w:val="0"/>
          <w:szCs w:val="21"/>
        </w:rPr>
      </w:pPr>
      <w:bookmarkStart w:id="51" w:name="_Toc28359096"/>
      <w:bookmarkStart w:id="52" w:name="_Toc35393806"/>
      <w:bookmarkStart w:id="53" w:name="_Toc28359019"/>
      <w:bookmarkStart w:id="54" w:name="_Toc35393637"/>
      <w:r>
        <w:rPr>
          <w:rFonts w:hint="eastAsia" w:ascii="宋体" w:hAnsi="宋体" w:cs="宋体"/>
          <w:color w:val="auto"/>
          <w:kern w:val="0"/>
          <w:szCs w:val="21"/>
        </w:rPr>
        <w:t>1.采购人信息</w:t>
      </w:r>
      <w:bookmarkEnd w:id="51"/>
      <w:bookmarkEnd w:id="52"/>
      <w:bookmarkEnd w:id="53"/>
      <w:bookmarkEnd w:id="54"/>
    </w:p>
    <w:bookmarkEnd w:id="4"/>
    <w:p w14:paraId="7E814F19">
      <w:pPr>
        <w:spacing w:line="360" w:lineRule="exact"/>
        <w:ind w:firstLine="420" w:firstLineChars="200"/>
        <w:jc w:val="left"/>
        <w:rPr>
          <w:rFonts w:ascii="宋体" w:hAnsi="宋体"/>
          <w:color w:val="auto"/>
          <w:szCs w:val="21"/>
        </w:rPr>
      </w:pPr>
      <w:r>
        <w:rPr>
          <w:rFonts w:hint="eastAsia" w:ascii="宋体" w:hAnsi="宋体"/>
          <w:color w:val="auto"/>
          <w:szCs w:val="21"/>
        </w:rPr>
        <w:t>名    称：桂林医学院附属医院</w:t>
      </w:r>
    </w:p>
    <w:p w14:paraId="6D66C5A2">
      <w:pPr>
        <w:spacing w:line="360" w:lineRule="exact"/>
        <w:ind w:firstLine="420" w:firstLineChars="200"/>
        <w:jc w:val="left"/>
        <w:rPr>
          <w:rFonts w:ascii="宋体" w:hAnsi="宋体"/>
          <w:color w:val="auto"/>
          <w:szCs w:val="21"/>
        </w:rPr>
      </w:pPr>
      <w:r>
        <w:rPr>
          <w:rFonts w:hint="eastAsia" w:ascii="宋体" w:hAnsi="宋体"/>
          <w:color w:val="auto"/>
          <w:szCs w:val="21"/>
        </w:rPr>
        <w:t>地址：桂林市乐群路15号</w:t>
      </w:r>
    </w:p>
    <w:p w14:paraId="66A6F445">
      <w:pPr>
        <w:spacing w:line="380" w:lineRule="exact"/>
        <w:ind w:firstLine="420" w:firstLineChars="200"/>
        <w:jc w:val="left"/>
        <w:rPr>
          <w:rFonts w:ascii="宋体"/>
          <w:color w:val="auto"/>
          <w:szCs w:val="21"/>
        </w:rPr>
      </w:pPr>
      <w:r>
        <w:rPr>
          <w:rFonts w:hint="eastAsia" w:ascii="宋体" w:hAnsi="宋体"/>
          <w:color w:val="auto"/>
          <w:szCs w:val="21"/>
        </w:rPr>
        <w:t xml:space="preserve">联系方式：唐主任    </w:t>
      </w:r>
      <w:r>
        <w:rPr>
          <w:rFonts w:ascii="宋体" w:hAnsi="宋体"/>
          <w:color w:val="auto"/>
          <w:szCs w:val="21"/>
        </w:rPr>
        <w:t>0773-</w:t>
      </w:r>
      <w:r>
        <w:rPr>
          <w:rFonts w:hint="eastAsia" w:ascii="宋体" w:hAnsi="宋体"/>
          <w:color w:val="auto"/>
          <w:szCs w:val="21"/>
        </w:rPr>
        <w:t>2802050</w:t>
      </w:r>
    </w:p>
    <w:p w14:paraId="25C53D19">
      <w:pPr>
        <w:spacing w:line="360" w:lineRule="exact"/>
        <w:ind w:firstLine="420" w:firstLineChars="200"/>
        <w:rPr>
          <w:rFonts w:ascii="宋体" w:hAnsi="宋体" w:cs="宋体"/>
          <w:color w:val="auto"/>
          <w:kern w:val="0"/>
          <w:szCs w:val="21"/>
        </w:rPr>
      </w:pPr>
      <w:bookmarkStart w:id="55" w:name="_Toc28359097"/>
      <w:bookmarkStart w:id="56" w:name="_Toc28359020"/>
      <w:bookmarkStart w:id="57" w:name="_Toc35393638"/>
      <w:bookmarkStart w:id="58" w:name="_Toc35393807"/>
      <w:r>
        <w:rPr>
          <w:rFonts w:hint="eastAsia" w:ascii="宋体" w:hAnsi="宋体" w:cs="宋体"/>
          <w:color w:val="auto"/>
          <w:kern w:val="0"/>
          <w:szCs w:val="21"/>
        </w:rPr>
        <w:t>2.采购代理机构信息</w:t>
      </w:r>
      <w:bookmarkEnd w:id="55"/>
      <w:bookmarkEnd w:id="56"/>
      <w:bookmarkEnd w:id="57"/>
      <w:bookmarkEnd w:id="58"/>
    </w:p>
    <w:p w14:paraId="406B1DD8">
      <w:pPr>
        <w:spacing w:line="360" w:lineRule="exact"/>
        <w:ind w:firstLine="420" w:firstLineChars="200"/>
        <w:rPr>
          <w:rFonts w:ascii="宋体" w:hAnsi="宋体"/>
          <w:color w:val="auto"/>
          <w:szCs w:val="21"/>
        </w:rPr>
      </w:pPr>
      <w:r>
        <w:rPr>
          <w:rFonts w:hint="eastAsia" w:ascii="宋体" w:hAnsi="宋体"/>
          <w:color w:val="auto"/>
          <w:szCs w:val="21"/>
        </w:rPr>
        <w:t>名称：欧邦工程管理集团有限公司</w:t>
      </w:r>
    </w:p>
    <w:p w14:paraId="6460077A">
      <w:pPr>
        <w:spacing w:line="360" w:lineRule="exact"/>
        <w:ind w:firstLine="420" w:firstLineChars="200"/>
        <w:rPr>
          <w:rFonts w:ascii="宋体" w:hAnsi="宋体"/>
          <w:color w:val="auto"/>
          <w:szCs w:val="21"/>
        </w:rPr>
      </w:pPr>
      <w:r>
        <w:rPr>
          <w:rFonts w:hint="eastAsia" w:ascii="宋体" w:hAnsi="宋体"/>
          <w:color w:val="auto"/>
          <w:szCs w:val="21"/>
        </w:rPr>
        <w:t>地址：桂林市七星区穿山街道办莫家里二路文化室四楼</w:t>
      </w:r>
    </w:p>
    <w:p w14:paraId="36F189C8">
      <w:pPr>
        <w:spacing w:line="360" w:lineRule="exact"/>
        <w:ind w:firstLine="420" w:firstLineChars="200"/>
        <w:rPr>
          <w:rFonts w:ascii="宋体" w:hAnsi="宋体"/>
          <w:color w:val="auto"/>
          <w:szCs w:val="21"/>
        </w:rPr>
      </w:pPr>
      <w:r>
        <w:rPr>
          <w:rFonts w:hint="eastAsia" w:ascii="宋体" w:hAnsi="宋体"/>
          <w:color w:val="auto"/>
          <w:szCs w:val="21"/>
        </w:rPr>
        <w:t>联系方式：0773-2567907  传真：0773-2567912</w:t>
      </w:r>
    </w:p>
    <w:p w14:paraId="7358A9F2">
      <w:pPr>
        <w:spacing w:line="360" w:lineRule="exact"/>
        <w:ind w:firstLine="420" w:firstLineChars="200"/>
        <w:rPr>
          <w:rFonts w:ascii="宋体" w:hAnsi="宋体" w:cs="宋体"/>
          <w:color w:val="auto"/>
          <w:kern w:val="0"/>
          <w:szCs w:val="21"/>
        </w:rPr>
      </w:pPr>
      <w:bookmarkStart w:id="59" w:name="_Toc28359098"/>
      <w:bookmarkStart w:id="60" w:name="_Toc35393639"/>
      <w:bookmarkStart w:id="61" w:name="_Toc35393808"/>
      <w:bookmarkStart w:id="62" w:name="_Toc28359021"/>
      <w:r>
        <w:rPr>
          <w:rFonts w:hint="eastAsia" w:ascii="宋体" w:hAnsi="宋体" w:cs="宋体"/>
          <w:color w:val="auto"/>
          <w:kern w:val="0"/>
          <w:szCs w:val="21"/>
        </w:rPr>
        <w:t>3.项目联系</w:t>
      </w:r>
      <w:r>
        <w:rPr>
          <w:rFonts w:ascii="宋体" w:hAnsi="宋体" w:cs="宋体"/>
          <w:color w:val="auto"/>
          <w:kern w:val="0"/>
          <w:szCs w:val="21"/>
        </w:rPr>
        <w:t>方式</w:t>
      </w:r>
      <w:bookmarkEnd w:id="59"/>
      <w:bookmarkEnd w:id="60"/>
      <w:bookmarkEnd w:id="61"/>
      <w:bookmarkEnd w:id="62"/>
    </w:p>
    <w:p w14:paraId="5B75B486">
      <w:pPr>
        <w:spacing w:line="380" w:lineRule="exact"/>
        <w:ind w:firstLine="424" w:firstLineChars="202"/>
        <w:rPr>
          <w:rFonts w:ascii="宋体" w:hAnsi="宋体"/>
          <w:color w:val="auto"/>
          <w:szCs w:val="21"/>
        </w:rPr>
      </w:pPr>
      <w:r>
        <w:rPr>
          <w:rFonts w:hint="eastAsia" w:ascii="宋体" w:hAnsi="宋体"/>
          <w:color w:val="auto"/>
          <w:szCs w:val="21"/>
        </w:rPr>
        <w:t>项目联系人：刘芳芳、林雪青</w:t>
      </w:r>
      <w:r>
        <w:rPr>
          <w:rFonts w:ascii="宋体" w:hAnsi="宋体"/>
          <w:color w:val="auto"/>
          <w:szCs w:val="21"/>
        </w:rPr>
        <w:tab/>
      </w:r>
    </w:p>
    <w:p w14:paraId="1DE54C5A">
      <w:pPr>
        <w:spacing w:line="360" w:lineRule="exact"/>
        <w:ind w:firstLine="420" w:firstLineChars="200"/>
        <w:rPr>
          <w:rFonts w:ascii="宋体" w:hAnsi="宋体" w:cs="宋体"/>
          <w:color w:val="auto"/>
          <w:szCs w:val="21"/>
        </w:rPr>
      </w:pPr>
      <w:r>
        <w:rPr>
          <w:rFonts w:hint="eastAsia" w:ascii="宋体" w:hAnsi="宋体"/>
          <w:color w:val="auto"/>
          <w:szCs w:val="21"/>
        </w:rPr>
        <w:t>电话：0773-2567907</w:t>
      </w:r>
    </w:p>
    <w:p w14:paraId="00C515A3">
      <w:pPr>
        <w:spacing w:line="360" w:lineRule="exact"/>
        <w:ind w:firstLine="420" w:firstLineChars="200"/>
        <w:rPr>
          <w:rFonts w:ascii="宋体" w:hAnsi="宋体" w:cs="宋体"/>
          <w:color w:val="auto"/>
          <w:szCs w:val="21"/>
        </w:rPr>
      </w:pPr>
    </w:p>
    <w:p w14:paraId="55038B22">
      <w:pPr>
        <w:spacing w:line="360" w:lineRule="exact"/>
        <w:ind w:firstLine="420" w:firstLineChars="200"/>
        <w:rPr>
          <w:rFonts w:ascii="宋体" w:hAnsi="宋体" w:cs="宋体"/>
          <w:color w:val="auto"/>
          <w:szCs w:val="21"/>
        </w:rPr>
      </w:pPr>
    </w:p>
    <w:p w14:paraId="151868F3">
      <w:pPr>
        <w:pStyle w:val="2"/>
        <w:spacing w:line="240" w:lineRule="auto"/>
        <w:jc w:val="center"/>
        <w:rPr>
          <w:color w:val="auto"/>
        </w:rPr>
      </w:pPr>
      <w:bookmarkStart w:id="63" w:name="_Toc74322606"/>
      <w:r>
        <w:rPr>
          <w:color w:val="auto"/>
        </w:rPr>
        <w:br w:type="page"/>
      </w:r>
      <w:r>
        <w:rPr>
          <w:rFonts w:hint="eastAsia"/>
          <w:color w:val="auto"/>
        </w:rPr>
        <w:t>第二章 供应商须知</w:t>
      </w:r>
      <w:bookmarkEnd w:id="63"/>
    </w:p>
    <w:p w14:paraId="30DAF346">
      <w:pPr>
        <w:spacing w:line="400" w:lineRule="exact"/>
        <w:jc w:val="center"/>
        <w:rPr>
          <w:rFonts w:ascii="宋体" w:hAnsi="宋体"/>
          <w:b/>
          <w:color w:val="auto"/>
          <w:sz w:val="32"/>
          <w:szCs w:val="32"/>
        </w:rPr>
      </w:pPr>
      <w:r>
        <w:rPr>
          <w:rFonts w:hint="eastAsia" w:ascii="宋体" w:hAnsi="宋体"/>
          <w:b/>
          <w:color w:val="auto"/>
          <w:sz w:val="32"/>
          <w:szCs w:val="32"/>
        </w:rPr>
        <w:t>供应商须知前附表</w:t>
      </w:r>
    </w:p>
    <w:p w14:paraId="4CCD0876">
      <w:pPr>
        <w:spacing w:line="400" w:lineRule="exact"/>
        <w:jc w:val="center"/>
        <w:rPr>
          <w:rFonts w:ascii="宋体" w:hAnsi="宋体"/>
          <w:b/>
          <w:color w:val="auto"/>
          <w:sz w:val="32"/>
          <w:szCs w:val="32"/>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355B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6648FBA1">
            <w:pPr>
              <w:spacing w:line="360" w:lineRule="auto"/>
              <w:jc w:val="center"/>
              <w:rPr>
                <w:rFonts w:ascii="宋体" w:hAnsi="宋体" w:cs="宋体"/>
                <w:b/>
                <w:color w:val="auto"/>
                <w:szCs w:val="21"/>
              </w:rPr>
            </w:pPr>
            <w:r>
              <w:rPr>
                <w:rFonts w:hint="eastAsia" w:ascii="宋体" w:hAnsi="宋体" w:cs="宋体"/>
                <w:b/>
                <w:color w:val="auto"/>
                <w:szCs w:val="21"/>
              </w:rPr>
              <w:t>条款号</w:t>
            </w:r>
          </w:p>
        </w:tc>
        <w:tc>
          <w:tcPr>
            <w:tcW w:w="7912" w:type="dxa"/>
          </w:tcPr>
          <w:p w14:paraId="12512C4E">
            <w:pPr>
              <w:spacing w:line="360" w:lineRule="auto"/>
              <w:jc w:val="center"/>
              <w:rPr>
                <w:rFonts w:ascii="宋体" w:hAnsi="宋体" w:cs="宋体"/>
                <w:b/>
                <w:color w:val="auto"/>
                <w:szCs w:val="21"/>
              </w:rPr>
            </w:pPr>
            <w:r>
              <w:rPr>
                <w:rFonts w:hint="eastAsia" w:ascii="宋体" w:hAnsi="宋体" w:cs="宋体"/>
                <w:b/>
                <w:color w:val="auto"/>
                <w:szCs w:val="21"/>
              </w:rPr>
              <w:t>内    容</w:t>
            </w:r>
          </w:p>
        </w:tc>
      </w:tr>
      <w:tr w14:paraId="10494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8532F26">
            <w:pPr>
              <w:spacing w:line="360" w:lineRule="auto"/>
              <w:jc w:val="center"/>
              <w:rPr>
                <w:rFonts w:ascii="宋体" w:hAnsi="宋体" w:cs="宋体"/>
                <w:color w:val="auto"/>
                <w:szCs w:val="21"/>
              </w:rPr>
            </w:pPr>
            <w:r>
              <w:rPr>
                <w:rFonts w:hint="eastAsia" w:ascii="宋体" w:hAnsi="宋体" w:cs="宋体"/>
                <w:color w:val="auto"/>
                <w:szCs w:val="21"/>
              </w:rPr>
              <w:t>3</w:t>
            </w:r>
          </w:p>
        </w:tc>
        <w:tc>
          <w:tcPr>
            <w:tcW w:w="7912" w:type="dxa"/>
            <w:vAlign w:val="center"/>
          </w:tcPr>
          <w:p w14:paraId="72E18D28">
            <w:pPr>
              <w:spacing w:line="360" w:lineRule="exact"/>
              <w:rPr>
                <w:rFonts w:ascii="宋体" w:hAnsi="宋体"/>
                <w:color w:val="auto"/>
                <w:szCs w:val="21"/>
              </w:rPr>
            </w:pPr>
            <w:r>
              <w:rPr>
                <w:rFonts w:hint="eastAsia" w:ascii="宋体" w:hAnsi="宋体" w:cs="宋体"/>
                <w:bCs/>
                <w:color w:val="auto"/>
                <w:szCs w:val="21"/>
              </w:rPr>
              <w:t>1.供应商的资格条件</w:t>
            </w:r>
            <w:r>
              <w:rPr>
                <w:rFonts w:hint="eastAsia" w:ascii="宋体" w:hAnsi="宋体" w:cs="宋体"/>
                <w:color w:val="auto"/>
                <w:szCs w:val="21"/>
              </w:rPr>
              <w:t>：详见竞争性磋商公告</w:t>
            </w:r>
            <w:r>
              <w:rPr>
                <w:rFonts w:hint="eastAsia" w:ascii="宋体" w:hAnsi="宋体"/>
                <w:color w:val="auto"/>
                <w:szCs w:val="21"/>
              </w:rPr>
              <w:t>。</w:t>
            </w:r>
          </w:p>
          <w:p w14:paraId="5936D1D7">
            <w:pPr>
              <w:spacing w:line="36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供应商</w:t>
            </w:r>
            <w:r>
              <w:rPr>
                <w:rFonts w:hint="eastAsia" w:ascii="宋体" w:hAnsi="宋体" w:cs="宋体"/>
                <w:color w:val="auto"/>
                <w:szCs w:val="21"/>
              </w:rPr>
              <w:t>出现下列情形之一的，不得参加政府采购活动：</w:t>
            </w:r>
          </w:p>
          <w:p w14:paraId="4946A5ED">
            <w:pPr>
              <w:spacing w:line="360" w:lineRule="exact"/>
              <w:rPr>
                <w:rFonts w:ascii="宋体" w:hAnsi="宋体" w:cs="宋体"/>
                <w:color w:val="auto"/>
                <w:szCs w:val="21"/>
              </w:rPr>
            </w:pPr>
            <w:r>
              <w:rPr>
                <w:rFonts w:hint="eastAsia" w:ascii="宋体" w:hAnsi="宋体" w:cs="宋体"/>
                <w:color w:val="auto"/>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05194E7">
            <w:pPr>
              <w:spacing w:line="360" w:lineRule="exact"/>
              <w:rPr>
                <w:rFonts w:ascii="宋体" w:hAnsi="宋体" w:cs="宋体"/>
                <w:color w:val="auto"/>
                <w:szCs w:val="21"/>
              </w:rPr>
            </w:pPr>
            <w:r>
              <w:rPr>
                <w:rFonts w:hint="eastAsia" w:ascii="宋体" w:hAnsi="宋体" w:cs="宋体"/>
                <w:color w:val="auto"/>
                <w:szCs w:val="21"/>
              </w:rPr>
              <w:t>2.2对在“信用中国”网站（</w:t>
            </w:r>
            <w:r>
              <w:rPr>
                <w:rFonts w:ascii="宋体" w:hAnsi="宋体" w:cs="宋体"/>
                <w:color w:val="auto"/>
                <w:szCs w:val="21"/>
              </w:rPr>
              <w:t>http://www.creditchina.gov.cn</w:t>
            </w:r>
            <w:r>
              <w:rPr>
                <w:rFonts w:hint="eastAsia" w:ascii="宋体" w:hAnsi="宋体" w:cs="宋体"/>
                <w:color w:val="auto"/>
                <w:szCs w:val="21"/>
              </w:rPr>
              <w:t>）、中国政府采购网（</w:t>
            </w:r>
            <w:r>
              <w:rPr>
                <w:rFonts w:ascii="宋体" w:hAnsi="宋体" w:cs="宋体"/>
                <w:color w:val="auto"/>
                <w:szCs w:val="21"/>
              </w:rPr>
              <w:t>http://www.ccgp.gov.cn</w:t>
            </w:r>
            <w:r>
              <w:rPr>
                <w:rFonts w:hint="eastAsia" w:ascii="宋体" w:hAnsi="宋体" w:cs="宋体"/>
                <w:color w:val="auto"/>
                <w:szCs w:val="21"/>
              </w:rPr>
              <w:t>）被列入失信被执行人、重大税收违法失信主体、政府采购严重违法失信行为记录名单及其他不符合《中华人民共和国政府采购法》第二十二条规定条件的供应商，不得参与政府采购活动。</w:t>
            </w:r>
          </w:p>
        </w:tc>
      </w:tr>
      <w:tr w14:paraId="3AE9B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AAD1647">
            <w:pPr>
              <w:spacing w:line="360" w:lineRule="auto"/>
              <w:jc w:val="center"/>
              <w:rPr>
                <w:rFonts w:ascii="宋体" w:hAnsi="宋体" w:cs="宋体"/>
                <w:color w:val="auto"/>
                <w:szCs w:val="21"/>
              </w:rPr>
            </w:pPr>
            <w:r>
              <w:rPr>
                <w:rFonts w:hint="eastAsia" w:ascii="宋体" w:hAnsi="宋体" w:cs="宋体"/>
                <w:color w:val="auto"/>
                <w:szCs w:val="21"/>
              </w:rPr>
              <w:t>5.1</w:t>
            </w:r>
          </w:p>
        </w:tc>
        <w:tc>
          <w:tcPr>
            <w:tcW w:w="7912" w:type="dxa"/>
            <w:vAlign w:val="center"/>
          </w:tcPr>
          <w:p w14:paraId="3CD3CA52">
            <w:pPr>
              <w:spacing w:line="360" w:lineRule="exact"/>
              <w:rPr>
                <w:rFonts w:ascii="宋体" w:hAnsi="宋体" w:cs="宋体"/>
                <w:color w:val="auto"/>
                <w:szCs w:val="21"/>
              </w:rPr>
            </w:pPr>
            <w:r>
              <w:rPr>
                <w:rFonts w:hint="eastAsia" w:ascii="宋体" w:hAnsi="宋体" w:cs="宋体"/>
                <w:color w:val="auto"/>
                <w:szCs w:val="21"/>
              </w:rPr>
              <w:t>是否接受联合体竞标: 详见竞争性磋商公告。</w:t>
            </w:r>
          </w:p>
        </w:tc>
      </w:tr>
      <w:tr w14:paraId="4B43F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052859">
            <w:pPr>
              <w:spacing w:line="360" w:lineRule="auto"/>
              <w:jc w:val="center"/>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p>
        </w:tc>
        <w:tc>
          <w:tcPr>
            <w:tcW w:w="7912" w:type="dxa"/>
            <w:vAlign w:val="center"/>
          </w:tcPr>
          <w:p w14:paraId="1311C49B">
            <w:pPr>
              <w:spacing w:line="360" w:lineRule="exact"/>
              <w:rPr>
                <w:rFonts w:ascii="宋体" w:hAnsi="宋体" w:cs="宋体"/>
                <w:color w:val="auto"/>
                <w:szCs w:val="21"/>
              </w:rPr>
            </w:pPr>
            <w:r>
              <w:rPr>
                <w:rFonts w:hint="eastAsia" w:ascii="宋体" w:hAnsi="宋体"/>
                <w:color w:val="auto"/>
                <w:szCs w:val="21"/>
              </w:rPr>
              <w:t>如接受联合体竞标，联合体竞标要求如下：</w:t>
            </w:r>
            <w:r>
              <w:rPr>
                <w:rFonts w:hint="eastAsia" w:ascii="宋体" w:hAnsi="宋体" w:cs="宋体"/>
                <w:color w:val="auto"/>
                <w:szCs w:val="21"/>
              </w:rPr>
              <w:t>无。</w:t>
            </w:r>
          </w:p>
        </w:tc>
      </w:tr>
      <w:tr w14:paraId="27D6B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6331DF">
            <w:pPr>
              <w:spacing w:line="360" w:lineRule="auto"/>
              <w:jc w:val="center"/>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2</w:t>
            </w:r>
          </w:p>
        </w:tc>
        <w:tc>
          <w:tcPr>
            <w:tcW w:w="7912" w:type="dxa"/>
            <w:vAlign w:val="center"/>
          </w:tcPr>
          <w:p w14:paraId="52F7E5CE">
            <w:pPr>
              <w:pStyle w:val="12"/>
              <w:spacing w:line="360" w:lineRule="exact"/>
              <w:rPr>
                <w:rFonts w:ascii="宋体" w:hAnsi="宋体"/>
                <w:color w:val="auto"/>
                <w:szCs w:val="21"/>
              </w:rPr>
            </w:pPr>
            <w:r>
              <w:rPr>
                <w:rFonts w:ascii="Segoe UI Symbol" w:hAnsi="Segoe UI Symbol" w:cs="Segoe UI Symbol"/>
                <w:color w:val="auto"/>
                <w:szCs w:val="21"/>
              </w:rPr>
              <w:t>☑</w:t>
            </w:r>
            <w:r>
              <w:rPr>
                <w:rFonts w:hint="eastAsia" w:ascii="宋体" w:hAnsi="宋体"/>
                <w:color w:val="auto"/>
                <w:szCs w:val="21"/>
              </w:rPr>
              <w:t>不允许分包</w:t>
            </w:r>
          </w:p>
          <w:p w14:paraId="0BDFD662">
            <w:pPr>
              <w:pStyle w:val="12"/>
              <w:spacing w:line="360" w:lineRule="exact"/>
              <w:rPr>
                <w:rFonts w:ascii="宋体" w:hAnsi="宋体"/>
                <w:color w:val="auto"/>
                <w:szCs w:val="21"/>
              </w:rPr>
            </w:pPr>
            <w:r>
              <w:rPr>
                <w:rFonts w:hint="eastAsia" w:ascii="宋体" w:hAnsi="宋体"/>
                <w:color w:val="auto"/>
                <w:szCs w:val="21"/>
              </w:rPr>
              <w:t>□允许分包</w:t>
            </w:r>
          </w:p>
        </w:tc>
      </w:tr>
      <w:tr w14:paraId="30646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631A46">
            <w:pPr>
              <w:spacing w:line="360" w:lineRule="auto"/>
              <w:jc w:val="center"/>
              <w:rPr>
                <w:rFonts w:ascii="宋体" w:hAnsi="宋体" w:cs="宋体"/>
                <w:color w:val="auto"/>
                <w:szCs w:val="21"/>
              </w:rPr>
            </w:pPr>
            <w:r>
              <w:rPr>
                <w:rFonts w:hint="eastAsia" w:ascii="宋体" w:hAnsi="宋体" w:cs="宋体"/>
                <w:color w:val="auto"/>
                <w:szCs w:val="21"/>
              </w:rPr>
              <w:t>12.1.</w:t>
            </w:r>
            <w:r>
              <w:rPr>
                <w:rFonts w:ascii="宋体" w:hAnsi="宋体" w:cs="宋体"/>
                <w:color w:val="auto"/>
                <w:szCs w:val="21"/>
              </w:rPr>
              <w:t>1</w:t>
            </w:r>
          </w:p>
        </w:tc>
        <w:tc>
          <w:tcPr>
            <w:tcW w:w="7912" w:type="dxa"/>
            <w:vAlign w:val="center"/>
          </w:tcPr>
          <w:p w14:paraId="470044F0">
            <w:pPr>
              <w:snapToGrid w:val="0"/>
              <w:spacing w:line="360" w:lineRule="exact"/>
              <w:jc w:val="left"/>
              <w:rPr>
                <w:rFonts w:ascii="宋体" w:hAnsi="宋体" w:cs="宋体"/>
                <w:b/>
                <w:color w:val="auto"/>
                <w:szCs w:val="21"/>
              </w:rPr>
            </w:pPr>
            <w:r>
              <w:rPr>
                <w:rFonts w:hint="eastAsia" w:ascii="宋体" w:hAnsi="宋体" w:cs="宋体"/>
                <w:b/>
                <w:color w:val="auto"/>
                <w:szCs w:val="21"/>
              </w:rPr>
              <w:t>资格证明文件</w:t>
            </w:r>
          </w:p>
          <w:p w14:paraId="5E3C6F50">
            <w:pPr>
              <w:pStyle w:val="12"/>
              <w:spacing w:line="360" w:lineRule="exact"/>
              <w:rPr>
                <w:rFonts w:ascii="宋体" w:hAnsi="宋体"/>
                <w:color w:val="auto"/>
                <w:szCs w:val="21"/>
              </w:rPr>
            </w:pPr>
            <w:r>
              <w:rPr>
                <w:rFonts w:hint="eastAsia" w:ascii="宋体" w:hAnsi="宋体" w:cs="宋体"/>
                <w:color w:val="auto"/>
                <w:szCs w:val="21"/>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115633B">
            <w:pPr>
              <w:spacing w:line="360" w:lineRule="exact"/>
              <w:contextualSpacing/>
              <w:jc w:val="left"/>
              <w:rPr>
                <w:rFonts w:ascii="宋体" w:hAnsi="宋体" w:cs="宋体"/>
                <w:color w:val="auto"/>
                <w:szCs w:val="21"/>
              </w:rPr>
            </w:pPr>
            <w:r>
              <w:rPr>
                <w:rFonts w:hint="eastAsia" w:ascii="宋体" w:hAnsi="宋体" w:cs="宋体"/>
                <w:color w:val="auto"/>
                <w:szCs w:val="21"/>
              </w:rPr>
              <w:t>2.供应商依法缴纳税收的相关材料（</w:t>
            </w:r>
            <w:r>
              <w:rPr>
                <w:rFonts w:ascii="宋体" w:hAnsi="宋体" w:cs="宋体"/>
                <w:color w:val="auto"/>
                <w:szCs w:val="21"/>
                <w:u w:val="single"/>
              </w:rPr>
              <w:t>202</w:t>
            </w:r>
            <w:r>
              <w:rPr>
                <w:rFonts w:hint="eastAsia" w:ascii="宋体" w:hAnsi="宋体" w:cs="宋体"/>
                <w:color w:val="auto"/>
                <w:szCs w:val="21"/>
                <w:u w:val="single"/>
              </w:rPr>
              <w:t>4</w:t>
            </w:r>
            <w:r>
              <w:rPr>
                <w:rFonts w:hint="eastAsia" w:ascii="宋体" w:hAnsi="宋体" w:cs="宋体"/>
                <w:color w:val="auto"/>
                <w:szCs w:val="21"/>
              </w:rPr>
              <w:t>年</w:t>
            </w:r>
            <w:r>
              <w:rPr>
                <w:rFonts w:hint="eastAsia" w:ascii="宋体" w:hAnsi="宋体" w:cs="宋体"/>
                <w:color w:val="auto"/>
                <w:szCs w:val="21"/>
                <w:u w:val="single"/>
              </w:rPr>
              <w:t>7</w:t>
            </w:r>
            <w:r>
              <w:rPr>
                <w:rFonts w:hint="eastAsia" w:ascii="宋体" w:hAnsi="宋体" w:cs="宋体"/>
                <w:color w:val="auto"/>
                <w:szCs w:val="21"/>
              </w:rPr>
              <w:t>月以来任意</w:t>
            </w:r>
            <w:r>
              <w:rPr>
                <w:rFonts w:hint="eastAsia" w:ascii="宋体" w:hAnsi="宋体" w:cs="宋体"/>
                <w:color w:val="auto"/>
                <w:szCs w:val="21"/>
                <w:u w:val="single"/>
              </w:rPr>
              <w:t>1</w:t>
            </w:r>
            <w:r>
              <w:rPr>
                <w:rFonts w:hint="eastAsia" w:ascii="宋体" w:hAnsi="宋体" w:cs="宋体"/>
                <w:color w:val="auto"/>
                <w:szCs w:val="21"/>
              </w:rPr>
              <w:t>个月的依法缴纳税收的凭据复印件；</w:t>
            </w:r>
            <w:r>
              <w:rPr>
                <w:rFonts w:hint="eastAsia"/>
                <w:color w:val="auto"/>
              </w:rPr>
              <w:t>依法免税的，必须提供相应文件证明其依法免税。</w:t>
            </w:r>
            <w:r>
              <w:rPr>
                <w:rFonts w:hint="eastAsia" w:ascii="宋体" w:hAnsi="宋体" w:cs="宋体"/>
                <w:color w:val="auto"/>
                <w:szCs w:val="21"/>
              </w:rPr>
              <w:t>从</w:t>
            </w:r>
            <w:r>
              <w:rPr>
                <w:color w:val="auto"/>
                <w:szCs w:val="21"/>
              </w:rPr>
              <w:t>成立</w:t>
            </w:r>
            <w:r>
              <w:rPr>
                <w:rFonts w:hint="eastAsia"/>
                <w:color w:val="auto"/>
                <w:szCs w:val="21"/>
              </w:rPr>
              <w:t>之日起</w:t>
            </w:r>
            <w:r>
              <w:rPr>
                <w:rFonts w:hint="eastAsia" w:ascii="宋体" w:hAnsi="宋体" w:cs="宋体"/>
                <w:color w:val="auto"/>
                <w:szCs w:val="21"/>
              </w:rPr>
              <w:t>到响应文件提交截止时间止不足要求月数的，只需提供从</w:t>
            </w:r>
            <w:r>
              <w:rPr>
                <w:color w:val="auto"/>
                <w:szCs w:val="21"/>
              </w:rPr>
              <w:t>成立</w:t>
            </w:r>
            <w:r>
              <w:rPr>
                <w:rFonts w:hint="eastAsia"/>
                <w:color w:val="auto"/>
                <w:szCs w:val="21"/>
              </w:rPr>
              <w:t>之日起</w:t>
            </w:r>
            <w:r>
              <w:rPr>
                <w:rFonts w:hint="eastAsia" w:ascii="宋体" w:hAnsi="宋体" w:cs="宋体"/>
                <w:color w:val="auto"/>
                <w:szCs w:val="21"/>
              </w:rPr>
              <w:t>的依法缴纳税收</w:t>
            </w:r>
            <w:r>
              <w:rPr>
                <w:rFonts w:hint="eastAsia"/>
                <w:color w:val="auto"/>
              </w:rPr>
              <w:t>相应证明文件</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4FA8FC8">
            <w:pPr>
              <w:spacing w:line="360" w:lineRule="exact"/>
              <w:contextualSpacing/>
              <w:jc w:val="left"/>
              <w:rPr>
                <w:rFonts w:ascii="宋体" w:hAnsi="宋体" w:cs="宋体"/>
                <w:color w:val="auto"/>
                <w:szCs w:val="21"/>
              </w:rPr>
            </w:pPr>
            <w:r>
              <w:rPr>
                <w:rFonts w:hint="eastAsia" w:ascii="宋体" w:hAnsi="宋体" w:cs="宋体"/>
                <w:color w:val="auto"/>
                <w:szCs w:val="21"/>
              </w:rPr>
              <w:t>3.供应商依法缴纳社会保障资金的相关材料[</w:t>
            </w:r>
            <w:r>
              <w:rPr>
                <w:rFonts w:ascii="宋体" w:hAnsi="宋体" w:cs="宋体"/>
                <w:color w:val="auto"/>
                <w:szCs w:val="21"/>
                <w:u w:val="single"/>
              </w:rPr>
              <w:t>202</w:t>
            </w:r>
            <w:r>
              <w:rPr>
                <w:rFonts w:hint="eastAsia" w:ascii="宋体" w:hAnsi="宋体" w:cs="宋体"/>
                <w:color w:val="auto"/>
                <w:szCs w:val="21"/>
                <w:u w:val="single"/>
              </w:rPr>
              <w:t>4</w:t>
            </w:r>
            <w:r>
              <w:rPr>
                <w:rFonts w:hint="eastAsia" w:ascii="宋体" w:hAnsi="宋体" w:cs="宋体"/>
                <w:color w:val="auto"/>
                <w:szCs w:val="21"/>
              </w:rPr>
              <w:t>年</w:t>
            </w:r>
            <w:r>
              <w:rPr>
                <w:rFonts w:hint="eastAsia" w:ascii="宋体" w:hAnsi="宋体" w:cs="宋体"/>
                <w:color w:val="auto"/>
                <w:szCs w:val="21"/>
                <w:u w:val="single"/>
              </w:rPr>
              <w:t>7</w:t>
            </w:r>
            <w:r>
              <w:rPr>
                <w:rFonts w:hint="eastAsia" w:ascii="宋体" w:hAnsi="宋体" w:cs="宋体"/>
                <w:color w:val="auto"/>
                <w:szCs w:val="21"/>
              </w:rPr>
              <w:t>月以来任意</w:t>
            </w:r>
            <w:r>
              <w:rPr>
                <w:rFonts w:hint="eastAsia" w:ascii="宋体" w:hAnsi="宋体" w:cs="宋体"/>
                <w:color w:val="auto"/>
                <w:szCs w:val="21"/>
                <w:u w:val="single"/>
              </w:rPr>
              <w:t>1</w:t>
            </w:r>
            <w:r>
              <w:rPr>
                <w:rFonts w:hint="eastAsia" w:ascii="宋体" w:hAnsi="宋体" w:cs="宋体"/>
                <w:color w:val="auto"/>
                <w:szCs w:val="21"/>
              </w:rPr>
              <w:t>个月的依法缴纳社会保障资金的缴费凭证（专用收据或者社会保险缴纳清单）复印件；</w:t>
            </w:r>
            <w:r>
              <w:rPr>
                <w:rFonts w:hint="eastAsia"/>
                <w:color w:val="auto"/>
              </w:rPr>
              <w:t>依法不需要缴纳社会保障资金的，必须提供相应文件证明不需要缴纳社会保障资金。</w:t>
            </w:r>
            <w:r>
              <w:rPr>
                <w:rFonts w:hint="eastAsia" w:ascii="宋体" w:hAnsi="宋体" w:cs="宋体"/>
                <w:color w:val="auto"/>
                <w:szCs w:val="21"/>
              </w:rPr>
              <w:t>从</w:t>
            </w:r>
            <w:r>
              <w:rPr>
                <w:color w:val="auto"/>
                <w:szCs w:val="21"/>
              </w:rPr>
              <w:t>成立</w:t>
            </w:r>
            <w:r>
              <w:rPr>
                <w:rFonts w:hint="eastAsia"/>
                <w:color w:val="auto"/>
                <w:szCs w:val="21"/>
              </w:rPr>
              <w:t>之日起</w:t>
            </w:r>
            <w:r>
              <w:rPr>
                <w:rFonts w:hint="eastAsia" w:ascii="宋体" w:hAnsi="宋体" w:cs="宋体"/>
                <w:color w:val="auto"/>
                <w:szCs w:val="21"/>
              </w:rPr>
              <w:t>到响应文件提交截止时间止不足要求月数的只需提供从</w:t>
            </w:r>
            <w:r>
              <w:rPr>
                <w:color w:val="auto"/>
                <w:szCs w:val="21"/>
              </w:rPr>
              <w:t>成立</w:t>
            </w:r>
            <w:r>
              <w:rPr>
                <w:rFonts w:hint="eastAsia"/>
                <w:color w:val="auto"/>
                <w:szCs w:val="21"/>
              </w:rPr>
              <w:t>之日起</w:t>
            </w:r>
            <w:r>
              <w:rPr>
                <w:rFonts w:hint="eastAsia" w:ascii="宋体" w:hAnsi="宋体" w:cs="宋体"/>
                <w:color w:val="auto"/>
                <w:szCs w:val="21"/>
              </w:rPr>
              <w:t>的依法缴纳社会保障资金的</w:t>
            </w:r>
            <w:r>
              <w:rPr>
                <w:rFonts w:hint="eastAsia"/>
                <w:color w:val="auto"/>
              </w:rPr>
              <w:t>相应证明文件</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165CB982">
            <w:pPr>
              <w:spacing w:line="360" w:lineRule="exact"/>
              <w:contextualSpacing/>
              <w:jc w:val="left"/>
              <w:rPr>
                <w:rFonts w:ascii="宋体" w:hAnsi="宋体" w:cs="宋体"/>
                <w:b/>
                <w:color w:val="auto"/>
                <w:szCs w:val="21"/>
              </w:rPr>
            </w:pPr>
            <w:r>
              <w:rPr>
                <w:rFonts w:hint="eastAsia" w:ascii="宋体" w:hAnsi="宋体" w:cs="宋体"/>
                <w:color w:val="auto"/>
                <w:szCs w:val="21"/>
              </w:rPr>
              <w:t>4.供应商</w:t>
            </w:r>
            <w:r>
              <w:rPr>
                <w:rFonts w:hint="eastAsia"/>
                <w:color w:val="auto"/>
                <w:szCs w:val="21"/>
              </w:rPr>
              <w:t>财务状况报告（</w:t>
            </w:r>
            <w:r>
              <w:rPr>
                <w:rFonts w:ascii="宋体" w:hAnsi="宋体" w:cs="宋体"/>
                <w:color w:val="auto"/>
                <w:szCs w:val="21"/>
                <w:u w:val="single"/>
              </w:rPr>
              <w:t>202</w:t>
            </w:r>
            <w:r>
              <w:rPr>
                <w:rFonts w:hint="eastAsia" w:ascii="宋体" w:hAnsi="宋体" w:cs="宋体"/>
                <w:color w:val="auto"/>
                <w:szCs w:val="21"/>
                <w:u w:val="single"/>
              </w:rPr>
              <w:t>4</w:t>
            </w:r>
            <w:r>
              <w:rPr>
                <w:rFonts w:hint="eastAsia"/>
                <w:color w:val="auto"/>
                <w:szCs w:val="21"/>
              </w:rPr>
              <w:t>年以来任意年度内的财务报表复印件，或者2023年以来银行出具的资信证明，或者中国人民银行征信中心出具的信用报告（企业竞标的提供企业信用报告，自然人竞标的提供个人信用报告）；供应商属于</w:t>
            </w:r>
            <w:r>
              <w:rPr>
                <w:rFonts w:hint="eastAsia"/>
                <w:color w:val="auto"/>
              </w:rPr>
              <w:t>成立时间</w:t>
            </w:r>
            <w:r>
              <w:rPr>
                <w:rFonts w:hint="eastAsia"/>
                <w:color w:val="auto"/>
                <w:kern w:val="0"/>
              </w:rPr>
              <w:t>在规定年度之后</w:t>
            </w:r>
            <w:r>
              <w:rPr>
                <w:rFonts w:hint="eastAsia"/>
                <w:color w:val="auto"/>
              </w:rPr>
              <w:t>的</w:t>
            </w:r>
            <w:r>
              <w:rPr>
                <w:rFonts w:hint="eastAsia"/>
                <w:color w:val="auto"/>
                <w:szCs w:val="21"/>
              </w:rPr>
              <w:t>法人或其他组织</w:t>
            </w:r>
            <w:r>
              <w:rPr>
                <w:rFonts w:hint="eastAsia"/>
                <w:color w:val="auto"/>
              </w:rPr>
              <w:t>，需提供成立之日起至响应文件提交截止时间前的月报表</w:t>
            </w:r>
            <w:r>
              <w:rPr>
                <w:rFonts w:hint="eastAsia"/>
                <w:color w:val="auto"/>
                <w:szCs w:val="21"/>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rPr>
              <w:t>；</w:t>
            </w:r>
            <w:r>
              <w:rPr>
                <w:rFonts w:hint="eastAsia" w:ascii="宋体" w:hAnsi="宋体" w:cs="宋体"/>
                <w:bCs/>
                <w:color w:val="auto"/>
                <w:szCs w:val="21"/>
              </w:rPr>
              <w:t>（</w:t>
            </w:r>
            <w:r>
              <w:rPr>
                <w:rFonts w:hint="eastAsia" w:ascii="宋体" w:hAnsi="宋体"/>
                <w:b/>
                <w:color w:val="auto"/>
                <w:szCs w:val="21"/>
              </w:rPr>
              <w:t>必须提供</w:t>
            </w:r>
            <w:r>
              <w:rPr>
                <w:rFonts w:hint="eastAsia" w:ascii="宋体" w:hAnsi="宋体" w:cs="宋体"/>
                <w:b/>
                <w:color w:val="auto"/>
                <w:szCs w:val="21"/>
              </w:rPr>
              <w:t>，否则响应文件按无效响应处理</w:t>
            </w:r>
            <w:r>
              <w:rPr>
                <w:rFonts w:hint="eastAsia" w:ascii="宋体" w:hAnsi="宋体" w:cs="宋体"/>
                <w:bCs/>
                <w:color w:val="auto"/>
                <w:szCs w:val="21"/>
              </w:rPr>
              <w:t>）</w:t>
            </w:r>
          </w:p>
          <w:p w14:paraId="10773E67">
            <w:pPr>
              <w:snapToGrid w:val="0"/>
              <w:spacing w:line="360" w:lineRule="exact"/>
              <w:jc w:val="left"/>
              <w:rPr>
                <w:rFonts w:ascii="宋体" w:hAnsi="宋体" w:cs="宋体"/>
                <w:color w:val="auto"/>
                <w:szCs w:val="21"/>
              </w:rPr>
            </w:pPr>
            <w:r>
              <w:rPr>
                <w:rFonts w:hint="eastAsia" w:ascii="宋体" w:hAnsi="宋体" w:cs="宋体"/>
                <w:color w:val="auto"/>
                <w:szCs w:val="21"/>
              </w:rPr>
              <w:t>5.供应商直接控股、管理关系信息表（格式后附）；（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4880544">
            <w:pPr>
              <w:snapToGrid w:val="0"/>
              <w:spacing w:line="360" w:lineRule="exact"/>
              <w:jc w:val="left"/>
              <w:rPr>
                <w:rFonts w:ascii="宋体" w:hAnsi="宋体" w:cs="宋体"/>
                <w:color w:val="auto"/>
                <w:szCs w:val="21"/>
              </w:rPr>
            </w:pPr>
            <w:r>
              <w:rPr>
                <w:rFonts w:hint="eastAsia" w:ascii="宋体" w:hAnsi="宋体" w:cs="宋体"/>
                <w:color w:val="auto"/>
                <w:szCs w:val="21"/>
              </w:rPr>
              <w:t>6.竞标声明（格式后附）；（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1A260170">
            <w:pPr>
              <w:snapToGrid w:val="0"/>
              <w:spacing w:line="360" w:lineRule="exact"/>
              <w:jc w:val="left"/>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.联合体竞标协议书（格式后附）；（</w:t>
            </w:r>
            <w:r>
              <w:rPr>
                <w:rFonts w:hint="eastAsia" w:ascii="宋体" w:hAnsi="宋体" w:cs="宋体"/>
                <w:b/>
                <w:color w:val="auto"/>
                <w:szCs w:val="21"/>
              </w:rPr>
              <w:t>联合体竞标时必须提供，否则响应文件按无效响应处理</w:t>
            </w:r>
            <w:r>
              <w:rPr>
                <w:rFonts w:hint="eastAsia" w:ascii="宋体" w:hAnsi="宋体" w:cs="宋体"/>
                <w:color w:val="auto"/>
                <w:szCs w:val="21"/>
              </w:rPr>
              <w:t>）</w:t>
            </w:r>
          </w:p>
          <w:p w14:paraId="254D6B1F">
            <w:pPr>
              <w:snapToGrid w:val="0"/>
              <w:spacing w:line="360" w:lineRule="exact"/>
              <w:jc w:val="left"/>
              <w:rPr>
                <w:rFonts w:ascii="宋体" w:hAnsi="宋体" w:cs="宋体"/>
                <w:color w:val="auto"/>
                <w:szCs w:val="21"/>
              </w:rPr>
            </w:pPr>
            <w:r>
              <w:rPr>
                <w:rFonts w:hint="eastAsia" w:ascii="宋体" w:hAnsi="宋体" w:cs="宋体"/>
                <w:color w:val="auto"/>
                <w:kern w:val="0"/>
                <w:szCs w:val="21"/>
              </w:rPr>
              <w:t>8</w:t>
            </w:r>
            <w:r>
              <w:rPr>
                <w:rFonts w:hint="eastAsia" w:ascii="宋体" w:hAnsi="宋体" w:cs="宋体"/>
                <w:color w:val="auto"/>
                <w:szCs w:val="21"/>
              </w:rPr>
              <w:t>.供应商属于中小企业的相关证明材料（格式后附）</w:t>
            </w:r>
            <w:r>
              <w:rPr>
                <w:rFonts w:hint="eastAsia" w:ascii="宋体" w:hAnsi="宋体" w:cs="宋体"/>
                <w:b/>
                <w:bCs/>
                <w:color w:val="auto"/>
                <w:szCs w:val="21"/>
              </w:rPr>
              <w:t>（如有，请提供）</w:t>
            </w:r>
            <w:r>
              <w:rPr>
                <w:rFonts w:hint="eastAsia" w:ascii="宋体" w:hAnsi="宋体" w:cs="宋体"/>
                <w:color w:val="auto"/>
                <w:szCs w:val="21"/>
              </w:rPr>
              <w:t>；</w:t>
            </w:r>
          </w:p>
          <w:p w14:paraId="67F468B7">
            <w:pPr>
              <w:snapToGrid w:val="0"/>
              <w:spacing w:line="360" w:lineRule="exact"/>
              <w:jc w:val="left"/>
              <w:rPr>
                <w:rFonts w:ascii="宋体" w:hAnsi="宋体" w:cs="宋体"/>
                <w:color w:val="auto"/>
                <w:szCs w:val="21"/>
              </w:rPr>
            </w:pPr>
            <w:r>
              <w:rPr>
                <w:rFonts w:hint="eastAsia" w:ascii="宋体" w:hAnsi="宋体" w:cs="宋体"/>
                <w:color w:val="auto"/>
                <w:szCs w:val="21"/>
              </w:rPr>
              <w:t>本项目非专门面向中小企业采购,供应商可根据自身情况，相应提供以下任一证明材料：</w:t>
            </w:r>
          </w:p>
          <w:p w14:paraId="5ED74A69">
            <w:pPr>
              <w:snapToGrid w:val="0"/>
              <w:spacing w:line="360" w:lineRule="exact"/>
              <w:jc w:val="left"/>
              <w:rPr>
                <w:rFonts w:ascii="宋体" w:hAnsi="宋体" w:cs="宋体"/>
                <w:color w:val="auto"/>
                <w:szCs w:val="21"/>
              </w:rPr>
            </w:pPr>
            <w:r>
              <w:rPr>
                <w:rFonts w:hint="eastAsia" w:ascii="宋体" w:hAnsi="宋体" w:cs="宋体"/>
                <w:color w:val="auto"/>
                <w:szCs w:val="21"/>
              </w:rPr>
              <w:t>①供应商如为符合政策要求的中小企业且承接本项目全部服务的，提供《中小企业声明函》（并对声明的真实性负责）。</w:t>
            </w:r>
          </w:p>
          <w:p w14:paraId="4780FD44">
            <w:pPr>
              <w:snapToGrid w:val="0"/>
              <w:spacing w:line="360" w:lineRule="exact"/>
              <w:jc w:val="left"/>
              <w:rPr>
                <w:rFonts w:ascii="宋体" w:hAnsi="宋体" w:cs="宋体"/>
                <w:color w:val="auto"/>
                <w:szCs w:val="21"/>
              </w:rPr>
            </w:pPr>
            <w:r>
              <w:rPr>
                <w:rFonts w:hint="eastAsia" w:ascii="宋体" w:hAnsi="宋体" w:cs="宋体"/>
                <w:color w:val="auto"/>
                <w:szCs w:val="21"/>
              </w:rPr>
              <w:t>②供应商如属于监狱企业且承接本项目全部服务的，提供由省级以上监狱管理局、戒毒管理局(含新疆生产建设兵团)出具的属于监狱企业的证明文件。</w:t>
            </w:r>
          </w:p>
          <w:p w14:paraId="0EB0A9C8">
            <w:pPr>
              <w:snapToGrid w:val="0"/>
              <w:spacing w:line="360" w:lineRule="exact"/>
              <w:jc w:val="left"/>
              <w:rPr>
                <w:rFonts w:ascii="宋体" w:hAnsi="宋体" w:cs="宋体"/>
                <w:color w:val="auto"/>
                <w:szCs w:val="21"/>
              </w:rPr>
            </w:pPr>
            <w:r>
              <w:rPr>
                <w:rFonts w:hint="eastAsia" w:ascii="宋体" w:hAnsi="宋体" w:cs="宋体"/>
                <w:color w:val="auto"/>
                <w:szCs w:val="21"/>
              </w:rPr>
              <w:t>③供应商如属于符合条件的残疾人福利性单位且承接本项目全部服务的，提供《残疾人福利性单位声明函》（并对声明的真实性负责）。</w:t>
            </w:r>
          </w:p>
          <w:p w14:paraId="65B74D10">
            <w:pPr>
              <w:snapToGrid w:val="0"/>
              <w:spacing w:line="360" w:lineRule="exact"/>
              <w:jc w:val="left"/>
              <w:rPr>
                <w:rFonts w:ascii="宋体" w:hAnsi="宋体" w:cs="宋体"/>
                <w:color w:val="auto"/>
                <w:szCs w:val="21"/>
              </w:rPr>
            </w:pPr>
            <w:r>
              <w:rPr>
                <w:rFonts w:hint="eastAsia" w:ascii="宋体" w:hAnsi="宋体" w:cs="宋体"/>
                <w:color w:val="auto"/>
                <w:szCs w:val="21"/>
              </w:rPr>
              <w:t>9.除磋商文件规定必须提供以外，供应商认为需要提供的其他证明材料；</w:t>
            </w:r>
          </w:p>
          <w:p w14:paraId="67785B15">
            <w:pPr>
              <w:snapToGrid w:val="0"/>
              <w:spacing w:line="360" w:lineRule="exact"/>
              <w:jc w:val="left"/>
              <w:rPr>
                <w:rFonts w:ascii="宋体" w:hAnsi="宋体" w:cs="宋体"/>
                <w:b/>
                <w:color w:val="auto"/>
                <w:szCs w:val="21"/>
              </w:rPr>
            </w:pPr>
            <w:r>
              <w:rPr>
                <w:rFonts w:hint="eastAsia" w:ascii="宋体" w:hAnsi="宋体" w:cs="宋体"/>
                <w:b/>
                <w:color w:val="auto"/>
                <w:szCs w:val="21"/>
              </w:rPr>
              <w:t>注：</w:t>
            </w:r>
          </w:p>
          <w:p w14:paraId="697AD62F">
            <w:pPr>
              <w:snapToGrid w:val="0"/>
              <w:spacing w:line="360" w:lineRule="exact"/>
              <w:ind w:left="-2" w:leftChars="-10" w:hanging="19" w:hangingChars="9"/>
              <w:jc w:val="left"/>
              <w:rPr>
                <w:b/>
                <w:color w:val="auto"/>
              </w:rPr>
            </w:pPr>
            <w:r>
              <w:rPr>
                <w:rFonts w:hint="eastAsia" w:ascii="宋体" w:hAnsi="宋体" w:cs="宋体"/>
                <w:b/>
                <w:color w:val="auto"/>
                <w:szCs w:val="21"/>
              </w:rPr>
              <w:t>1.以上标明“必须提供”的材料属于复印件的，必须加盖供应商</w:t>
            </w:r>
            <w:r>
              <w:rPr>
                <w:rFonts w:hint="eastAsia"/>
                <w:b/>
                <w:color w:val="auto"/>
              </w:rPr>
              <w:t>电子签章，</w:t>
            </w:r>
            <w:r>
              <w:rPr>
                <w:rFonts w:hint="eastAsia" w:ascii="宋体" w:hAnsi="宋体" w:cs="Courier New"/>
                <w:b/>
                <w:color w:val="auto"/>
                <w:szCs w:val="21"/>
              </w:rPr>
              <w:t>必须提供的材料在第五章“响应文件格式”中有要求法定代表人或委托代理人签字的，必须由法定代表人或委托代理人签字</w:t>
            </w:r>
            <w:r>
              <w:rPr>
                <w:rFonts w:hint="eastAsia" w:ascii="宋体" w:hAnsi="宋体"/>
                <w:b/>
                <w:bCs/>
                <w:color w:val="auto"/>
                <w:szCs w:val="21"/>
              </w:rPr>
              <w:t>（或者电子签名），</w:t>
            </w:r>
            <w:r>
              <w:rPr>
                <w:rFonts w:hint="eastAsia" w:ascii="宋体" w:hAnsi="宋体" w:cs="宋体"/>
                <w:b/>
                <w:color w:val="auto"/>
                <w:szCs w:val="21"/>
              </w:rPr>
              <w:t>否则响应文件按无效处理。</w:t>
            </w:r>
          </w:p>
          <w:p w14:paraId="01F76317">
            <w:pPr>
              <w:pStyle w:val="12"/>
              <w:spacing w:line="360" w:lineRule="exact"/>
              <w:ind w:left="-2" w:leftChars="-10" w:hanging="19" w:hangingChars="9"/>
              <w:rPr>
                <w:rFonts w:ascii="宋体" w:hAnsi="宋体" w:cs="宋体"/>
                <w:b/>
                <w:color w:val="auto"/>
                <w:szCs w:val="21"/>
              </w:rPr>
            </w:pPr>
            <w:r>
              <w:rPr>
                <w:rFonts w:ascii="宋体" w:hAnsi="宋体"/>
                <w:b/>
                <w:bCs/>
                <w:color w:val="auto"/>
                <w:szCs w:val="21"/>
              </w:rPr>
              <w:t>2</w:t>
            </w:r>
            <w:r>
              <w:rPr>
                <w:rFonts w:hint="eastAsia" w:ascii="宋体" w:hAnsi="宋体"/>
                <w:b/>
                <w:bCs/>
                <w:color w:val="auto"/>
                <w:szCs w:val="21"/>
              </w:rPr>
              <w:t>.分公司参加竞标的，应当取得总公司授权。</w:t>
            </w:r>
          </w:p>
        </w:tc>
      </w:tr>
      <w:tr w14:paraId="40737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D8C3460">
            <w:pPr>
              <w:spacing w:line="360" w:lineRule="auto"/>
              <w:jc w:val="center"/>
              <w:rPr>
                <w:rFonts w:ascii="宋体" w:hAnsi="宋体" w:cs="宋体"/>
                <w:color w:val="auto"/>
                <w:szCs w:val="21"/>
              </w:rPr>
            </w:pPr>
            <w:r>
              <w:rPr>
                <w:rFonts w:hint="eastAsia" w:ascii="宋体" w:hAnsi="宋体" w:cs="宋体"/>
                <w:color w:val="auto"/>
                <w:szCs w:val="21"/>
              </w:rPr>
              <w:t>12.1.2</w:t>
            </w:r>
          </w:p>
        </w:tc>
        <w:tc>
          <w:tcPr>
            <w:tcW w:w="7912" w:type="dxa"/>
            <w:vAlign w:val="center"/>
          </w:tcPr>
          <w:p w14:paraId="01D58685">
            <w:pPr>
              <w:spacing w:line="360" w:lineRule="exact"/>
              <w:rPr>
                <w:rFonts w:ascii="宋体" w:hAnsi="宋体" w:cs="宋体"/>
                <w:b/>
                <w:color w:val="auto"/>
                <w:szCs w:val="21"/>
              </w:rPr>
            </w:pPr>
            <w:r>
              <w:rPr>
                <w:rFonts w:hint="eastAsia" w:ascii="宋体" w:hAnsi="宋体" w:cs="宋体"/>
                <w:b/>
                <w:color w:val="auto"/>
                <w:szCs w:val="21"/>
              </w:rPr>
              <w:t>报价文件</w:t>
            </w:r>
          </w:p>
          <w:p w14:paraId="41D7B99E">
            <w:pPr>
              <w:spacing w:line="360" w:lineRule="exac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磋商报价</w:t>
            </w:r>
            <w:r>
              <w:rPr>
                <w:rFonts w:hint="eastAsia" w:ascii="宋体" w:hAnsi="宋体" w:cs="宋体"/>
                <w:color w:val="auto"/>
                <w:szCs w:val="21"/>
              </w:rPr>
              <w:t>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E9DD2A7">
            <w:pPr>
              <w:spacing w:line="360" w:lineRule="exact"/>
              <w:rPr>
                <w:rFonts w:ascii="宋体" w:hAnsi="宋体" w:cs="宋体"/>
                <w:color w:val="auto"/>
                <w:szCs w:val="21"/>
              </w:rPr>
            </w:pPr>
            <w:r>
              <w:rPr>
                <w:rFonts w:hint="eastAsia" w:ascii="宋体" w:hAnsi="宋体" w:cs="宋体"/>
                <w:color w:val="auto"/>
                <w:szCs w:val="21"/>
              </w:rPr>
              <w:t>2.供应商认为需要提供的其他有关资料。</w:t>
            </w:r>
          </w:p>
          <w:p w14:paraId="74B9E3DE">
            <w:pPr>
              <w:spacing w:line="360" w:lineRule="exact"/>
              <w:rPr>
                <w:rFonts w:ascii="宋体" w:hAnsi="宋体" w:cs="宋体"/>
                <w:color w:val="auto"/>
                <w:szCs w:val="21"/>
              </w:rPr>
            </w:pPr>
            <w:r>
              <w:rPr>
                <w:rFonts w:hint="eastAsia" w:ascii="宋体" w:hAnsi="宋体" w:cs="Courier New"/>
                <w:b/>
                <w:color w:val="auto"/>
                <w:szCs w:val="21"/>
              </w:rPr>
              <w:t>注：以上标明“必须提供”的材料必须加盖供应商电子签章，必须提供的材料在第五章“响应文件格式”中有要求法定代表人或委托代理人签字的，必须由法定代表人或委托代理人签字（或者电子签名），否则响应文件按无效处理。</w:t>
            </w:r>
          </w:p>
        </w:tc>
      </w:tr>
      <w:tr w14:paraId="58E7A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60CC2B">
            <w:pPr>
              <w:spacing w:line="360" w:lineRule="auto"/>
              <w:jc w:val="center"/>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.3</w:t>
            </w:r>
          </w:p>
        </w:tc>
        <w:tc>
          <w:tcPr>
            <w:tcW w:w="7912" w:type="dxa"/>
            <w:vAlign w:val="center"/>
          </w:tcPr>
          <w:p w14:paraId="7D8B7A83">
            <w:pPr>
              <w:spacing w:line="360" w:lineRule="exact"/>
              <w:rPr>
                <w:rFonts w:ascii="宋体" w:hAnsi="宋体" w:cs="宋体"/>
                <w:b/>
                <w:bCs/>
                <w:color w:val="auto"/>
                <w:szCs w:val="21"/>
              </w:rPr>
            </w:pPr>
            <w:r>
              <w:rPr>
                <w:rFonts w:hint="eastAsia" w:ascii="宋体" w:hAnsi="宋体" w:cs="宋体"/>
                <w:b/>
                <w:bCs/>
                <w:color w:val="auto"/>
                <w:szCs w:val="21"/>
              </w:rPr>
              <w:t>商务技术文件</w:t>
            </w:r>
          </w:p>
          <w:p w14:paraId="34388A82">
            <w:pPr>
              <w:spacing w:line="360" w:lineRule="exact"/>
              <w:rPr>
                <w:rFonts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6ACD1D0">
            <w:pPr>
              <w:snapToGrid w:val="0"/>
              <w:spacing w:line="360" w:lineRule="exact"/>
              <w:jc w:val="left"/>
              <w:rPr>
                <w:rFonts w:ascii="宋体" w:hAnsi="宋体" w:cs="宋体"/>
                <w:color w:val="auto"/>
                <w:szCs w:val="21"/>
              </w:rPr>
            </w:pPr>
            <w:r>
              <w:rPr>
                <w:rFonts w:hint="eastAsia" w:ascii="宋体" w:hAnsi="宋体" w:cs="宋体"/>
                <w:color w:val="auto"/>
                <w:szCs w:val="21"/>
              </w:rPr>
              <w:t>2.法定代表人身份证明书及法定代表人有效身份证正反面复印件（格式后附）；（</w:t>
            </w:r>
            <w:r>
              <w:rPr>
                <w:rFonts w:hint="eastAsia" w:ascii="宋体" w:hAnsi="宋体" w:cs="宋体"/>
                <w:b/>
                <w:bCs/>
                <w:color w:val="auto"/>
                <w:szCs w:val="21"/>
              </w:rPr>
              <w:t>除自然人竞标外</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B3544D0">
            <w:pPr>
              <w:spacing w:line="360" w:lineRule="exact"/>
              <w:rPr>
                <w:rFonts w:ascii="宋体" w:hAnsi="宋体" w:cs="宋体"/>
                <w:b/>
                <w:color w:val="auto"/>
                <w:szCs w:val="21"/>
              </w:rPr>
            </w:pPr>
            <w:r>
              <w:rPr>
                <w:rFonts w:hint="eastAsia" w:ascii="宋体" w:hAnsi="宋体" w:cs="宋体"/>
                <w:color w:val="auto"/>
                <w:szCs w:val="21"/>
              </w:rPr>
              <w:t>3.授权委托书及委托代理人有效身份证正反面复印件（格式后附）；（</w:t>
            </w:r>
            <w:r>
              <w:rPr>
                <w:rFonts w:hint="eastAsia" w:ascii="宋体" w:hAnsi="宋体" w:cs="宋体"/>
                <w:b/>
                <w:color w:val="auto"/>
                <w:szCs w:val="21"/>
              </w:rPr>
              <w:t>委托时必须提供，否则响应文件按无效响应处理</w:t>
            </w:r>
            <w:r>
              <w:rPr>
                <w:rFonts w:hint="eastAsia" w:ascii="宋体" w:hAnsi="宋体" w:cs="宋体"/>
                <w:color w:val="auto"/>
                <w:szCs w:val="21"/>
              </w:rPr>
              <w:t>）</w:t>
            </w:r>
          </w:p>
          <w:p w14:paraId="39D4C622">
            <w:pPr>
              <w:spacing w:line="360" w:lineRule="exact"/>
              <w:rPr>
                <w:rFonts w:ascii="宋体" w:hAnsi="宋体" w:cs="宋体"/>
                <w:color w:val="auto"/>
                <w:szCs w:val="21"/>
              </w:rPr>
            </w:pPr>
            <w:r>
              <w:rPr>
                <w:rFonts w:hint="eastAsia" w:ascii="宋体" w:hAnsi="宋体" w:cs="宋体"/>
                <w:color w:val="auto"/>
                <w:szCs w:val="21"/>
              </w:rPr>
              <w:t>4.磋商保证金提交凭证；（</w:t>
            </w:r>
            <w:r>
              <w:rPr>
                <w:rFonts w:hint="eastAsia"/>
                <w:b/>
                <w:bCs/>
                <w:color w:val="auto"/>
              </w:rPr>
              <w:t>如要求提交磋商保证金的则必须提供</w:t>
            </w:r>
            <w:r>
              <w:rPr>
                <w:rFonts w:hint="eastAsia" w:ascii="宋体" w:hAnsi="宋体" w:cs="宋体"/>
                <w:b/>
                <w:color w:val="auto"/>
                <w:szCs w:val="21"/>
              </w:rPr>
              <w:t>，否则响应文件按无效响应处理</w:t>
            </w:r>
            <w:r>
              <w:rPr>
                <w:rFonts w:hint="eastAsia" w:ascii="宋体" w:hAnsi="宋体" w:cs="宋体"/>
                <w:color w:val="auto"/>
                <w:szCs w:val="21"/>
              </w:rPr>
              <w:t>）</w:t>
            </w:r>
          </w:p>
          <w:p w14:paraId="2B659B14">
            <w:pPr>
              <w:spacing w:line="360" w:lineRule="exact"/>
              <w:rPr>
                <w:rFonts w:ascii="宋体" w:hAnsi="宋体" w:cs="宋体"/>
                <w:color w:val="auto"/>
                <w:szCs w:val="21"/>
              </w:rPr>
            </w:pPr>
            <w:r>
              <w:rPr>
                <w:rFonts w:hint="eastAsia" w:ascii="宋体" w:hAnsi="宋体" w:cs="宋体"/>
                <w:color w:val="auto"/>
                <w:szCs w:val="21"/>
              </w:rPr>
              <w:t>5.商务要求响应承诺书（格式后附）；（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FA92023">
            <w:pPr>
              <w:spacing w:line="360" w:lineRule="exact"/>
              <w:rPr>
                <w:rFonts w:ascii="宋体" w:hAnsi="宋体" w:cs="宋体"/>
                <w:color w:val="auto"/>
                <w:szCs w:val="21"/>
              </w:rPr>
            </w:pPr>
            <w:r>
              <w:rPr>
                <w:rFonts w:hint="eastAsia" w:ascii="宋体" w:hAnsi="宋体" w:cs="宋体"/>
                <w:color w:val="auto"/>
                <w:szCs w:val="21"/>
              </w:rPr>
              <w:t>6.技术（服务）要求响应表（格式后附）；</w:t>
            </w:r>
            <w:r>
              <w:rPr>
                <w:rFonts w:hint="eastAsia" w:ascii="宋体" w:hAnsi="宋体" w:cs="宋体"/>
                <w:b/>
                <w:color w:val="auto"/>
                <w:szCs w:val="21"/>
              </w:rPr>
              <w:t>（必须提供，否则响应文件按无效响应处理）</w:t>
            </w:r>
          </w:p>
          <w:p w14:paraId="41F64378">
            <w:pPr>
              <w:spacing w:line="360" w:lineRule="exact"/>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w:t>
            </w:r>
            <w:r>
              <w:rPr>
                <w:rFonts w:hint="eastAsia" w:ascii="宋体" w:hAnsi="宋体"/>
                <w:bCs/>
                <w:color w:val="auto"/>
                <w:kern w:val="0"/>
                <w:szCs w:val="21"/>
              </w:rPr>
              <w:t>项目实施方案（包含但不限于：①</w:t>
            </w:r>
            <w:r>
              <w:rPr>
                <w:rFonts w:hint="eastAsia" w:hAnsi="宋体" w:cs="宋体"/>
                <w:color w:val="auto"/>
              </w:rPr>
              <w:t>维保实施方案</w:t>
            </w:r>
            <w:r>
              <w:rPr>
                <w:rFonts w:hint="eastAsia" w:ascii="宋体" w:hAnsi="宋体"/>
                <w:bCs/>
                <w:color w:val="auto"/>
                <w:kern w:val="0"/>
                <w:szCs w:val="21"/>
              </w:rPr>
              <w:t>；②</w:t>
            </w:r>
            <w:r>
              <w:rPr>
                <w:rFonts w:hint="eastAsia" w:hAnsi="宋体" w:cs="宋体"/>
                <w:color w:val="auto"/>
              </w:rPr>
              <w:t>服务计划</w:t>
            </w:r>
            <w:r>
              <w:rPr>
                <w:rFonts w:hint="eastAsia" w:ascii="宋体" w:hAnsi="宋体"/>
                <w:bCs/>
                <w:color w:val="auto"/>
                <w:kern w:val="0"/>
                <w:szCs w:val="21"/>
              </w:rPr>
              <w:t>；③</w:t>
            </w:r>
            <w:r>
              <w:rPr>
                <w:rFonts w:hint="eastAsia" w:hAnsi="宋体" w:cs="宋体"/>
                <w:color w:val="auto"/>
              </w:rPr>
              <w:t>各项服务流程</w:t>
            </w:r>
            <w:r>
              <w:rPr>
                <w:rFonts w:hint="eastAsia" w:ascii="宋体" w:hAnsi="宋体"/>
                <w:bCs/>
                <w:color w:val="auto"/>
                <w:kern w:val="0"/>
                <w:szCs w:val="21"/>
              </w:rPr>
              <w:t>；④应急处理措施等）</w:t>
            </w:r>
            <w:r>
              <w:rPr>
                <w:rFonts w:hint="eastAsia" w:ascii="宋体" w:hAnsi="宋体" w:cs="宋体"/>
                <w:color w:val="auto"/>
                <w:szCs w:val="21"/>
              </w:rPr>
              <w:t>；（格式后附）（如有，请提供）</w:t>
            </w:r>
          </w:p>
          <w:p w14:paraId="029DDC6D">
            <w:pPr>
              <w:spacing w:line="360" w:lineRule="exact"/>
              <w:rPr>
                <w:rFonts w:ascii="宋体" w:hAnsi="宋体" w:cs="宋体"/>
                <w:color w:val="auto"/>
                <w:szCs w:val="21"/>
              </w:rPr>
            </w:pPr>
            <w:r>
              <w:rPr>
                <w:rFonts w:ascii="宋体" w:hAnsi="宋体" w:cs="宋体"/>
                <w:color w:val="auto"/>
                <w:szCs w:val="21"/>
              </w:rPr>
              <w:t>8.</w:t>
            </w:r>
            <w:r>
              <w:rPr>
                <w:rFonts w:hint="eastAsia" w:ascii="宋体" w:hAnsi="宋体"/>
                <w:color w:val="auto"/>
                <w:szCs w:val="21"/>
              </w:rPr>
              <w:t>拟投入维护保养实施人员方案（包含但不限于：①实施人员管理组织架构；②人员分工；③应急维护人员调配方案等）</w:t>
            </w:r>
            <w:r>
              <w:rPr>
                <w:rFonts w:hint="eastAsia" w:ascii="宋体" w:hAnsi="宋体" w:cs="宋体"/>
                <w:color w:val="auto"/>
                <w:szCs w:val="21"/>
              </w:rPr>
              <w:t>（格式后附）（如有，请提供）</w:t>
            </w:r>
          </w:p>
          <w:p w14:paraId="752F6E22">
            <w:pPr>
              <w:spacing w:line="360" w:lineRule="exact"/>
              <w:rPr>
                <w:rFonts w:ascii="宋体" w:hAnsi="宋体" w:cs="宋体"/>
                <w:color w:val="auto"/>
                <w:szCs w:val="21"/>
              </w:rPr>
            </w:pPr>
            <w:r>
              <w:rPr>
                <w:rFonts w:hint="eastAsia" w:ascii="宋体" w:hAnsi="宋体" w:cs="宋体"/>
                <w:color w:val="auto"/>
                <w:szCs w:val="21"/>
              </w:rPr>
              <w:t>9.培训方案</w:t>
            </w:r>
            <w:r>
              <w:rPr>
                <w:rFonts w:hint="eastAsia" w:ascii="宋体" w:hAnsi="宋体"/>
                <w:color w:val="auto"/>
                <w:szCs w:val="21"/>
              </w:rPr>
              <w:t>【包含但不限于：①</w:t>
            </w:r>
            <w:r>
              <w:rPr>
                <w:rFonts w:hint="eastAsia" w:hAnsi="宋体" w:cs="宋体"/>
                <w:bCs/>
                <w:color w:val="auto"/>
              </w:rPr>
              <w:t>师资人员安排</w:t>
            </w:r>
            <w:r>
              <w:rPr>
                <w:rFonts w:hint="eastAsia" w:ascii="宋体" w:hAnsi="宋体"/>
                <w:color w:val="auto"/>
                <w:szCs w:val="21"/>
              </w:rPr>
              <w:t>；②</w:t>
            </w:r>
            <w:r>
              <w:rPr>
                <w:rFonts w:hint="eastAsia" w:hAnsi="宋体" w:cs="宋体"/>
                <w:bCs/>
                <w:color w:val="auto"/>
              </w:rPr>
              <w:t>培训内容安排（包括设备功能理论及设备应用培训计划、设备常见问题的基本维修及保养、操作培训计划）</w:t>
            </w:r>
            <w:r>
              <w:rPr>
                <w:rFonts w:hint="eastAsia" w:ascii="宋体" w:hAnsi="宋体"/>
                <w:color w:val="auto"/>
                <w:szCs w:val="21"/>
              </w:rPr>
              <w:t>】</w:t>
            </w:r>
            <w:r>
              <w:rPr>
                <w:rFonts w:hint="eastAsia" w:ascii="宋体" w:hAnsi="宋体" w:cs="宋体"/>
                <w:color w:val="auto"/>
                <w:szCs w:val="21"/>
              </w:rPr>
              <w:t>（格式后附）（如有，请提供）</w:t>
            </w:r>
          </w:p>
          <w:p w14:paraId="11AD3469">
            <w:pPr>
              <w:spacing w:line="360" w:lineRule="exact"/>
              <w:rPr>
                <w:rFonts w:ascii="宋体" w:hAnsi="宋体" w:cs="宋体"/>
                <w:color w:val="auto"/>
                <w:szCs w:val="21"/>
              </w:rPr>
            </w:pPr>
            <w:r>
              <w:rPr>
                <w:rFonts w:hint="eastAsia" w:ascii="宋体" w:hAnsi="宋体" w:cs="宋体"/>
                <w:color w:val="auto"/>
                <w:szCs w:val="21"/>
              </w:rPr>
              <w:t>10.对应采购需求的技术（服务）要求、商务要求提供的其他文件资料</w:t>
            </w:r>
            <w:r>
              <w:rPr>
                <w:rFonts w:hint="eastAsia" w:ascii="宋体" w:hAnsi="宋体"/>
                <w:color w:val="auto"/>
                <w:szCs w:val="21"/>
              </w:rPr>
              <w:t>（格式自拟）</w:t>
            </w:r>
            <w:r>
              <w:rPr>
                <w:rFonts w:hint="eastAsia" w:ascii="宋体" w:hAnsi="宋体" w:cs="宋体"/>
                <w:color w:val="auto"/>
                <w:szCs w:val="21"/>
              </w:rPr>
              <w:t>；</w:t>
            </w:r>
          </w:p>
          <w:p w14:paraId="64F6AB0C">
            <w:pPr>
              <w:spacing w:line="360" w:lineRule="exact"/>
              <w:rPr>
                <w:rFonts w:ascii="宋体" w:hAnsi="宋体" w:cs="宋体"/>
                <w:color w:val="auto"/>
                <w:szCs w:val="21"/>
              </w:rPr>
            </w:pPr>
            <w:r>
              <w:rPr>
                <w:rFonts w:hint="eastAsia" w:ascii="宋体" w:hAnsi="宋体" w:cs="宋体"/>
                <w:color w:val="auto"/>
                <w:szCs w:val="21"/>
              </w:rPr>
              <w:t>11.供应商认为需要提供的其他有关资料。</w:t>
            </w:r>
          </w:p>
          <w:p w14:paraId="3266F55B">
            <w:pPr>
              <w:snapToGrid w:val="0"/>
              <w:spacing w:line="360" w:lineRule="exact"/>
              <w:jc w:val="left"/>
              <w:rPr>
                <w:rFonts w:ascii="宋体" w:hAnsi="宋体" w:cs="宋体"/>
                <w:b/>
                <w:color w:val="auto"/>
                <w:szCs w:val="21"/>
              </w:rPr>
            </w:pPr>
            <w:r>
              <w:rPr>
                <w:rFonts w:hint="eastAsia" w:ascii="宋体" w:hAnsi="宋体" w:cs="宋体"/>
                <w:b/>
                <w:color w:val="auto"/>
                <w:szCs w:val="21"/>
              </w:rPr>
              <w:t>注：以上标明“必须提供”的材料必须加盖供应商</w:t>
            </w:r>
            <w:r>
              <w:rPr>
                <w:rFonts w:hint="eastAsia"/>
                <w:b/>
                <w:color w:val="auto"/>
              </w:rPr>
              <w:t>电子签章</w:t>
            </w:r>
            <w:r>
              <w:rPr>
                <w:rFonts w:hint="eastAsia" w:ascii="宋体" w:hAnsi="宋体" w:cs="宋体"/>
                <w:b/>
                <w:color w:val="auto"/>
                <w:szCs w:val="21"/>
              </w:rPr>
              <w:t>，</w:t>
            </w:r>
            <w:r>
              <w:rPr>
                <w:rFonts w:hint="eastAsia" w:ascii="宋体" w:hAnsi="宋体" w:cs="Courier New"/>
                <w:b/>
                <w:color w:val="auto"/>
                <w:szCs w:val="21"/>
              </w:rPr>
              <w:t>必须提供的材料在第五章“响应文件格式”中有要求法定代表人或委托代理人签字的，必须由法定代表人或委托代理人签字</w:t>
            </w:r>
            <w:r>
              <w:rPr>
                <w:rFonts w:hint="eastAsia" w:ascii="宋体" w:hAnsi="宋体"/>
                <w:b/>
                <w:bCs/>
                <w:color w:val="auto"/>
                <w:szCs w:val="21"/>
              </w:rPr>
              <w:t>（或者电子签名），</w:t>
            </w:r>
            <w:r>
              <w:rPr>
                <w:rFonts w:hint="eastAsia" w:ascii="宋体" w:hAnsi="宋体" w:cs="宋体"/>
                <w:b/>
                <w:color w:val="auto"/>
                <w:szCs w:val="21"/>
              </w:rPr>
              <w:t>否则响应文件按无效处理。</w:t>
            </w:r>
          </w:p>
        </w:tc>
      </w:tr>
      <w:tr w14:paraId="18F29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3C2734">
            <w:pPr>
              <w:spacing w:line="360" w:lineRule="auto"/>
              <w:jc w:val="center"/>
              <w:rPr>
                <w:rFonts w:ascii="宋体" w:hAnsi="宋体" w:cs="宋体"/>
                <w:color w:val="auto"/>
                <w:szCs w:val="21"/>
              </w:rPr>
            </w:pPr>
            <w:r>
              <w:rPr>
                <w:rFonts w:hint="eastAsia" w:ascii="宋体" w:hAnsi="宋体" w:cs="宋体"/>
                <w:color w:val="auto"/>
                <w:szCs w:val="21"/>
              </w:rPr>
              <w:t>15.2</w:t>
            </w:r>
          </w:p>
        </w:tc>
        <w:tc>
          <w:tcPr>
            <w:tcW w:w="7912" w:type="dxa"/>
            <w:vAlign w:val="center"/>
          </w:tcPr>
          <w:p w14:paraId="22AEFF20">
            <w:pPr>
              <w:spacing w:line="360" w:lineRule="exact"/>
              <w:contextualSpacing/>
              <w:jc w:val="left"/>
              <w:rPr>
                <w:rFonts w:ascii="宋体" w:hAnsi="宋体"/>
                <w:b/>
                <w:color w:val="auto"/>
                <w:szCs w:val="21"/>
              </w:rPr>
            </w:pPr>
            <w:r>
              <w:rPr>
                <w:rFonts w:hint="eastAsia" w:ascii="宋体" w:hAnsi="宋体"/>
                <w:color w:val="auto"/>
                <w:szCs w:val="21"/>
                <w:lang w:eastAsia="zh-CN"/>
              </w:rPr>
              <w:t>磋商报价</w:t>
            </w:r>
            <w:r>
              <w:rPr>
                <w:rFonts w:hint="eastAsia" w:ascii="宋体" w:hAnsi="宋体"/>
                <w:color w:val="auto"/>
                <w:szCs w:val="21"/>
              </w:rPr>
              <w:t>是履行合同的最终价格，供应商磋商报价应包含包含完成本服务项目所需的相关费用，包括但不限于服务内容、所涉及的备品备件、工具、人工费、工程师维修费、差旅费、更换备件费、运输费、材料、实施、调试、验收、技术培训及技术资料、软件升级等各种费用和售后服务、税金、招标代理服务费及其它所有成本费用的总和，对于本文件中未列明，而供应商认为必须的费用也需列入报价。在合同实施时，采购人将不予支付成交供应商没有列入的项目费用，并认为此项目的费用已包括在磋商报价中。</w:t>
            </w:r>
          </w:p>
        </w:tc>
      </w:tr>
      <w:tr w14:paraId="45D78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DD2005A">
            <w:pPr>
              <w:spacing w:line="360" w:lineRule="auto"/>
              <w:jc w:val="center"/>
              <w:rPr>
                <w:rFonts w:ascii="宋体" w:hAnsi="宋体" w:cs="宋体"/>
                <w:color w:val="auto"/>
                <w:szCs w:val="21"/>
              </w:rPr>
            </w:pPr>
            <w:r>
              <w:rPr>
                <w:rFonts w:hint="eastAsia" w:ascii="宋体" w:hAnsi="宋体" w:cs="宋体"/>
                <w:color w:val="auto"/>
                <w:szCs w:val="21"/>
              </w:rPr>
              <w:t>16.</w:t>
            </w:r>
            <w:r>
              <w:rPr>
                <w:rFonts w:ascii="宋体" w:hAnsi="宋体" w:cs="宋体"/>
                <w:color w:val="auto"/>
                <w:szCs w:val="21"/>
              </w:rPr>
              <w:t>2</w:t>
            </w:r>
          </w:p>
        </w:tc>
        <w:tc>
          <w:tcPr>
            <w:tcW w:w="7912" w:type="dxa"/>
            <w:vAlign w:val="center"/>
          </w:tcPr>
          <w:p w14:paraId="15A570F2">
            <w:pPr>
              <w:pStyle w:val="11"/>
              <w:widowControl w:val="0"/>
              <w:tabs>
                <w:tab w:val="clear" w:pos="454"/>
              </w:tabs>
              <w:snapToGrid w:val="0"/>
              <w:spacing w:afterLines="0" w:line="360" w:lineRule="exact"/>
              <w:ind w:left="283" w:hanging="283" w:hangingChars="135"/>
              <w:rPr>
                <w:rFonts w:ascii="宋体" w:hAnsi="宋体" w:cs="宋体"/>
                <w:color w:val="auto"/>
                <w:kern w:val="2"/>
                <w:sz w:val="21"/>
                <w:szCs w:val="21"/>
              </w:rPr>
            </w:pPr>
            <w:r>
              <w:rPr>
                <w:rFonts w:hint="eastAsia" w:ascii="宋体" w:hAnsi="宋体" w:cs="宋体"/>
                <w:color w:val="auto"/>
                <w:kern w:val="2"/>
                <w:sz w:val="21"/>
                <w:szCs w:val="21"/>
              </w:rPr>
              <w:t>竞标有效期：自首次响应文件提交截止之日起</w:t>
            </w:r>
            <w:r>
              <w:rPr>
                <w:rFonts w:ascii="宋体" w:hAnsi="宋体" w:cs="宋体"/>
                <w:color w:val="auto"/>
                <w:kern w:val="2"/>
                <w:sz w:val="21"/>
                <w:szCs w:val="21"/>
                <w:u w:val="single"/>
              </w:rPr>
              <w:t>60</w:t>
            </w:r>
            <w:r>
              <w:rPr>
                <w:rFonts w:hint="eastAsia" w:ascii="宋体" w:hAnsi="宋体" w:cs="宋体"/>
                <w:color w:val="auto"/>
                <w:kern w:val="2"/>
                <w:sz w:val="21"/>
                <w:szCs w:val="21"/>
              </w:rPr>
              <w:t>日。</w:t>
            </w:r>
          </w:p>
        </w:tc>
      </w:tr>
      <w:tr w14:paraId="6777E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49D2738">
            <w:pPr>
              <w:spacing w:line="360" w:lineRule="auto"/>
              <w:jc w:val="center"/>
              <w:rPr>
                <w:rFonts w:ascii="宋体" w:hAnsi="宋体" w:cs="宋体"/>
                <w:color w:val="auto"/>
                <w:szCs w:val="21"/>
              </w:rPr>
            </w:pPr>
            <w:r>
              <w:rPr>
                <w:rFonts w:hint="eastAsia" w:ascii="宋体" w:hAnsi="宋体" w:cs="宋体"/>
                <w:color w:val="auto"/>
                <w:szCs w:val="21"/>
              </w:rPr>
              <w:t>17.1</w:t>
            </w:r>
          </w:p>
        </w:tc>
        <w:tc>
          <w:tcPr>
            <w:tcW w:w="7912" w:type="dxa"/>
            <w:vAlign w:val="center"/>
          </w:tcPr>
          <w:p w14:paraId="0B3FD14A">
            <w:pPr>
              <w:autoSpaceDE w:val="0"/>
              <w:autoSpaceDN w:val="0"/>
              <w:snapToGrid w:val="0"/>
              <w:spacing w:line="360" w:lineRule="exact"/>
              <w:rPr>
                <w:rFonts w:ascii="宋体" w:hAnsi="宋体"/>
                <w:color w:val="auto"/>
                <w:szCs w:val="21"/>
              </w:rPr>
            </w:pPr>
            <w:r>
              <w:rPr>
                <w:rFonts w:hint="eastAsia" w:ascii="宋体" w:hAnsi="宋体"/>
                <w:color w:val="auto"/>
                <w:szCs w:val="21"/>
              </w:rPr>
              <w:t>□本项目不收取磋商保证金。</w:t>
            </w:r>
          </w:p>
          <w:p w14:paraId="0AB005BD">
            <w:pPr>
              <w:snapToGrid w:val="0"/>
              <w:spacing w:line="360" w:lineRule="exact"/>
              <w:rPr>
                <w:rFonts w:ascii="宋体" w:hAnsi="宋体"/>
                <w:color w:val="auto"/>
                <w:szCs w:val="21"/>
              </w:rPr>
            </w:pPr>
            <w:r>
              <w:rPr>
                <w:rFonts w:ascii="Segoe UI Symbol" w:hAnsi="Segoe UI Symbol" w:cs="Segoe UI Symbol"/>
                <w:color w:val="auto"/>
                <w:szCs w:val="21"/>
              </w:rPr>
              <w:t>☑</w:t>
            </w:r>
            <w:r>
              <w:rPr>
                <w:rFonts w:hint="eastAsia" w:ascii="宋体" w:hAnsi="宋体"/>
                <w:color w:val="auto"/>
                <w:szCs w:val="21"/>
              </w:rPr>
              <w:t>本项目收取磋商保证金，具体规定如下：</w:t>
            </w:r>
          </w:p>
          <w:p w14:paraId="14C7DF33">
            <w:pPr>
              <w:autoSpaceDE w:val="0"/>
              <w:autoSpaceDN w:val="0"/>
              <w:snapToGrid w:val="0"/>
              <w:spacing w:line="360" w:lineRule="exact"/>
              <w:rPr>
                <w:rFonts w:ascii="宋体" w:hAnsi="宋体"/>
                <w:color w:val="auto"/>
                <w:szCs w:val="21"/>
              </w:rPr>
            </w:pPr>
            <w:r>
              <w:rPr>
                <w:rFonts w:hint="eastAsia" w:ascii="宋体" w:hAnsi="宋体"/>
                <w:color w:val="auto"/>
                <w:szCs w:val="21"/>
              </w:rPr>
              <w:t>磋商保证金人民币壹万捌仟叁佰元整（¥18300.00）。</w:t>
            </w:r>
          </w:p>
          <w:p w14:paraId="0512D2E9">
            <w:pPr>
              <w:autoSpaceDE w:val="0"/>
              <w:autoSpaceDN w:val="0"/>
              <w:snapToGrid w:val="0"/>
              <w:spacing w:line="360" w:lineRule="exact"/>
              <w:rPr>
                <w:rFonts w:ascii="宋体" w:hAnsi="宋体"/>
                <w:b/>
                <w:bCs/>
                <w:color w:val="auto"/>
                <w:szCs w:val="21"/>
              </w:rPr>
            </w:pPr>
            <w:r>
              <w:rPr>
                <w:rFonts w:hint="eastAsia" w:ascii="宋体" w:hAnsi="宋体"/>
                <w:color w:val="auto"/>
                <w:szCs w:val="21"/>
              </w:rPr>
              <w:t>磋商保证金的交纳方式：银行转账、支票、汇票、本票或者金融、担保机构出具的保函（包含电子保函），禁止采用现钞方式。采用银行转账方式的，在响应文件提交截止时间前交至指定账户并且到账</w:t>
            </w:r>
            <w:r>
              <w:rPr>
                <w:rFonts w:hint="eastAsia"/>
                <w:b/>
                <w:color w:val="auto"/>
                <w:kern w:val="0"/>
                <w:szCs w:val="21"/>
              </w:rPr>
              <w:t>（开户名称：欧邦工程管理集团有限公司桂林分公司；开户银行：桂林银行股份有限公司观音阁支行；银行账号：660010123185600010）</w:t>
            </w:r>
            <w:r>
              <w:rPr>
                <w:rFonts w:hint="eastAsia" w:ascii="宋体" w:hAnsi="宋体"/>
                <w:color w:val="auto"/>
                <w:szCs w:val="21"/>
              </w:rPr>
              <w:t>；采用支票、汇票、本票或者保函（包含电子保函）等方式的，在响应文件提交截止时间前，供应商必须提交单独密封的支票、汇票、本票或者保函原件。</w:t>
            </w:r>
            <w:r>
              <w:rPr>
                <w:rFonts w:hint="eastAsia" w:ascii="宋体" w:hAnsi="宋体"/>
                <w:b/>
                <w:bCs/>
                <w:color w:val="auto"/>
                <w:szCs w:val="21"/>
              </w:rPr>
              <w:t>否则视为无效磋商保证金。</w:t>
            </w:r>
          </w:p>
          <w:p w14:paraId="65607991">
            <w:pPr>
              <w:autoSpaceDE w:val="0"/>
              <w:autoSpaceDN w:val="0"/>
              <w:snapToGrid w:val="0"/>
              <w:spacing w:line="360" w:lineRule="exact"/>
              <w:rPr>
                <w:rFonts w:ascii="宋体" w:hAnsi="宋体"/>
                <w:color w:val="auto"/>
                <w:szCs w:val="21"/>
              </w:rPr>
            </w:pPr>
            <w:r>
              <w:rPr>
                <w:rFonts w:hint="eastAsia" w:ascii="宋体" w:hAnsi="宋体"/>
                <w:color w:val="auto"/>
                <w:szCs w:val="21"/>
              </w:rPr>
              <w:t>相关要求：</w:t>
            </w:r>
          </w:p>
          <w:p w14:paraId="7793CCAB">
            <w:pPr>
              <w:autoSpaceDE w:val="0"/>
              <w:autoSpaceDN w:val="0"/>
              <w:snapToGrid w:val="0"/>
              <w:spacing w:line="360" w:lineRule="exact"/>
              <w:rPr>
                <w:rFonts w:hint="eastAsia" w:ascii="宋体" w:hAnsi="宋体"/>
                <w:color w:val="auto"/>
                <w:szCs w:val="21"/>
              </w:rPr>
            </w:pPr>
            <w:r>
              <w:rPr>
                <w:rFonts w:hint="eastAsia" w:ascii="宋体" w:hAnsi="宋体"/>
                <w:color w:val="auto"/>
                <w:szCs w:val="21"/>
              </w:rPr>
              <w:t>1.磋商保证金采用银行转账交纳方式的，在响应文件提交截止时间前交至指定账户并且到账，供应商应将银行转账底单的复印件作为磋商保证金提交凭证，放置于商务技术文件中，否则响应文件按无效处理。</w:t>
            </w:r>
          </w:p>
          <w:p w14:paraId="5464F923">
            <w:pPr>
              <w:autoSpaceDE w:val="0"/>
              <w:autoSpaceDN w:val="0"/>
              <w:snapToGrid w:val="0"/>
              <w:spacing w:line="360" w:lineRule="exact"/>
              <w:rPr>
                <w:rFonts w:ascii="宋体" w:hAnsi="宋体"/>
                <w:color w:val="auto"/>
                <w:szCs w:val="21"/>
              </w:rPr>
            </w:pPr>
            <w:r>
              <w:rPr>
                <w:rFonts w:hint="eastAsia" w:ascii="宋体" w:hAnsi="宋体"/>
                <w:color w:val="auto"/>
                <w:szCs w:val="21"/>
              </w:rPr>
              <w:t>2.磋商保证金采用支票、汇票、本票或者金融、担保机构出具的保函（包含电子保函）交纳方式的，供应商应将支票、汇票、本票或者金融、担保机构出具的保函（包含电子保函）的复印件作为磋商保证金提交凭证，放置于商务技术文件中，否则响应文件按无效处理。供应商必须在响应文件提交截止时间前采用现场或邮寄方式</w:t>
            </w:r>
            <w:r>
              <w:rPr>
                <w:rFonts w:hint="eastAsia"/>
                <w:color w:val="auto"/>
              </w:rPr>
              <w:t>【现场提交地址：欧邦工程管理集团有限公司开标大厅（桂林市七星区穿山街道办莫家里二路文化室四楼）；邮寄地址：欧邦工程管理集团有限公司（桂林市七星区穿山街道办莫家里二路文化室四楼），收件人：刘芳芳、林雪青，联系方式：</w:t>
            </w:r>
            <w:r>
              <w:rPr>
                <w:color w:val="auto"/>
              </w:rPr>
              <w:t>0773-</w:t>
            </w:r>
            <w:r>
              <w:rPr>
                <w:rFonts w:hint="eastAsia"/>
                <w:color w:val="auto"/>
              </w:rPr>
              <w:t>2567907）】</w:t>
            </w:r>
            <w:r>
              <w:rPr>
                <w:rFonts w:hint="eastAsia" w:ascii="宋体" w:hAnsi="宋体"/>
                <w:color w:val="auto"/>
                <w:szCs w:val="21"/>
              </w:rPr>
              <w:t>将单独密封的支票、汇票、本票或者金融、担保机构出具的保函原件提交给采购人或者采购代理机构，由采购人或者采购代理机构向供应商出具回执（邮寄方式的除外），并妥善保管。</w:t>
            </w:r>
          </w:p>
          <w:p w14:paraId="768A348D">
            <w:pPr>
              <w:autoSpaceDE w:val="0"/>
              <w:autoSpaceDN w:val="0"/>
              <w:snapToGrid w:val="0"/>
              <w:spacing w:line="360" w:lineRule="exact"/>
              <w:rPr>
                <w:rFonts w:ascii="宋体" w:hAnsi="宋体"/>
                <w:color w:val="auto"/>
                <w:szCs w:val="21"/>
              </w:rPr>
            </w:pPr>
            <w:r>
              <w:rPr>
                <w:rFonts w:hint="eastAsia" w:ascii="宋体" w:hAnsi="宋体"/>
                <w:color w:val="auto"/>
                <w:szCs w:val="21"/>
              </w:rPr>
              <w:t>3.供应商为联合体的，可以由联合体中的一方或者多方共同交纳磋商保证金，其交纳的保证金对联合体各方均具有约束力。</w:t>
            </w:r>
          </w:p>
          <w:p w14:paraId="61A04F67">
            <w:pPr>
              <w:snapToGrid w:val="0"/>
              <w:spacing w:line="360" w:lineRule="exact"/>
              <w:rPr>
                <w:rFonts w:ascii="宋体" w:cs="宋体"/>
                <w:b/>
                <w:color w:val="auto"/>
                <w:szCs w:val="21"/>
              </w:rPr>
            </w:pPr>
            <w:r>
              <w:rPr>
                <w:rFonts w:hint="eastAsia" w:ascii="宋体" w:hAnsi="宋体" w:cs="宋体"/>
                <w:b/>
                <w:color w:val="auto"/>
                <w:szCs w:val="21"/>
              </w:rPr>
              <w:t>备注：</w:t>
            </w:r>
          </w:p>
          <w:p w14:paraId="68B96AA2">
            <w:pPr>
              <w:snapToGrid w:val="0"/>
              <w:spacing w:line="360" w:lineRule="exact"/>
              <w:rPr>
                <w:rFonts w:ascii="宋体" w:cs="宋体"/>
                <w:b/>
                <w:color w:val="auto"/>
                <w:szCs w:val="21"/>
              </w:rPr>
            </w:pPr>
            <w:r>
              <w:rPr>
                <w:rFonts w:ascii="宋体" w:hAnsi="宋体" w:cs="宋体"/>
                <w:b/>
                <w:color w:val="auto"/>
                <w:szCs w:val="21"/>
              </w:rPr>
              <w:t>1.</w:t>
            </w:r>
            <w:r>
              <w:rPr>
                <w:rFonts w:hint="eastAsia" w:ascii="宋体" w:hAnsi="宋体" w:cs="宋体"/>
                <w:b/>
                <w:color w:val="auto"/>
                <w:szCs w:val="21"/>
              </w:rPr>
              <w:t>磋商保证金在响应文件提交截止时间后提交的，或者不按规定交纳方式交纳的，或者未足额交纳的（包含保函、电子保函额度不足的），视为无效磋商保证金。</w:t>
            </w:r>
          </w:p>
          <w:p w14:paraId="07468D55">
            <w:pPr>
              <w:snapToGrid w:val="0"/>
              <w:spacing w:line="360" w:lineRule="exact"/>
              <w:rPr>
                <w:rFonts w:ascii="宋体" w:cs="宋体"/>
                <w:b/>
                <w:color w:val="auto"/>
                <w:szCs w:val="21"/>
              </w:rPr>
            </w:pPr>
            <w:r>
              <w:rPr>
                <w:rFonts w:ascii="宋体" w:hAnsi="宋体" w:cs="宋体"/>
                <w:b/>
                <w:color w:val="auto"/>
                <w:szCs w:val="21"/>
              </w:rPr>
              <w:t>2.</w:t>
            </w:r>
            <w:r>
              <w:rPr>
                <w:rFonts w:hint="eastAsia" w:ascii="宋体" w:hAnsi="宋体" w:cs="宋体"/>
                <w:b/>
                <w:color w:val="auto"/>
                <w:szCs w:val="21"/>
              </w:rPr>
              <w:t>供应商采用现钞方式或者从个人账户（自然人竞标除外）转出的磋商保证金，视为无效磋商保证金。</w:t>
            </w:r>
          </w:p>
          <w:p w14:paraId="338556A8">
            <w:pPr>
              <w:snapToGrid w:val="0"/>
              <w:spacing w:line="360" w:lineRule="exact"/>
              <w:rPr>
                <w:rFonts w:ascii="宋体" w:cs="宋体"/>
                <w:b/>
                <w:color w:val="auto"/>
                <w:szCs w:val="21"/>
              </w:rPr>
            </w:pPr>
            <w:r>
              <w:rPr>
                <w:rFonts w:ascii="宋体" w:hAnsi="宋体" w:cs="宋体"/>
                <w:b/>
                <w:color w:val="auto"/>
                <w:szCs w:val="21"/>
              </w:rPr>
              <w:t>3.</w:t>
            </w:r>
            <w:r>
              <w:rPr>
                <w:rFonts w:hint="eastAsia" w:ascii="宋体" w:hAnsi="宋体" w:cs="宋体"/>
                <w:b/>
                <w:color w:val="auto"/>
                <w:szCs w:val="21"/>
              </w:rPr>
              <w:t>支票、汇票或者本票出现无效或者背书情形的，视为无效磋商保证金。</w:t>
            </w:r>
          </w:p>
          <w:p w14:paraId="5AA0062F">
            <w:pPr>
              <w:snapToGrid w:val="0"/>
              <w:spacing w:line="360" w:lineRule="exact"/>
              <w:rPr>
                <w:rFonts w:ascii="宋体" w:hAnsi="宋体" w:cs="宋体"/>
                <w:color w:val="auto"/>
                <w:szCs w:val="21"/>
              </w:rPr>
            </w:pPr>
            <w:r>
              <w:rPr>
                <w:rFonts w:ascii="宋体" w:hAnsi="宋体" w:cs="宋体"/>
                <w:b/>
                <w:color w:val="auto"/>
                <w:szCs w:val="21"/>
              </w:rPr>
              <w:t>4.</w:t>
            </w:r>
            <w:r>
              <w:rPr>
                <w:rFonts w:hint="eastAsia" w:ascii="宋体" w:hAnsi="宋体" w:cs="宋体"/>
                <w:b/>
                <w:color w:val="auto"/>
                <w:szCs w:val="21"/>
              </w:rPr>
              <w:t>保函（包含电子保函）有效期低于竞标有效期的，视为无效磋商保证金。</w:t>
            </w:r>
          </w:p>
        </w:tc>
      </w:tr>
      <w:tr w14:paraId="72591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89240C0">
            <w:pPr>
              <w:spacing w:line="360" w:lineRule="auto"/>
              <w:jc w:val="center"/>
              <w:rPr>
                <w:rFonts w:ascii="宋体" w:hAnsi="宋体" w:cs="宋体"/>
                <w:color w:val="auto"/>
                <w:szCs w:val="21"/>
              </w:rPr>
            </w:pPr>
            <w:r>
              <w:rPr>
                <w:rFonts w:ascii="宋体" w:hAnsi="宋体" w:cs="宋体"/>
                <w:color w:val="auto"/>
                <w:szCs w:val="21"/>
              </w:rPr>
              <w:t>19</w:t>
            </w:r>
          </w:p>
        </w:tc>
        <w:tc>
          <w:tcPr>
            <w:tcW w:w="7912" w:type="dxa"/>
            <w:vAlign w:val="center"/>
          </w:tcPr>
          <w:p w14:paraId="41AE8222">
            <w:pPr>
              <w:spacing w:line="360" w:lineRule="exact"/>
              <w:rPr>
                <w:rFonts w:ascii="宋体" w:hAnsi="宋体" w:cs="宋体"/>
                <w:color w:val="auto"/>
                <w:szCs w:val="21"/>
              </w:rPr>
            </w:pPr>
            <w:r>
              <w:rPr>
                <w:rFonts w:hint="eastAsia" w:ascii="宋体" w:hAnsi="宋体"/>
                <w:color w:val="auto"/>
                <w:szCs w:val="21"/>
              </w:rPr>
              <w:t>本项目不接受</w:t>
            </w:r>
            <w:r>
              <w:rPr>
                <w:rFonts w:hint="eastAsia"/>
                <w:color w:val="auto"/>
              </w:rPr>
              <w:t>电子</w:t>
            </w:r>
            <w:r>
              <w:rPr>
                <w:rFonts w:hint="eastAsia" w:ascii="宋体" w:hAnsi="宋体"/>
                <w:color w:val="auto"/>
                <w:szCs w:val="21"/>
              </w:rPr>
              <w:t>备份响应文件。</w:t>
            </w:r>
          </w:p>
        </w:tc>
      </w:tr>
      <w:tr w14:paraId="0BB45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396B0A">
            <w:pPr>
              <w:spacing w:line="360" w:lineRule="auto"/>
              <w:jc w:val="center"/>
              <w:rPr>
                <w:rFonts w:ascii="宋体" w:hAnsi="宋体" w:cs="宋体"/>
                <w:color w:val="auto"/>
                <w:szCs w:val="21"/>
              </w:rPr>
            </w:pPr>
            <w:r>
              <w:rPr>
                <w:rFonts w:hint="eastAsia" w:ascii="宋体" w:hAnsi="宋体" w:cs="宋体"/>
                <w:color w:val="auto"/>
                <w:szCs w:val="21"/>
              </w:rPr>
              <w:t>20.1</w:t>
            </w:r>
          </w:p>
        </w:tc>
        <w:tc>
          <w:tcPr>
            <w:tcW w:w="7912" w:type="dxa"/>
            <w:vAlign w:val="center"/>
          </w:tcPr>
          <w:p w14:paraId="0508444E">
            <w:pPr>
              <w:spacing w:line="360" w:lineRule="exact"/>
              <w:contextualSpacing/>
              <w:jc w:val="left"/>
              <w:rPr>
                <w:rFonts w:ascii="宋体" w:hAnsi="宋体" w:cs="宋体"/>
                <w:color w:val="auto"/>
                <w:szCs w:val="21"/>
                <w:u w:val="single"/>
              </w:rPr>
            </w:pPr>
            <w:r>
              <w:rPr>
                <w:rFonts w:hint="eastAsia" w:ascii="宋体" w:hAnsi="宋体" w:cs="宋体"/>
                <w:color w:val="auto"/>
                <w:szCs w:val="21"/>
              </w:rPr>
              <w:t>响应文件提交截止时间：详见竞争性磋商公告。</w:t>
            </w:r>
          </w:p>
          <w:p w14:paraId="6D1968E6">
            <w:pPr>
              <w:spacing w:line="360" w:lineRule="exact"/>
              <w:contextualSpacing/>
              <w:jc w:val="left"/>
              <w:rPr>
                <w:rFonts w:ascii="宋体" w:hAnsi="宋体" w:cs="宋体"/>
                <w:color w:val="auto"/>
                <w:szCs w:val="21"/>
              </w:rPr>
            </w:pPr>
            <w:r>
              <w:rPr>
                <w:rFonts w:hint="eastAsia" w:ascii="宋体" w:hAnsi="宋体" w:cs="宋体"/>
                <w:color w:val="auto"/>
                <w:szCs w:val="21"/>
              </w:rPr>
              <w:t>响应文件提交地点：详见竞争性磋商公告。</w:t>
            </w:r>
          </w:p>
        </w:tc>
      </w:tr>
      <w:tr w14:paraId="75226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8BA58C">
            <w:pPr>
              <w:spacing w:line="360" w:lineRule="auto"/>
              <w:jc w:val="center"/>
              <w:rPr>
                <w:rFonts w:ascii="宋体" w:hAnsi="宋体" w:cs="宋体"/>
                <w:color w:val="auto"/>
                <w:szCs w:val="21"/>
              </w:rPr>
            </w:pPr>
            <w:r>
              <w:rPr>
                <w:rFonts w:hint="eastAsia" w:ascii="宋体" w:hAnsi="宋体" w:cs="宋体"/>
                <w:color w:val="auto"/>
                <w:szCs w:val="21"/>
              </w:rPr>
              <w:t>24.1</w:t>
            </w:r>
          </w:p>
        </w:tc>
        <w:tc>
          <w:tcPr>
            <w:tcW w:w="7912" w:type="dxa"/>
            <w:vAlign w:val="center"/>
          </w:tcPr>
          <w:p w14:paraId="03F29FAC">
            <w:pPr>
              <w:snapToGrid w:val="0"/>
              <w:spacing w:line="360" w:lineRule="exact"/>
              <w:jc w:val="left"/>
              <w:rPr>
                <w:rFonts w:ascii="宋体" w:hAnsi="宋体" w:cs="宋体"/>
                <w:color w:val="auto"/>
                <w:szCs w:val="21"/>
                <w:u w:val="single"/>
              </w:rPr>
            </w:pPr>
            <w:r>
              <w:rPr>
                <w:rFonts w:hint="eastAsia" w:ascii="宋体" w:hAnsi="宋体" w:cs="宋体"/>
                <w:color w:val="auto"/>
                <w:szCs w:val="21"/>
              </w:rPr>
              <w:t>磋商小组的人数：</w:t>
            </w:r>
            <w:r>
              <w:rPr>
                <w:rFonts w:ascii="宋体" w:hAnsi="宋体" w:cs="宋体"/>
                <w:color w:val="auto"/>
                <w:szCs w:val="21"/>
                <w:u w:val="single"/>
              </w:rPr>
              <w:t>3</w:t>
            </w:r>
            <w:r>
              <w:rPr>
                <w:rFonts w:hint="eastAsia" w:ascii="宋体" w:hAnsi="宋体" w:cs="宋体"/>
                <w:color w:val="auto"/>
                <w:szCs w:val="21"/>
              </w:rPr>
              <w:t>人。</w:t>
            </w:r>
          </w:p>
        </w:tc>
      </w:tr>
      <w:tr w14:paraId="5875D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CD648C8">
            <w:pPr>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p>
        </w:tc>
        <w:tc>
          <w:tcPr>
            <w:tcW w:w="7912" w:type="dxa"/>
            <w:vAlign w:val="center"/>
          </w:tcPr>
          <w:p w14:paraId="304E52B8">
            <w:pPr>
              <w:snapToGrid w:val="0"/>
              <w:spacing w:line="360" w:lineRule="exact"/>
              <w:jc w:val="left"/>
              <w:rPr>
                <w:rFonts w:ascii="宋体" w:hAnsi="宋体" w:cs="宋体"/>
                <w:color w:val="auto"/>
                <w:szCs w:val="21"/>
              </w:rPr>
            </w:pPr>
            <w:r>
              <w:rPr>
                <w:rFonts w:hint="eastAsia" w:ascii="宋体" w:hAnsi="宋体" w:cs="宋体"/>
                <w:color w:val="auto"/>
                <w:szCs w:val="21"/>
              </w:rPr>
              <w:t>首次响应文件开启时间详见“竞争性磋商公告”。</w:t>
            </w:r>
          </w:p>
          <w:p w14:paraId="2B43BA72">
            <w:pPr>
              <w:snapToGrid w:val="0"/>
              <w:spacing w:line="360" w:lineRule="exact"/>
              <w:jc w:val="left"/>
              <w:rPr>
                <w:rFonts w:ascii="宋体" w:hAnsi="宋体" w:cs="宋体"/>
                <w:color w:val="auto"/>
                <w:szCs w:val="21"/>
              </w:rPr>
            </w:pPr>
            <w:r>
              <w:rPr>
                <w:rFonts w:hint="eastAsia" w:ascii="宋体" w:hAnsi="宋体" w:cs="宋体"/>
                <w:color w:val="auto"/>
                <w:szCs w:val="21"/>
              </w:rPr>
              <w:t>首次响应文件解密时间：</w:t>
            </w:r>
            <w:r>
              <w:rPr>
                <w:rFonts w:ascii="宋体" w:hAnsi="宋体"/>
                <w:color w:val="auto"/>
                <w:u w:val="single"/>
              </w:rPr>
              <w:t>30</w:t>
            </w:r>
            <w:r>
              <w:rPr>
                <w:rFonts w:hint="eastAsia" w:ascii="宋体" w:hAnsi="宋体"/>
                <w:color w:val="auto"/>
              </w:rPr>
              <w:t>分钟。</w:t>
            </w:r>
          </w:p>
        </w:tc>
      </w:tr>
      <w:tr w14:paraId="5A8D0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5DCCA7AA">
            <w:pPr>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6.3</w:t>
            </w:r>
          </w:p>
        </w:tc>
        <w:tc>
          <w:tcPr>
            <w:tcW w:w="7912" w:type="dxa"/>
            <w:vAlign w:val="center"/>
          </w:tcPr>
          <w:p w14:paraId="7AE76906">
            <w:pPr>
              <w:snapToGrid w:val="0"/>
              <w:spacing w:line="360" w:lineRule="exact"/>
              <w:rPr>
                <w:rFonts w:ascii="宋体" w:hAnsi="宋体" w:cs="宋体"/>
                <w:color w:val="auto"/>
                <w:szCs w:val="21"/>
              </w:rPr>
            </w:pPr>
            <w:r>
              <w:rPr>
                <w:rFonts w:hint="eastAsia" w:ascii="宋体" w:hAnsi="宋体" w:cs="宋体"/>
                <w:color w:val="auto"/>
                <w:szCs w:val="21"/>
              </w:rPr>
              <w:t>商务要求评审中允许负偏离的条款数为:</w:t>
            </w:r>
            <w:r>
              <w:rPr>
                <w:rFonts w:hint="eastAsia" w:ascii="宋体" w:hAnsi="宋体" w:cs="宋体"/>
                <w:color w:val="auto"/>
                <w:szCs w:val="21"/>
                <w:u w:val="single"/>
              </w:rPr>
              <w:t xml:space="preserve"> </w:t>
            </w:r>
            <w:r>
              <w:rPr>
                <w:rFonts w:ascii="宋体" w:hAnsi="宋体" w:cs="宋体"/>
                <w:color w:val="auto"/>
                <w:szCs w:val="21"/>
                <w:u w:val="single"/>
              </w:rPr>
              <w:t>0</w:t>
            </w:r>
            <w:r>
              <w:rPr>
                <w:rFonts w:hint="eastAsia" w:ascii="宋体" w:hAnsi="宋体" w:cs="宋体"/>
                <w:color w:val="auto"/>
                <w:szCs w:val="21"/>
                <w:u w:val="single"/>
              </w:rPr>
              <w:t xml:space="preserve"> </w:t>
            </w:r>
            <w:r>
              <w:rPr>
                <w:rFonts w:hint="eastAsia" w:ascii="宋体" w:hAnsi="宋体" w:cs="宋体"/>
                <w:color w:val="auto"/>
                <w:szCs w:val="21"/>
              </w:rPr>
              <w:t>项。</w:t>
            </w:r>
          </w:p>
          <w:p w14:paraId="3FA74AC1">
            <w:pPr>
              <w:snapToGrid w:val="0"/>
              <w:spacing w:line="360" w:lineRule="exact"/>
              <w:rPr>
                <w:rFonts w:ascii="宋体" w:hAnsi="宋体" w:cs="宋体"/>
                <w:color w:val="auto"/>
                <w:szCs w:val="21"/>
              </w:rPr>
            </w:pPr>
            <w:r>
              <w:rPr>
                <w:rFonts w:hint="eastAsia" w:ascii="宋体" w:hAnsi="宋体" w:cs="宋体"/>
                <w:color w:val="auto"/>
                <w:szCs w:val="21"/>
              </w:rPr>
              <w:t>技术（服务）要求评审中允许负偏离的条款数为:</w:t>
            </w:r>
            <w:r>
              <w:rPr>
                <w:rFonts w:hint="eastAsia" w:ascii="宋体" w:hAnsi="宋体" w:cs="宋体"/>
                <w:color w:val="auto"/>
                <w:szCs w:val="21"/>
                <w:u w:val="single"/>
              </w:rPr>
              <w:t>详见采购</w:t>
            </w:r>
            <w:r>
              <w:rPr>
                <w:rFonts w:ascii="宋体" w:hAnsi="宋体" w:cs="宋体"/>
                <w:color w:val="auto"/>
                <w:szCs w:val="21"/>
                <w:u w:val="single"/>
              </w:rPr>
              <w:t>需求</w:t>
            </w:r>
            <w:r>
              <w:rPr>
                <w:rFonts w:hint="eastAsia" w:ascii="宋体" w:hAnsi="宋体" w:cs="宋体"/>
                <w:color w:val="auto"/>
                <w:szCs w:val="21"/>
              </w:rPr>
              <w:t>。</w:t>
            </w:r>
          </w:p>
        </w:tc>
      </w:tr>
      <w:tr w14:paraId="10D35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A37A22">
            <w:pPr>
              <w:spacing w:line="360" w:lineRule="auto"/>
              <w:jc w:val="center"/>
              <w:rPr>
                <w:rFonts w:ascii="宋体" w:hAnsi="宋体" w:cs="宋体"/>
                <w:color w:val="auto"/>
                <w:szCs w:val="21"/>
              </w:rPr>
            </w:pPr>
            <w:r>
              <w:rPr>
                <w:rFonts w:ascii="宋体" w:hAnsi="宋体" w:cs="宋体"/>
                <w:color w:val="auto"/>
                <w:szCs w:val="21"/>
              </w:rPr>
              <w:t>28.1</w:t>
            </w:r>
          </w:p>
        </w:tc>
        <w:tc>
          <w:tcPr>
            <w:tcW w:w="7912" w:type="dxa"/>
            <w:vAlign w:val="center"/>
          </w:tcPr>
          <w:p w14:paraId="299FB550">
            <w:pPr>
              <w:autoSpaceDE w:val="0"/>
              <w:autoSpaceDN w:val="0"/>
              <w:snapToGrid w:val="0"/>
              <w:spacing w:line="360" w:lineRule="exact"/>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本项目不收取履约保证金。</w:t>
            </w:r>
          </w:p>
          <w:p w14:paraId="37192D20">
            <w:pPr>
              <w:snapToGrid w:val="0"/>
              <w:spacing w:line="360" w:lineRule="exact"/>
              <w:rPr>
                <w:rFonts w:ascii="宋体" w:hAnsi="宋体" w:cs="宋体"/>
                <w:color w:val="auto"/>
                <w:szCs w:val="21"/>
              </w:rPr>
            </w:pPr>
            <w:r>
              <w:rPr>
                <w:rFonts w:hint="eastAsia" w:ascii="Segoe UI Symbol" w:hAnsi="Segoe UI Symbol" w:cs="Segoe UI Symbol"/>
                <w:color w:val="auto"/>
                <w:szCs w:val="21"/>
                <w:lang w:eastAsia="zh-CN"/>
              </w:rPr>
              <w:t>□</w:t>
            </w:r>
            <w:r>
              <w:rPr>
                <w:rFonts w:hint="eastAsia" w:ascii="宋体" w:hAnsi="宋体"/>
                <w:color w:val="auto"/>
                <w:szCs w:val="21"/>
              </w:rPr>
              <w:t>本</w:t>
            </w:r>
            <w:r>
              <w:rPr>
                <w:rFonts w:hint="eastAsia" w:ascii="宋体" w:hAnsi="宋体" w:cs="宋体"/>
                <w:color w:val="auto"/>
                <w:szCs w:val="21"/>
              </w:rPr>
              <w:t>项目收取履约保证金，具体规定如下：</w:t>
            </w:r>
          </w:p>
          <w:p w14:paraId="75605A45">
            <w:pPr>
              <w:snapToGrid w:val="0"/>
              <w:spacing w:line="360" w:lineRule="exact"/>
              <w:rPr>
                <w:rFonts w:ascii="宋体" w:hAnsi="宋体" w:cs="宋体"/>
                <w:color w:val="auto"/>
                <w:szCs w:val="21"/>
              </w:rPr>
            </w:pPr>
            <w:r>
              <w:rPr>
                <w:rFonts w:hint="eastAsia" w:ascii="宋体" w:hAnsi="宋体" w:cs="宋体"/>
                <w:color w:val="auto"/>
                <w:szCs w:val="21"/>
              </w:rPr>
              <w:t>履约保证金金额：履约保证金按成交金额的5%，如成交供应商为中小企业的，履约保证金按成交金额的2%。</w:t>
            </w:r>
          </w:p>
          <w:p w14:paraId="7A61A88A">
            <w:pPr>
              <w:snapToGrid w:val="0"/>
              <w:spacing w:line="360" w:lineRule="exact"/>
              <w:rPr>
                <w:rFonts w:ascii="宋体" w:hAnsi="宋体" w:cs="宋体"/>
                <w:color w:val="auto"/>
                <w:szCs w:val="21"/>
              </w:rPr>
            </w:pPr>
            <w:r>
              <w:rPr>
                <w:rFonts w:hint="eastAsia" w:ascii="宋体" w:hAnsi="宋体" w:cs="宋体"/>
                <w:color w:val="auto"/>
                <w:szCs w:val="21"/>
              </w:rPr>
              <w:t>履约保证金递交方式及时限：供应商必须在成交通知书发出后25日内且必须在签订合同前以银行转账、支票、汇票、本票或者金融、担保机构出具的保函（包含电子保函）等非现金方式向采购人交纳履约保证金，否则，不予签订合同。</w:t>
            </w:r>
          </w:p>
          <w:p w14:paraId="1BF5BF63">
            <w:pPr>
              <w:snapToGrid w:val="0"/>
              <w:spacing w:line="360" w:lineRule="exact"/>
              <w:rPr>
                <w:rFonts w:ascii="宋体" w:hAnsi="宋体" w:cs="宋体"/>
                <w:color w:val="auto"/>
                <w:szCs w:val="21"/>
              </w:rPr>
            </w:pPr>
            <w:r>
              <w:rPr>
                <w:rFonts w:hint="eastAsia" w:ascii="宋体" w:hAnsi="宋体" w:cs="宋体"/>
                <w:color w:val="auto"/>
                <w:szCs w:val="21"/>
              </w:rPr>
              <w:t>履约保证金退付方式、时间及条件：</w:t>
            </w:r>
          </w:p>
          <w:p w14:paraId="7868657A">
            <w:pPr>
              <w:snapToGrid w:val="0"/>
              <w:spacing w:line="360" w:lineRule="exact"/>
              <w:rPr>
                <w:rFonts w:ascii="宋体" w:hAnsi="宋体" w:cs="宋体"/>
                <w:color w:val="auto"/>
                <w:szCs w:val="21"/>
              </w:rPr>
            </w:pPr>
            <w:r>
              <w:rPr>
                <w:rFonts w:hint="eastAsia" w:ascii="宋体" w:hAnsi="宋体" w:cs="宋体"/>
                <w:color w:val="auto"/>
                <w:szCs w:val="21"/>
              </w:rPr>
              <w:t>（1）履约保证金在成交供应商按合同约定履行合同后，由成交供应商凭《广西壮族自治区政府采购项目合同验收书》（详见附件1）向采购人申请办理履约保证金退还手续，采购人在收到合格材料后5个工作日内以银行转账方式如数退还（不计利息）。</w:t>
            </w:r>
          </w:p>
          <w:p w14:paraId="4A500BBA">
            <w:pPr>
              <w:snapToGrid w:val="0"/>
              <w:spacing w:line="360" w:lineRule="exact"/>
              <w:rPr>
                <w:rFonts w:ascii="宋体" w:hAnsi="宋体" w:cs="宋体"/>
                <w:color w:val="auto"/>
                <w:szCs w:val="21"/>
              </w:rPr>
            </w:pPr>
            <w:r>
              <w:rPr>
                <w:rFonts w:hint="eastAsia" w:ascii="宋体" w:hAnsi="宋体" w:cs="宋体"/>
                <w:color w:val="auto"/>
                <w:szCs w:val="21"/>
              </w:rPr>
              <w:t>（2）在履约保证金退还日期前，若成交供应商的开户名称、开户银行、账号有变动的，请以书面形式通知履约保证金收取单位，否则由此产生的后果由成交供应商自负。</w:t>
            </w:r>
          </w:p>
          <w:p w14:paraId="2614ACA3">
            <w:pPr>
              <w:snapToGrid w:val="0"/>
              <w:spacing w:line="360" w:lineRule="exact"/>
              <w:rPr>
                <w:rFonts w:ascii="宋体" w:hAnsi="宋体" w:cs="宋体"/>
                <w:color w:val="auto"/>
                <w:szCs w:val="21"/>
              </w:rPr>
            </w:pPr>
            <w:r>
              <w:rPr>
                <w:rFonts w:hint="eastAsia" w:ascii="宋体" w:hAnsi="宋体" w:cs="宋体"/>
                <w:color w:val="auto"/>
                <w:szCs w:val="21"/>
              </w:rPr>
              <w:t>（3）成交供应商在签订合同后存在违约情形的，履约保证金不予退还。履约保证金不足以赔偿损失的，按实际损失赔偿。</w:t>
            </w:r>
          </w:p>
          <w:p w14:paraId="2D42FB20">
            <w:pPr>
              <w:snapToGrid w:val="0"/>
              <w:spacing w:line="360" w:lineRule="exact"/>
              <w:rPr>
                <w:rFonts w:ascii="宋体" w:hAnsi="宋体" w:cs="宋体"/>
                <w:color w:val="auto"/>
                <w:szCs w:val="21"/>
              </w:rPr>
            </w:pPr>
            <w:r>
              <w:rPr>
                <w:rFonts w:hint="eastAsia" w:ascii="宋体" w:hAnsi="宋体" w:cs="宋体"/>
                <w:color w:val="auto"/>
                <w:szCs w:val="21"/>
              </w:rPr>
              <w:t>履约保证金指定账户：</w:t>
            </w:r>
          </w:p>
          <w:p w14:paraId="72DF1F5B">
            <w:pPr>
              <w:snapToGrid w:val="0"/>
              <w:spacing w:line="360" w:lineRule="exact"/>
              <w:rPr>
                <w:rFonts w:ascii="宋体" w:hAnsi="宋体" w:cs="宋体"/>
                <w:color w:val="auto"/>
                <w:szCs w:val="21"/>
              </w:rPr>
            </w:pPr>
            <w:r>
              <w:rPr>
                <w:rFonts w:hint="eastAsia" w:ascii="宋体" w:hAnsi="宋体" w:cs="宋体"/>
                <w:color w:val="auto"/>
                <w:szCs w:val="21"/>
              </w:rPr>
              <w:t>开户名称：</w:t>
            </w:r>
          </w:p>
          <w:p w14:paraId="13C1A1AA">
            <w:pPr>
              <w:snapToGrid w:val="0"/>
              <w:spacing w:line="360" w:lineRule="exact"/>
              <w:rPr>
                <w:rFonts w:ascii="宋体" w:hAnsi="宋体" w:cs="宋体"/>
                <w:color w:val="auto"/>
                <w:szCs w:val="21"/>
              </w:rPr>
            </w:pPr>
            <w:r>
              <w:rPr>
                <w:rFonts w:hint="eastAsia" w:ascii="宋体" w:hAnsi="宋体" w:cs="宋体"/>
                <w:color w:val="auto"/>
                <w:szCs w:val="21"/>
              </w:rPr>
              <w:t>开户银行：</w:t>
            </w:r>
          </w:p>
          <w:p w14:paraId="275F7F4E">
            <w:pPr>
              <w:snapToGrid w:val="0"/>
              <w:spacing w:line="360" w:lineRule="exact"/>
              <w:rPr>
                <w:rFonts w:ascii="宋体" w:hAnsi="宋体" w:cs="宋体"/>
                <w:color w:val="auto"/>
                <w:szCs w:val="21"/>
              </w:rPr>
            </w:pPr>
            <w:r>
              <w:rPr>
                <w:rFonts w:hint="eastAsia" w:ascii="宋体" w:hAnsi="宋体" w:cs="宋体"/>
                <w:color w:val="auto"/>
                <w:szCs w:val="21"/>
              </w:rPr>
              <w:t>账号：</w:t>
            </w:r>
          </w:p>
          <w:p w14:paraId="551CEA31">
            <w:pPr>
              <w:spacing w:line="360" w:lineRule="exact"/>
              <w:jc w:val="left"/>
              <w:rPr>
                <w:rFonts w:hAnsi="宋体"/>
                <w:color w:val="auto"/>
                <w:szCs w:val="21"/>
              </w:rPr>
            </w:pPr>
            <w:r>
              <w:rPr>
                <w:rFonts w:hint="eastAsia" w:hAnsi="宋体"/>
                <w:b/>
                <w:bCs/>
                <w:color w:val="auto"/>
                <w:szCs w:val="21"/>
              </w:rPr>
              <w:t>备注</w:t>
            </w:r>
            <w:r>
              <w:rPr>
                <w:rFonts w:hint="eastAsia" w:hAnsi="宋体"/>
                <w:color w:val="auto"/>
                <w:szCs w:val="21"/>
              </w:rPr>
              <w:t>：</w:t>
            </w:r>
          </w:p>
          <w:p w14:paraId="4476AF05">
            <w:pPr>
              <w:snapToGrid w:val="0"/>
              <w:spacing w:line="360" w:lineRule="exact"/>
              <w:rPr>
                <w:rFonts w:ascii="宋体" w:hAnsi="宋体" w:cs="宋体"/>
                <w:color w:val="auto"/>
                <w:szCs w:val="21"/>
              </w:rPr>
            </w:pPr>
            <w:r>
              <w:rPr>
                <w:rFonts w:hint="eastAsia" w:hAnsi="宋体"/>
                <w:b/>
                <w:color w:val="auto"/>
                <w:szCs w:val="21"/>
              </w:rPr>
              <w:t>履约保证金不足额缴纳的（包含保函、电子保函额度不足的），或者不按规定提交方式提交的，或者保函（包含电子保函）有效期低于合同履行期限（即合同中规定的当事人履行自己的义务，如交付标的物、价款或者报酬，履行劳务、完成工作的时间界限）的，不予签订合同。</w:t>
            </w:r>
          </w:p>
        </w:tc>
      </w:tr>
      <w:tr w14:paraId="400F1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651835E">
            <w:pPr>
              <w:spacing w:line="360" w:lineRule="auto"/>
              <w:jc w:val="center"/>
              <w:rPr>
                <w:rFonts w:ascii="宋体" w:hAnsi="宋体" w:cs="宋体"/>
                <w:color w:val="auto"/>
                <w:szCs w:val="21"/>
              </w:rPr>
            </w:pPr>
            <w:r>
              <w:rPr>
                <w:rFonts w:ascii="宋体" w:hAnsi="宋体" w:cs="宋体"/>
                <w:color w:val="auto"/>
                <w:szCs w:val="21"/>
              </w:rPr>
              <w:t>29.1</w:t>
            </w:r>
          </w:p>
        </w:tc>
        <w:tc>
          <w:tcPr>
            <w:tcW w:w="7912" w:type="dxa"/>
            <w:vAlign w:val="center"/>
          </w:tcPr>
          <w:p w14:paraId="627D02C1">
            <w:pPr>
              <w:autoSpaceDE w:val="0"/>
              <w:autoSpaceDN w:val="0"/>
              <w:snapToGrid w:val="0"/>
              <w:spacing w:line="360" w:lineRule="exact"/>
              <w:rPr>
                <w:rFonts w:ascii="宋体" w:hAnsi="宋体"/>
                <w:color w:val="auto"/>
                <w:szCs w:val="21"/>
              </w:rPr>
            </w:pPr>
            <w:r>
              <w:rPr>
                <w:rFonts w:hint="eastAsia" w:ascii="宋体" w:hAnsi="宋体"/>
                <w:color w:val="auto"/>
                <w:szCs w:val="21"/>
              </w:rPr>
              <w:t xml:space="preserve">签订合同携带的证明材料： </w:t>
            </w:r>
          </w:p>
          <w:p w14:paraId="61484BCC">
            <w:pPr>
              <w:autoSpaceDE w:val="0"/>
              <w:autoSpaceDN w:val="0"/>
              <w:snapToGrid w:val="0"/>
              <w:spacing w:line="360" w:lineRule="exact"/>
              <w:rPr>
                <w:rFonts w:ascii="宋体" w:hAnsi="宋体"/>
                <w:color w:val="auto"/>
                <w:szCs w:val="21"/>
              </w:rPr>
            </w:pPr>
            <w:r>
              <w:rPr>
                <w:rFonts w:hint="eastAsia" w:ascii="宋体" w:hAnsi="宋体"/>
                <w:color w:val="auto"/>
                <w:szCs w:val="21"/>
              </w:rPr>
              <w:t>委托代理人负责签订合同的，须携带授权委托书及委托代理人身份证原件等其他资格证件。</w:t>
            </w:r>
          </w:p>
          <w:p w14:paraId="39EB5F6C">
            <w:pPr>
              <w:snapToGrid w:val="0"/>
              <w:spacing w:line="360" w:lineRule="exact"/>
              <w:rPr>
                <w:rFonts w:ascii="宋体" w:hAnsi="宋体" w:cs="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14:paraId="3374B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A9BC005">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7912" w:type="dxa"/>
            <w:vAlign w:val="center"/>
          </w:tcPr>
          <w:p w14:paraId="4F2401F3">
            <w:pPr>
              <w:snapToGrid w:val="0"/>
              <w:spacing w:line="360" w:lineRule="exact"/>
              <w:rPr>
                <w:rFonts w:ascii="宋体" w:hAnsi="宋体" w:cs="宋体"/>
                <w:color w:val="auto"/>
                <w:szCs w:val="21"/>
              </w:rPr>
            </w:pPr>
            <w:r>
              <w:rPr>
                <w:rFonts w:hint="eastAsia" w:ascii="宋体" w:hAnsi="宋体" w:cs="宋体"/>
                <w:color w:val="auto"/>
                <w:szCs w:val="21"/>
              </w:rPr>
              <w:t>接收质疑函方式：以书面形式。</w:t>
            </w:r>
          </w:p>
          <w:p w14:paraId="7EDF71B6">
            <w:pPr>
              <w:autoSpaceDE w:val="0"/>
              <w:autoSpaceDN w:val="0"/>
              <w:snapToGrid w:val="0"/>
              <w:spacing w:line="360" w:lineRule="exact"/>
              <w:rPr>
                <w:rFonts w:hAnsi="宋体" w:cs="宋体"/>
                <w:color w:val="auto"/>
              </w:rPr>
            </w:pPr>
            <w:r>
              <w:rPr>
                <w:rFonts w:hint="eastAsia" w:hAnsi="宋体" w:cs="宋体"/>
                <w:color w:val="auto"/>
              </w:rPr>
              <w:t>质疑联系部门：</w:t>
            </w:r>
            <w:r>
              <w:rPr>
                <w:rFonts w:hint="eastAsia" w:ascii="宋体" w:hAnsi="宋体" w:cs="宋体"/>
                <w:color w:val="auto"/>
                <w:szCs w:val="21"/>
              </w:rPr>
              <w:t>欧邦工程管理集团有限公司，联系人：李丹，联系电话：0773-2567907</w:t>
            </w:r>
            <w:r>
              <w:rPr>
                <w:rFonts w:ascii="宋体" w:hAnsi="宋体" w:cs="宋体"/>
                <w:color w:val="auto"/>
                <w:szCs w:val="21"/>
              </w:rPr>
              <w:t xml:space="preserve"> </w:t>
            </w:r>
            <w:r>
              <w:rPr>
                <w:rFonts w:hint="eastAsia" w:ascii="宋体" w:hAnsi="宋体" w:cs="宋体"/>
                <w:color w:val="auto"/>
                <w:szCs w:val="21"/>
              </w:rPr>
              <w:t>。通讯地址：桂林市七星区穿山街道办莫家里二路文化室四楼</w:t>
            </w:r>
          </w:p>
          <w:p w14:paraId="5A6624E0">
            <w:pPr>
              <w:autoSpaceDE w:val="0"/>
              <w:autoSpaceDN w:val="0"/>
              <w:snapToGrid w:val="0"/>
              <w:spacing w:line="360" w:lineRule="exact"/>
              <w:rPr>
                <w:rFonts w:ascii="宋体" w:hAnsi="宋体"/>
                <w:color w:val="auto"/>
                <w:szCs w:val="21"/>
              </w:rPr>
            </w:pPr>
            <w:r>
              <w:rPr>
                <w:rFonts w:hint="eastAsia" w:hAnsi="宋体" w:cs="宋体"/>
                <w:color w:val="auto"/>
              </w:rPr>
              <w:t>业务时间：上午9时00分到12时00分，下午3时00分到5时00分，双休日和法定节假日不办理业务。</w:t>
            </w:r>
          </w:p>
        </w:tc>
      </w:tr>
      <w:tr w14:paraId="69F9E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52D758">
            <w:pPr>
              <w:spacing w:line="360" w:lineRule="auto"/>
              <w:jc w:val="center"/>
              <w:rPr>
                <w:rFonts w:ascii="宋体" w:hAnsi="宋体" w:cs="宋体"/>
                <w:color w:val="auto"/>
                <w:szCs w:val="21"/>
              </w:rPr>
            </w:pPr>
            <w:r>
              <w:rPr>
                <w:rFonts w:hint="eastAsia" w:ascii="宋体" w:hAnsi="宋体" w:cs="宋体"/>
                <w:color w:val="auto"/>
                <w:szCs w:val="21"/>
              </w:rPr>
              <w:t>32</w:t>
            </w:r>
          </w:p>
        </w:tc>
        <w:tc>
          <w:tcPr>
            <w:tcW w:w="7912" w:type="dxa"/>
            <w:vAlign w:val="center"/>
          </w:tcPr>
          <w:p w14:paraId="32C083D0">
            <w:pPr>
              <w:pStyle w:val="17"/>
              <w:snapToGrid w:val="0"/>
              <w:spacing w:line="360" w:lineRule="exact"/>
              <w:rPr>
                <w:rFonts w:hAnsi="宋体" w:cs="宋体"/>
                <w:color w:val="auto"/>
                <w:sz w:val="21"/>
              </w:rPr>
            </w:pPr>
            <w:r>
              <w:rPr>
                <w:rFonts w:hint="eastAsia" w:hAnsi="宋体" w:cs="宋体"/>
                <w:color w:val="auto"/>
                <w:sz w:val="21"/>
              </w:rPr>
              <w:t>32.1采购代理费支付方式：</w:t>
            </w:r>
          </w:p>
          <w:p w14:paraId="4E6308D4">
            <w:pPr>
              <w:spacing w:line="360" w:lineRule="exact"/>
              <w:contextualSpacing/>
              <w:rPr>
                <w:rFonts w:ascii="宋体" w:hAnsi="宋体" w:cs="宋体"/>
                <w:color w:val="auto"/>
              </w:rPr>
            </w:pPr>
            <w:r>
              <w:rPr>
                <w:rFonts w:hint="eastAsia" w:ascii="宋体" w:hAnsi="宋体" w:cs="宋体"/>
                <w:color w:val="auto"/>
              </w:rPr>
              <w:t>☑本项目代理服务费由成交人一次性向采购代理机构支付。□采购人支付。</w:t>
            </w:r>
          </w:p>
          <w:p w14:paraId="513AE626">
            <w:pPr>
              <w:spacing w:line="360" w:lineRule="exact"/>
              <w:contextualSpacing/>
              <w:rPr>
                <w:rFonts w:ascii="宋体" w:hAnsi="宋体" w:cs="宋体"/>
                <w:color w:val="auto"/>
              </w:rPr>
            </w:pPr>
            <w:r>
              <w:rPr>
                <w:rFonts w:hint="eastAsia" w:ascii="宋体" w:hAnsi="宋体" w:cs="宋体"/>
                <w:color w:val="auto"/>
              </w:rPr>
              <w:t>32.2采购代理费收取标准：</w:t>
            </w:r>
          </w:p>
          <w:p w14:paraId="1EED4603">
            <w:pPr>
              <w:spacing w:line="360" w:lineRule="exact"/>
              <w:contextualSpacing/>
              <w:rPr>
                <w:rFonts w:ascii="宋体" w:hAnsi="宋体" w:cs="宋体"/>
                <w:color w:val="auto"/>
              </w:rPr>
            </w:pPr>
            <w:r>
              <w:rPr>
                <w:rFonts w:hint="eastAsia" w:ascii="宋体" w:hAnsi="宋体" w:cs="宋体"/>
                <w:color w:val="auto"/>
              </w:rPr>
              <w:t>☑以项目（☑成交金额/□采购预算/□暂定成交金额/□其他）为计费额，按本须知正文第32.3条规定的收费计算标准（□货物招标/☑服务招标/□工程招标）采用差额定率累进法计算出收费基准价格，采购代理收费以（□收费基准价格/☑收费基准价格下浮30%/□收费基准价格上浮   %）收取。□固定采购代理收费。</w:t>
            </w:r>
          </w:p>
          <w:p w14:paraId="3D424B35">
            <w:pPr>
              <w:spacing w:line="360" w:lineRule="exact"/>
              <w:contextualSpacing/>
              <w:rPr>
                <w:rFonts w:ascii="宋体" w:hAnsi="宋体" w:cs="宋体"/>
                <w:color w:val="auto"/>
              </w:rPr>
            </w:pPr>
            <w:r>
              <w:rPr>
                <w:rFonts w:hint="eastAsia" w:ascii="宋体" w:hAnsi="宋体" w:cs="宋体"/>
                <w:color w:val="auto"/>
              </w:rPr>
              <w:t>3.开户名称：欧邦工程管理集团有限公司桂林分公司</w:t>
            </w:r>
          </w:p>
          <w:p w14:paraId="21CD416A">
            <w:pPr>
              <w:spacing w:line="360" w:lineRule="exact"/>
              <w:contextualSpacing/>
              <w:rPr>
                <w:rFonts w:ascii="宋体" w:hAnsi="宋体" w:cs="宋体"/>
                <w:color w:val="auto"/>
              </w:rPr>
            </w:pPr>
            <w:r>
              <w:rPr>
                <w:rFonts w:hint="eastAsia" w:ascii="宋体" w:hAnsi="宋体" w:cs="宋体"/>
                <w:color w:val="auto"/>
              </w:rPr>
              <w:t>银行账号：660010123185600010</w:t>
            </w:r>
          </w:p>
          <w:p w14:paraId="03ED2F55">
            <w:pPr>
              <w:tabs>
                <w:tab w:val="left" w:pos="2835"/>
              </w:tabs>
              <w:spacing w:line="360" w:lineRule="exact"/>
              <w:contextualSpacing/>
              <w:rPr>
                <w:rFonts w:hAnsi="宋体" w:cs="宋体"/>
                <w:color w:val="auto"/>
              </w:rPr>
            </w:pPr>
            <w:r>
              <w:rPr>
                <w:rFonts w:hint="eastAsia" w:hAnsi="宋体" w:cs="宋体"/>
                <w:color w:val="auto"/>
              </w:rPr>
              <w:t>开户银行：桂林银行股份有限公司观音阁支行</w:t>
            </w:r>
            <w:r>
              <w:rPr>
                <w:rFonts w:hint="eastAsia" w:ascii="宋体" w:hAnsi="宋体" w:cs="宋体"/>
                <w:color w:val="auto"/>
                <w:szCs w:val="21"/>
              </w:rPr>
              <w:t>。</w:t>
            </w:r>
          </w:p>
        </w:tc>
      </w:tr>
      <w:tr w14:paraId="7FFF6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E05D65">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p>
        </w:tc>
        <w:tc>
          <w:tcPr>
            <w:tcW w:w="7912" w:type="dxa"/>
            <w:vAlign w:val="center"/>
          </w:tcPr>
          <w:p w14:paraId="0D27143B">
            <w:pPr>
              <w:pStyle w:val="17"/>
              <w:snapToGrid w:val="0"/>
              <w:spacing w:line="360" w:lineRule="exact"/>
              <w:rPr>
                <w:rFonts w:hAnsi="宋体" w:cs="宋体"/>
                <w:color w:val="auto"/>
                <w:kern w:val="2"/>
                <w:sz w:val="21"/>
              </w:rPr>
            </w:pPr>
            <w:r>
              <w:rPr>
                <w:rFonts w:hint="eastAsia" w:hAnsi="宋体"/>
                <w:color w:val="auto"/>
                <w:sz w:val="21"/>
              </w:rPr>
              <w:t>解释：</w:t>
            </w:r>
            <w:r>
              <w:rPr>
                <w:rFonts w:hAnsi="宋体"/>
                <w:color w:val="auto"/>
                <w:sz w:val="21"/>
              </w:rPr>
              <w:t>构成本</w:t>
            </w:r>
            <w:r>
              <w:rPr>
                <w:rFonts w:hint="eastAsia" w:hAnsi="宋体"/>
                <w:color w:val="auto"/>
                <w:sz w:val="21"/>
              </w:rPr>
              <w:t>磋商文件</w:t>
            </w:r>
            <w:r>
              <w:rPr>
                <w:rFonts w:hAnsi="宋体"/>
                <w:color w:val="auto"/>
                <w:sz w:val="21"/>
              </w:rPr>
              <w:t>的各个组成文件应互为解释，互为说明；除</w:t>
            </w:r>
            <w:r>
              <w:rPr>
                <w:rFonts w:hint="eastAsia" w:hAnsi="宋体"/>
                <w:color w:val="auto"/>
                <w:sz w:val="21"/>
              </w:rPr>
              <w:t>磋商文件</w:t>
            </w:r>
            <w:r>
              <w:rPr>
                <w:rFonts w:hAnsi="宋体"/>
                <w:color w:val="auto"/>
                <w:sz w:val="21"/>
              </w:rPr>
              <w:t>中有特别规定外，仅适用于</w:t>
            </w:r>
            <w:r>
              <w:rPr>
                <w:rFonts w:hint="eastAsia" w:hAnsi="宋体"/>
                <w:color w:val="auto"/>
                <w:sz w:val="21"/>
              </w:rPr>
              <w:t>竞标</w:t>
            </w:r>
            <w:r>
              <w:rPr>
                <w:rFonts w:hAnsi="宋体"/>
                <w:color w:val="auto"/>
                <w:sz w:val="21"/>
              </w:rPr>
              <w:t>阶段的规定，按</w:t>
            </w:r>
            <w:r>
              <w:rPr>
                <w:rFonts w:hint="eastAsia" w:hAnsi="宋体"/>
                <w:color w:val="auto"/>
                <w:sz w:val="21"/>
              </w:rPr>
              <w:t>更正公告（澄清公告）</w:t>
            </w:r>
            <w:r>
              <w:rPr>
                <w:rFonts w:hAnsi="宋体"/>
                <w:color w:val="auto"/>
                <w:sz w:val="21"/>
              </w:rPr>
              <w:t>、</w:t>
            </w:r>
            <w:r>
              <w:rPr>
                <w:rFonts w:hint="eastAsia" w:hAnsi="宋体"/>
                <w:color w:val="auto"/>
                <w:sz w:val="21"/>
              </w:rPr>
              <w:t>竞争性磋商</w:t>
            </w:r>
            <w:r>
              <w:rPr>
                <w:rFonts w:hAnsi="宋体"/>
                <w:color w:val="auto"/>
                <w:sz w:val="21"/>
              </w:rPr>
              <w:t>公告、</w:t>
            </w:r>
            <w:r>
              <w:rPr>
                <w:rFonts w:hint="eastAsia" w:hAnsi="宋体"/>
                <w:color w:val="auto"/>
                <w:sz w:val="21"/>
              </w:rPr>
              <w:t>供应商</w:t>
            </w:r>
            <w:r>
              <w:rPr>
                <w:rFonts w:hAnsi="宋体"/>
                <w:color w:val="auto"/>
                <w:sz w:val="21"/>
              </w:rPr>
              <w:t>须知</w:t>
            </w:r>
            <w:r>
              <w:rPr>
                <w:rFonts w:hint="eastAsia" w:hAnsi="宋体"/>
                <w:color w:val="auto"/>
                <w:sz w:val="21"/>
              </w:rPr>
              <w:t>、采购需求</w:t>
            </w:r>
            <w:r>
              <w:rPr>
                <w:rFonts w:hAnsi="宋体"/>
                <w:color w:val="auto"/>
                <w:sz w:val="21"/>
              </w:rPr>
              <w:t>、</w:t>
            </w:r>
            <w:r>
              <w:rPr>
                <w:rFonts w:hint="eastAsia"/>
                <w:color w:val="auto"/>
                <w:sz w:val="21"/>
              </w:rPr>
              <w:t>评审程序、评审方法和评审标准</w:t>
            </w:r>
            <w:r>
              <w:rPr>
                <w:rFonts w:hAnsi="宋体"/>
                <w:color w:val="auto"/>
                <w:sz w:val="21"/>
              </w:rPr>
              <w:t>、</w:t>
            </w:r>
            <w:r>
              <w:rPr>
                <w:rFonts w:hint="eastAsia" w:hAnsi="宋体"/>
                <w:color w:val="auto"/>
                <w:sz w:val="21"/>
              </w:rPr>
              <w:t>响应</w:t>
            </w:r>
            <w:r>
              <w:rPr>
                <w:rFonts w:hAnsi="宋体"/>
                <w:color w:val="auto"/>
                <w:sz w:val="21"/>
              </w:rPr>
              <w:t>文件格式</w:t>
            </w:r>
            <w:r>
              <w:rPr>
                <w:rFonts w:hint="eastAsia" w:hAnsi="宋体"/>
                <w:color w:val="auto"/>
                <w:sz w:val="21"/>
              </w:rPr>
              <w:t>、合同文本</w:t>
            </w:r>
            <w:r>
              <w:rPr>
                <w:rFonts w:hAnsi="宋体"/>
                <w:color w:val="auto"/>
                <w:sz w:val="21"/>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rPr>
              <w:t>更正公告（澄清公告）</w:t>
            </w:r>
            <w:r>
              <w:rPr>
                <w:rFonts w:hAnsi="宋体"/>
                <w:color w:val="auto"/>
                <w:sz w:val="21"/>
              </w:rPr>
              <w:t>与同步更新的</w:t>
            </w:r>
            <w:r>
              <w:rPr>
                <w:rFonts w:hint="eastAsia" w:hAnsi="宋体"/>
                <w:color w:val="auto"/>
                <w:sz w:val="21"/>
              </w:rPr>
              <w:t>磋商文件</w:t>
            </w:r>
            <w:r>
              <w:rPr>
                <w:rFonts w:hAnsi="宋体"/>
                <w:color w:val="auto"/>
                <w:sz w:val="21"/>
              </w:rPr>
              <w:t>不一致时以</w:t>
            </w:r>
            <w:r>
              <w:rPr>
                <w:rFonts w:hint="eastAsia" w:hAnsi="宋体"/>
                <w:color w:val="auto"/>
                <w:sz w:val="21"/>
              </w:rPr>
              <w:t>更正公告（澄清公告）</w:t>
            </w:r>
            <w:r>
              <w:rPr>
                <w:rFonts w:hAnsi="宋体"/>
                <w:color w:val="auto"/>
                <w:sz w:val="21"/>
              </w:rPr>
              <w:t>为准。按本款前述规定仍不能形成结论的，由</w:t>
            </w:r>
            <w:r>
              <w:rPr>
                <w:rFonts w:hint="eastAsia" w:hAnsi="宋体"/>
                <w:color w:val="auto"/>
                <w:sz w:val="21"/>
              </w:rPr>
              <w:t>采购</w:t>
            </w:r>
            <w:r>
              <w:rPr>
                <w:rFonts w:hAnsi="宋体"/>
                <w:color w:val="auto"/>
                <w:sz w:val="21"/>
              </w:rPr>
              <w:t>人</w:t>
            </w:r>
            <w:r>
              <w:rPr>
                <w:rFonts w:hint="eastAsia" w:hAnsi="宋体"/>
                <w:color w:val="auto"/>
                <w:sz w:val="21"/>
              </w:rPr>
              <w:t>或者采购代理机构</w:t>
            </w:r>
            <w:r>
              <w:rPr>
                <w:rFonts w:hAnsi="宋体"/>
                <w:color w:val="auto"/>
                <w:sz w:val="21"/>
              </w:rPr>
              <w:t>负责解释。</w:t>
            </w:r>
          </w:p>
        </w:tc>
      </w:tr>
      <w:tr w14:paraId="61278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3BEC92">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3.2</w:t>
            </w:r>
          </w:p>
        </w:tc>
        <w:tc>
          <w:tcPr>
            <w:tcW w:w="7912" w:type="dxa"/>
            <w:vAlign w:val="center"/>
          </w:tcPr>
          <w:p w14:paraId="72DABCBE">
            <w:pPr>
              <w:pStyle w:val="17"/>
              <w:snapToGrid w:val="0"/>
              <w:spacing w:line="360" w:lineRule="exact"/>
              <w:rPr>
                <w:rFonts w:hAnsi="宋体" w:cs="宋体"/>
                <w:color w:val="auto"/>
                <w:sz w:val="21"/>
              </w:rPr>
            </w:pPr>
            <w:r>
              <w:rPr>
                <w:rFonts w:hint="eastAsia" w:hAnsi="宋体" w:cs="宋体"/>
                <w:color w:val="auto"/>
                <w:sz w:val="21"/>
              </w:rPr>
              <w:t>1.本磋商文件中描述供应商的“公章”是指根据我国对公章的管理规定，用供应商法定主体行为名称制作的印章，除本磋商文件有特殊规定外，供应商的其他形式印章均不能代替公章。</w:t>
            </w:r>
          </w:p>
          <w:p w14:paraId="4E8A916E">
            <w:pPr>
              <w:pStyle w:val="17"/>
              <w:snapToGrid w:val="0"/>
              <w:spacing w:line="360" w:lineRule="exact"/>
              <w:rPr>
                <w:rFonts w:hAnsi="宋体" w:cs="宋体"/>
                <w:color w:val="auto"/>
                <w:sz w:val="21"/>
              </w:rPr>
            </w:pPr>
            <w:r>
              <w:rPr>
                <w:rFonts w:hint="eastAsia" w:hAnsi="宋体" w:cs="宋体"/>
                <w:bCs/>
                <w:color w:val="auto"/>
                <w:sz w:val="21"/>
              </w:rPr>
              <w:t>2</w:t>
            </w:r>
            <w:r>
              <w:rPr>
                <w:rFonts w:hint="eastAsia" w:hAnsi="宋体" w:cs="宋体"/>
                <w:color w:val="auto"/>
                <w:sz w:val="21"/>
              </w:rPr>
              <w:t>.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6B8AF825">
            <w:pPr>
              <w:pStyle w:val="17"/>
              <w:snapToGrid w:val="0"/>
              <w:spacing w:line="360" w:lineRule="exact"/>
              <w:rPr>
                <w:rFonts w:hAnsi="宋体" w:cs="宋体"/>
                <w:bCs/>
                <w:color w:val="auto"/>
                <w:sz w:val="21"/>
              </w:rPr>
            </w:pPr>
            <w:r>
              <w:rPr>
                <w:rFonts w:hAnsi="宋体" w:cs="宋体"/>
                <w:color w:val="auto"/>
                <w:sz w:val="21"/>
              </w:rPr>
              <w:t>3</w:t>
            </w:r>
            <w:r>
              <w:rPr>
                <w:rFonts w:hint="eastAsia" w:hAnsi="宋体" w:cs="宋体"/>
                <w:color w:val="auto"/>
                <w:sz w:val="21"/>
              </w:rPr>
              <w:t>.供应商为其他组织或者自然人时，本磋商文件规定的法定代表人指负责人或者自然人。本磋商文件所称负责人是指参加竞标的其他组织</w:t>
            </w:r>
            <w:r>
              <w:rPr>
                <w:rFonts w:hint="eastAsia" w:hAnsi="宋体" w:cs="宋体"/>
                <w:bCs/>
                <w:color w:val="auto"/>
                <w:sz w:val="21"/>
              </w:rPr>
              <w:t>营业执照或者执业许可证等证照上</w:t>
            </w:r>
            <w:r>
              <w:rPr>
                <w:rFonts w:hint="eastAsia" w:hAnsi="宋体" w:cs="宋体"/>
                <w:color w:val="auto"/>
                <w:sz w:val="21"/>
              </w:rPr>
              <w:t>的负责人，本磋商文件所称自然人指参与竞标的自然人本人，</w:t>
            </w:r>
            <w:r>
              <w:rPr>
                <w:rFonts w:hint="eastAsia" w:hAnsi="宋体" w:cs="宋体"/>
                <w:bCs/>
                <w:color w:val="auto"/>
                <w:sz w:val="21"/>
              </w:rPr>
              <w:t>且应具备独立承担民事责任能力，自然人应当为年满18岁以上成年人（十六周岁以上的未成年人，以自己的劳动收入为主要生活来源的，视为完全民事行为能力人）。</w:t>
            </w:r>
          </w:p>
          <w:p w14:paraId="72863ECE">
            <w:pPr>
              <w:pStyle w:val="17"/>
              <w:snapToGrid w:val="0"/>
              <w:spacing w:line="360" w:lineRule="exact"/>
              <w:rPr>
                <w:rFonts w:hAnsi="宋体" w:cs="宋体"/>
                <w:color w:val="auto"/>
                <w:sz w:val="21"/>
              </w:rPr>
            </w:pPr>
            <w:r>
              <w:rPr>
                <w:rFonts w:hAnsi="宋体" w:cs="宋体"/>
                <w:color w:val="auto"/>
                <w:sz w:val="21"/>
              </w:rPr>
              <w:t>4.</w:t>
            </w:r>
            <w:r>
              <w:rPr>
                <w:rFonts w:hint="eastAsia" w:hAnsi="宋体" w:cs="宋体"/>
                <w:color w:val="auto"/>
                <w:sz w:val="21"/>
              </w:rPr>
              <w:t>本磋商文件中描述供应商的“签字”是指供应商的法定代表人或者委托代理人亲自在文件规定签署处亲笔写上个人的名字的行为。</w:t>
            </w:r>
          </w:p>
          <w:p w14:paraId="28A4F56F">
            <w:pPr>
              <w:pStyle w:val="17"/>
              <w:snapToGrid w:val="0"/>
              <w:spacing w:line="360" w:lineRule="exact"/>
              <w:rPr>
                <w:rFonts w:hAnsi="宋体" w:cs="宋体"/>
                <w:color w:val="auto"/>
                <w:sz w:val="21"/>
              </w:rPr>
            </w:pPr>
            <w:r>
              <w:rPr>
                <w:rFonts w:hAnsi="宋体" w:cs="宋体"/>
                <w:color w:val="auto"/>
                <w:sz w:val="21"/>
              </w:rPr>
              <w:t>5.</w:t>
            </w:r>
            <w:r>
              <w:rPr>
                <w:rFonts w:hint="eastAsia" w:hAnsi="宋体" w:cs="宋体"/>
                <w:color w:val="auto"/>
                <w:sz w:val="21"/>
              </w:rPr>
              <w:t>本磋商文件所称的“以上”“以下”“以内”“届满”，包括本数；所称的“不满”“超过”“以外”，不包括本数。</w:t>
            </w:r>
          </w:p>
        </w:tc>
      </w:tr>
    </w:tbl>
    <w:p w14:paraId="71E0E160">
      <w:pPr>
        <w:spacing w:line="400" w:lineRule="exact"/>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供应商须知正文</w:t>
      </w:r>
    </w:p>
    <w:p w14:paraId="3E4AE855">
      <w:pPr>
        <w:spacing w:line="400" w:lineRule="exact"/>
        <w:jc w:val="center"/>
        <w:rPr>
          <w:rFonts w:ascii="宋体" w:hAnsi="宋体"/>
          <w:b/>
          <w:color w:val="auto"/>
          <w:sz w:val="32"/>
          <w:szCs w:val="32"/>
        </w:rPr>
      </w:pPr>
    </w:p>
    <w:p w14:paraId="021A8B11">
      <w:pPr>
        <w:spacing w:line="400" w:lineRule="exact"/>
        <w:jc w:val="center"/>
        <w:rPr>
          <w:rFonts w:ascii="宋体" w:hAnsi="宋体"/>
          <w:b/>
          <w:color w:val="auto"/>
          <w:sz w:val="32"/>
          <w:szCs w:val="32"/>
        </w:rPr>
      </w:pPr>
      <w:r>
        <w:rPr>
          <w:rFonts w:hint="eastAsia" w:ascii="宋体" w:hAnsi="宋体"/>
          <w:b/>
          <w:color w:val="auto"/>
          <w:sz w:val="32"/>
          <w:szCs w:val="32"/>
        </w:rPr>
        <w:t>一、总则</w:t>
      </w:r>
    </w:p>
    <w:p w14:paraId="352B7150">
      <w:pPr>
        <w:spacing w:line="400" w:lineRule="exact"/>
        <w:rPr>
          <w:rFonts w:ascii="宋体" w:hAnsi="宋体"/>
          <w:color w:val="auto"/>
          <w:szCs w:val="21"/>
        </w:rPr>
      </w:pPr>
    </w:p>
    <w:p w14:paraId="57CEDCB6">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1.适用范围</w:t>
      </w:r>
    </w:p>
    <w:p w14:paraId="53840C2D">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14:paraId="1E46A364">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14:paraId="740FBED2">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2.定义</w:t>
      </w:r>
    </w:p>
    <w:p w14:paraId="4AD9CAA4">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14:paraId="0FA2C4BD">
      <w:pPr>
        <w:spacing w:line="400" w:lineRule="exact"/>
        <w:ind w:firstLine="420" w:firstLineChars="200"/>
        <w:contextualSpacing/>
        <w:rPr>
          <w:rFonts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14:paraId="2E2DB862">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77F55AB0">
      <w:pPr>
        <w:spacing w:line="400" w:lineRule="exact"/>
        <w:ind w:firstLine="420" w:firstLineChars="200"/>
        <w:contextualSpacing/>
        <w:rPr>
          <w:rFonts w:ascii="宋体" w:hAnsi="宋体" w:cs="宋体"/>
          <w:color w:val="auto"/>
          <w:szCs w:val="21"/>
        </w:rPr>
      </w:pPr>
      <w:r>
        <w:rPr>
          <w:rFonts w:hint="eastAsia" w:ascii="宋体" w:hAnsi="宋体"/>
          <w:color w:val="auto"/>
          <w:szCs w:val="21"/>
        </w:rPr>
        <w:t>2.4</w:t>
      </w:r>
      <w:r>
        <w:rPr>
          <w:rFonts w:hint="eastAsia" w:ascii="宋体" w:hAnsi="宋体" w:cs="宋体"/>
          <w:color w:val="auto"/>
          <w:szCs w:val="21"/>
        </w:rPr>
        <w:t>“货物”是指各种形态和种类的物品，包括原材料、燃料、设备、产品等。</w:t>
      </w:r>
    </w:p>
    <w:p w14:paraId="06E9CD66">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“竞标”是指供应商按照本项目竞争性磋商公告或者邀请函规定的方式获取磋商文件、提交响应文件并希望获得标的的行为。</w:t>
      </w:r>
    </w:p>
    <w:p w14:paraId="70AC7D89">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2.6“书面形式”是指合同书、信件和数据电文（包括电报、电传、传真、电子数据交换和电子邮件）等可以有形地表现所载内容的形式。</w:t>
      </w:r>
    </w:p>
    <w:p w14:paraId="724481B1">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2.7“响应文件”</w:t>
      </w:r>
      <w:r>
        <w:rPr>
          <w:rFonts w:hint="eastAsia" w:ascii="宋体" w:hAnsi="宋体" w:cs="宋体"/>
          <w:color w:val="auto"/>
          <w:spacing w:val="-6"/>
          <w:szCs w:val="21"/>
        </w:rPr>
        <w:t>是指：供应商根据本磋商文件要求，编制包含资格证明、报价、商务技术等所有内容的文件。</w:t>
      </w:r>
    </w:p>
    <w:p w14:paraId="61F7231A">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2.8</w:t>
      </w:r>
      <w:r>
        <w:rPr>
          <w:rFonts w:hint="eastAsia" w:ascii="宋体" w:hAnsi="宋体" w:cs="宋体"/>
          <w:b/>
          <w:bCs/>
          <w:color w:val="auto"/>
          <w:szCs w:val="21"/>
        </w:rPr>
        <w:t>“实质性要求”是指采购需求中标注“★”的条款或者不能负偏离的条款或者已经指明不满足按响应文件按无效处理的条款，若有一项负偏离，响应文件按无效处理。供应商</w:t>
      </w:r>
      <w:r>
        <w:rPr>
          <w:rFonts w:ascii="宋体" w:hAnsi="宋体" w:cs="宋体"/>
          <w:b/>
          <w:bCs/>
          <w:color w:val="auto"/>
          <w:szCs w:val="21"/>
        </w:rPr>
        <w:t>对“技术（服务）要求”</w:t>
      </w:r>
      <w:r>
        <w:rPr>
          <w:rFonts w:hint="eastAsia" w:ascii="宋体" w:hAnsi="宋体" w:cs="宋体"/>
          <w:b/>
          <w:bCs/>
          <w:color w:val="auto"/>
          <w:szCs w:val="21"/>
        </w:rPr>
        <w:t>中未标注“★”</w:t>
      </w:r>
      <w:r>
        <w:rPr>
          <w:rFonts w:ascii="宋体" w:hAnsi="宋体" w:cs="宋体"/>
          <w:b/>
          <w:bCs/>
          <w:color w:val="auto"/>
          <w:szCs w:val="21"/>
        </w:rPr>
        <w:t>条款发生负偏离的</w:t>
      </w:r>
      <w:r>
        <w:rPr>
          <w:rFonts w:hint="eastAsia" w:ascii="宋体" w:hAnsi="宋体" w:cs="宋体"/>
          <w:b/>
          <w:bCs/>
          <w:color w:val="auto"/>
          <w:szCs w:val="21"/>
        </w:rPr>
        <w:t>项</w:t>
      </w:r>
      <w:r>
        <w:rPr>
          <w:rFonts w:ascii="宋体" w:hAnsi="宋体" w:cs="宋体"/>
          <w:b/>
          <w:bCs/>
          <w:color w:val="auto"/>
          <w:szCs w:val="21"/>
        </w:rPr>
        <w:t>数≥</w:t>
      </w:r>
      <w:r>
        <w:rPr>
          <w:rFonts w:hint="eastAsia" w:ascii="宋体" w:hAnsi="宋体" w:cs="宋体"/>
          <w:b/>
          <w:bCs/>
          <w:color w:val="auto"/>
          <w:szCs w:val="21"/>
        </w:rPr>
        <w:t xml:space="preserve"> 6</w:t>
      </w:r>
      <w:r>
        <w:rPr>
          <w:rFonts w:ascii="宋体" w:hAnsi="宋体" w:cs="宋体"/>
          <w:b/>
          <w:bCs/>
          <w:color w:val="auto"/>
          <w:szCs w:val="21"/>
        </w:rPr>
        <w:t>项的</w:t>
      </w:r>
      <w:r>
        <w:rPr>
          <w:rFonts w:hint="eastAsia" w:ascii="宋体" w:hAnsi="宋体" w:cs="宋体"/>
          <w:b/>
          <w:bCs/>
          <w:color w:val="auto"/>
          <w:szCs w:val="21"/>
        </w:rPr>
        <w:t>，</w:t>
      </w:r>
      <w:r>
        <w:rPr>
          <w:rFonts w:ascii="宋体" w:hAnsi="宋体" w:cs="宋体"/>
          <w:b/>
          <w:bCs/>
          <w:color w:val="auto"/>
          <w:szCs w:val="21"/>
        </w:rPr>
        <w:t>按</w:t>
      </w:r>
      <w:r>
        <w:rPr>
          <w:rFonts w:hint="eastAsia" w:ascii="宋体" w:hAnsi="宋体" w:cs="宋体"/>
          <w:b/>
          <w:bCs/>
          <w:color w:val="auto"/>
          <w:szCs w:val="21"/>
        </w:rPr>
        <w:t>响应文件</w:t>
      </w:r>
      <w:r>
        <w:rPr>
          <w:rFonts w:ascii="宋体" w:hAnsi="宋体" w:cs="宋体"/>
          <w:b/>
          <w:bCs/>
          <w:color w:val="auto"/>
          <w:szCs w:val="21"/>
        </w:rPr>
        <w:t>无效处理</w:t>
      </w:r>
      <w:r>
        <w:rPr>
          <w:rFonts w:hint="eastAsia" w:ascii="宋体" w:hAnsi="宋体" w:cs="宋体"/>
          <w:b/>
          <w:color w:val="auto"/>
          <w:szCs w:val="21"/>
        </w:rPr>
        <w:t>。</w:t>
      </w:r>
    </w:p>
    <w:p w14:paraId="6CD250D7">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2.9“正偏离”，是指响应文件对磋商文件“采购需求”中有关条款作出的响应优于条款要求并有利于采购人的情形。</w:t>
      </w:r>
    </w:p>
    <w:p w14:paraId="6F2180DE">
      <w:pPr>
        <w:spacing w:line="400" w:lineRule="exact"/>
        <w:ind w:firstLine="420" w:firstLineChars="200"/>
        <w:contextualSpacing/>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10“负偏离”，是指响应文件对磋商文件“采购需求”中有关条款作出的响应不满足条款要求，导致采购人要求不能得到满足的情形。</w:t>
      </w:r>
    </w:p>
    <w:p w14:paraId="1EBF51CA">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2.11“允许负偏离的条款”是指采购需求中的不属于“实质性要求”的条款。</w:t>
      </w:r>
    </w:p>
    <w:p w14:paraId="168474A4">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2“首次报价”是指供应商提交的首次响应文件中的报价。</w:t>
      </w:r>
    </w:p>
    <w:p w14:paraId="2A289E0B">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3.供应商的资格条件</w:t>
      </w:r>
    </w:p>
    <w:p w14:paraId="3B6BCF33">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供应商的资格条件详见“供应商须知前附表”。</w:t>
      </w:r>
    </w:p>
    <w:p w14:paraId="396D8CD6">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4.竞标费用</w:t>
      </w:r>
    </w:p>
    <w:p w14:paraId="3595587B">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14:paraId="760E6CF1">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5.联合体竞标</w:t>
      </w:r>
    </w:p>
    <w:p w14:paraId="1D3297F1">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5.1本项目是否接受联合体竞标，详见“供应商须知前附表”。</w:t>
      </w:r>
    </w:p>
    <w:p w14:paraId="61BA6968">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5.2如接受联合体竞标，联合体竞标要求详见“供应商须知前附表”。</w:t>
      </w:r>
    </w:p>
    <w:p w14:paraId="7D61BC59">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5.3</w:t>
      </w:r>
      <w:bookmarkStart w:id="64" w:name="_Hlk65857072"/>
      <w:r>
        <w:rPr>
          <w:rFonts w:hint="eastAsia" w:ascii="宋体" w:hAnsi="宋体"/>
          <w:bCs/>
          <w:color w:val="auto"/>
          <w:szCs w:val="21"/>
        </w:rPr>
        <w:t>根据《政府采购促进中小企业发展管理办法》（财库〔</w:t>
      </w:r>
      <w:r>
        <w:rPr>
          <w:rFonts w:ascii="宋体" w:hAnsi="宋体"/>
          <w:bCs/>
          <w:color w:val="auto"/>
          <w:szCs w:val="21"/>
        </w:rPr>
        <w:t>2020</w:t>
      </w:r>
      <w:r>
        <w:rPr>
          <w:rFonts w:hint="eastAsia" w:ascii="宋体" w:hAnsi="宋体"/>
          <w:bCs/>
          <w:color w:val="auto"/>
          <w:szCs w:val="21"/>
        </w:rPr>
        <w:t>〕</w:t>
      </w:r>
      <w:r>
        <w:rPr>
          <w:rFonts w:ascii="宋体" w:hAnsi="宋体"/>
          <w:bCs/>
          <w:color w:val="auto"/>
          <w:szCs w:val="21"/>
        </w:rPr>
        <w:t>46</w:t>
      </w:r>
      <w:r>
        <w:rPr>
          <w:rFonts w:hint="eastAsia" w:ascii="宋体" w:hAnsi="宋体"/>
          <w:bCs/>
          <w:color w:val="auto"/>
          <w:szCs w:val="21"/>
        </w:rPr>
        <w:t>号）第九条第二款及《广西壮族自治区财政厅关于持续优化政府采购营商环境推动高质量发展的通知》（桂财采〔2024〕55号）规定，接受大中型企业与小微企业组成联合体或者允许大中型企业向一家或者多家小微企业分包的采购项目，对于联合协议或者分包意向协议约定小微企业的合同份额占到合同总金额</w:t>
      </w:r>
      <w:r>
        <w:rPr>
          <w:rFonts w:ascii="宋体" w:hAnsi="宋体"/>
          <w:bCs/>
          <w:color w:val="auto"/>
          <w:szCs w:val="21"/>
        </w:rPr>
        <w:t>30%</w:t>
      </w:r>
      <w:r>
        <w:rPr>
          <w:rFonts w:hint="eastAsia" w:ascii="宋体" w:hAnsi="宋体"/>
          <w:bCs/>
          <w:color w:val="auto"/>
          <w:szCs w:val="21"/>
        </w:rPr>
        <w:t>以上的，采购人、采购代理机构应当对联合体或者大中型企业的报价给予</w:t>
      </w:r>
      <w:r>
        <w:rPr>
          <w:rFonts w:ascii="宋体" w:hAnsi="宋体"/>
          <w:bCs/>
          <w:color w:val="auto"/>
          <w:szCs w:val="21"/>
        </w:rPr>
        <w:t>4%-6%</w:t>
      </w:r>
      <w:r>
        <w:rPr>
          <w:rFonts w:hint="eastAsia" w:ascii="宋体" w:hAnsi="宋体"/>
          <w:bCs/>
          <w:color w:val="auto"/>
          <w:szCs w:val="21"/>
        </w:rPr>
        <w:t>的扣除，用扣除后的价格参加评审。</w:t>
      </w:r>
      <w:bookmarkEnd w:id="64"/>
    </w:p>
    <w:p w14:paraId="6D85E622">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 xml:space="preserve">6.转包与分包             </w:t>
      </w:r>
    </w:p>
    <w:p w14:paraId="032D445B">
      <w:pPr>
        <w:pStyle w:val="6"/>
        <w:keepNext w:val="0"/>
        <w:keepLines w:val="0"/>
        <w:spacing w:before="0" w:after="0" w:line="400" w:lineRule="exact"/>
        <w:ind w:left="420" w:leftChars="200"/>
        <w:rPr>
          <w:rFonts w:ascii="宋体" w:hAnsi="宋体"/>
          <w:b w:val="0"/>
          <w:color w:val="auto"/>
          <w:sz w:val="21"/>
          <w:szCs w:val="21"/>
        </w:rPr>
      </w:pPr>
      <w:bookmarkStart w:id="65" w:name="_Toc254970673"/>
      <w:bookmarkStart w:id="66" w:name="_Toc254970532"/>
      <w:r>
        <w:rPr>
          <w:rFonts w:hint="eastAsia" w:ascii="宋体" w:hAnsi="宋体"/>
          <w:b w:val="0"/>
          <w:color w:val="auto"/>
          <w:sz w:val="21"/>
          <w:szCs w:val="21"/>
        </w:rPr>
        <w:t>6.1本项目不允许转包。</w:t>
      </w:r>
    </w:p>
    <w:p w14:paraId="01CFF82A">
      <w:pPr>
        <w:pStyle w:val="6"/>
        <w:keepNext w:val="0"/>
        <w:keepLines w:val="0"/>
        <w:spacing w:before="0" w:after="0" w:line="400" w:lineRule="exact"/>
        <w:ind w:firstLine="315" w:firstLineChars="150"/>
        <w:rPr>
          <w:rFonts w:ascii="宋体" w:hAnsi="宋体"/>
          <w:b w:val="0"/>
          <w:color w:val="auto"/>
          <w:sz w:val="21"/>
          <w:szCs w:val="21"/>
        </w:rPr>
      </w:pPr>
      <w:r>
        <w:rPr>
          <w:rFonts w:hint="eastAsia" w:ascii="宋体" w:hAnsi="宋体"/>
          <w:b w:val="0"/>
          <w:color w:val="auto"/>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B456029">
      <w:pPr>
        <w:pStyle w:val="6"/>
        <w:keepNext w:val="0"/>
        <w:keepLines w:val="0"/>
        <w:spacing w:before="0" w:after="0" w:line="400" w:lineRule="exact"/>
        <w:ind w:firstLine="315" w:firstLineChars="150"/>
        <w:rPr>
          <w:rFonts w:ascii="宋体" w:hAnsi="宋体"/>
          <w:b w:val="0"/>
          <w:color w:val="auto"/>
          <w:sz w:val="21"/>
          <w:szCs w:val="21"/>
        </w:rPr>
      </w:pPr>
      <w:r>
        <w:rPr>
          <w:rFonts w:hint="eastAsia" w:ascii="宋体" w:hAnsi="宋体"/>
          <w:b w:val="0"/>
          <w:color w:val="auto"/>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6B304654">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7.特别说明</w:t>
      </w:r>
      <w:bookmarkEnd w:id="65"/>
      <w:bookmarkEnd w:id="66"/>
    </w:p>
    <w:p w14:paraId="361C349E">
      <w:pPr>
        <w:spacing w:line="400" w:lineRule="exact"/>
        <w:ind w:firstLine="420" w:firstLineChars="200"/>
        <w:contextualSpacing/>
        <w:rPr>
          <w:rFonts w:ascii="宋体" w:hAnsi="宋体" w:cs="宋体"/>
          <w:color w:val="auto"/>
          <w:szCs w:val="21"/>
        </w:rPr>
      </w:pPr>
      <w:bookmarkStart w:id="67" w:name="_8.1提供相同品牌产品且通过资格审查、符合性审查的不同投标人参加同一合"/>
      <w:bookmarkEnd w:id="67"/>
      <w:r>
        <w:rPr>
          <w:rFonts w:hint="eastAsia" w:ascii="宋体" w:hAnsi="宋体"/>
          <w:color w:val="auto"/>
          <w:szCs w:val="21"/>
        </w:rPr>
        <w:t>7.1如果本磋商文件要求提供供应商或制造商的资格、信誉、荣誉、业绩与企业认证等材料的，资格、信誉、荣誉、业绩与企业认证等必须为供应商或者制造商所拥有或自身获得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rPr>
        <w:t>。</w:t>
      </w:r>
    </w:p>
    <w:p w14:paraId="2D8644B9">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7.2供应商应仔细阅读磋商文件的所有内容，按照磋商文件的要求提交响应文件，并对所提供的全部资料的真实性承担法律责任。</w:t>
      </w:r>
    </w:p>
    <w:p w14:paraId="2ED512CA">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EEB4B8F">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7.4在政府采购活动中，采购人员及相关人员与供应商有下列利害关系之一的，应当回避：</w:t>
      </w:r>
    </w:p>
    <w:p w14:paraId="0B5A43B0">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（1）参加采购活动前3年内与供应商存在劳动关系；</w:t>
      </w:r>
    </w:p>
    <w:p w14:paraId="189E6B13">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（2）参加采购活动前3年内担任供应商的董事、监事；</w:t>
      </w:r>
    </w:p>
    <w:p w14:paraId="62F746D5">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14:paraId="3FA27A2F">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14:paraId="7F9B4978">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14:paraId="3903807B">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C549F3C">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7.5有下列情形之一的视为供应商相互串通竞标，响应文件将被视为无效：</w:t>
      </w:r>
    </w:p>
    <w:p w14:paraId="5261AAE0">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 xml:space="preserve">（1）不同供应商的响应文件由同一单位或者个人编制； </w:t>
      </w:r>
    </w:p>
    <w:p w14:paraId="4CC9DA93">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（2）不同供应商委托同一单位或者个人办理竞标事宜；</w:t>
      </w:r>
    </w:p>
    <w:p w14:paraId="39D77399">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（3）不同的供应商的响应文件载明的项目管理员为同一个人；</w:t>
      </w:r>
    </w:p>
    <w:p w14:paraId="16EDCC54">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（4）不同供应商的响应文件异常一致或者报价呈规律性差异；</w:t>
      </w:r>
    </w:p>
    <w:p w14:paraId="746F03CE">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（5）不同供应商的响应文件相互混装；</w:t>
      </w:r>
    </w:p>
    <w:p w14:paraId="0103FB3C">
      <w:pPr>
        <w:tabs>
          <w:tab w:val="left" w:pos="6931"/>
        </w:tabs>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14:paraId="2C655FF0">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7.6供应商有下列情形之一的，属于恶意串通行为，将报同级监督管理部门：</w:t>
      </w:r>
    </w:p>
    <w:p w14:paraId="632BF306">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7DD0D276">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3A6107AB">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14:paraId="6E450231">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56B4F9AF">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36D2BB63">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（6）供应商之间商定部分供应商放弃参加政府采购活动或者放弃成交；</w:t>
      </w:r>
    </w:p>
    <w:p w14:paraId="4FF245B6">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14:paraId="2C51B341">
      <w:pPr>
        <w:spacing w:line="400" w:lineRule="exact"/>
        <w:ind w:firstLine="420" w:firstLineChars="200"/>
        <w:contextualSpacing/>
        <w:rPr>
          <w:rFonts w:ascii="宋体" w:hAnsi="宋体" w:cs="宋体"/>
          <w:color w:val="auto"/>
          <w:szCs w:val="21"/>
        </w:rPr>
      </w:pPr>
    </w:p>
    <w:p w14:paraId="5168FA26">
      <w:pPr>
        <w:spacing w:line="400" w:lineRule="exact"/>
        <w:ind w:left="1" w:firstLine="417" w:firstLineChars="199"/>
        <w:contextualSpacing/>
        <w:jc w:val="center"/>
        <w:rPr>
          <w:rFonts w:ascii="宋体" w:hAnsi="宋体"/>
          <w:color w:val="auto"/>
        </w:rPr>
      </w:pPr>
      <w:bookmarkStart w:id="68" w:name="_Toc254970534"/>
      <w:bookmarkStart w:id="69" w:name="_Toc254970675"/>
    </w:p>
    <w:p w14:paraId="11FB0390">
      <w:pPr>
        <w:spacing w:line="400" w:lineRule="exact"/>
        <w:contextualSpacing/>
        <w:jc w:val="center"/>
        <w:rPr>
          <w:rFonts w:ascii="宋体" w:hAnsi="宋体"/>
          <w:b/>
          <w:bCs/>
          <w:color w:val="auto"/>
          <w:sz w:val="32"/>
          <w:szCs w:val="32"/>
        </w:rPr>
      </w:pPr>
      <w:r>
        <w:rPr>
          <w:rFonts w:hint="eastAsia" w:ascii="宋体" w:hAnsi="宋体"/>
          <w:b/>
          <w:bCs/>
          <w:color w:val="auto"/>
          <w:sz w:val="32"/>
          <w:szCs w:val="32"/>
        </w:rPr>
        <w:t>二、磋商文件</w:t>
      </w:r>
      <w:bookmarkEnd w:id="68"/>
      <w:bookmarkEnd w:id="69"/>
    </w:p>
    <w:p w14:paraId="52635FDF">
      <w:pPr>
        <w:spacing w:line="400" w:lineRule="exact"/>
        <w:contextualSpacing/>
        <w:jc w:val="center"/>
        <w:rPr>
          <w:rFonts w:ascii="宋体" w:hAnsi="宋体"/>
          <w:color w:val="auto"/>
          <w:szCs w:val="21"/>
        </w:rPr>
      </w:pPr>
    </w:p>
    <w:p w14:paraId="71BC0743">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8.磋商文件的构成</w:t>
      </w:r>
    </w:p>
    <w:p w14:paraId="0DC3F7F6">
      <w:pPr>
        <w:spacing w:line="400" w:lineRule="exact"/>
        <w:ind w:firstLine="420" w:firstLineChars="200"/>
        <w:contextualSpacing/>
        <w:jc w:val="left"/>
        <w:rPr>
          <w:rFonts w:ascii="宋体" w:hAnsi="宋体"/>
          <w:color w:val="auto"/>
          <w:szCs w:val="21"/>
        </w:rPr>
      </w:pPr>
      <w:r>
        <w:rPr>
          <w:rFonts w:hint="eastAsia" w:ascii="宋体" w:hAnsi="宋体"/>
          <w:color w:val="auto"/>
          <w:szCs w:val="21"/>
        </w:rPr>
        <w:t>（1）竞争性磋商公告；</w:t>
      </w:r>
    </w:p>
    <w:p w14:paraId="544691DC">
      <w:pPr>
        <w:spacing w:line="400" w:lineRule="exact"/>
        <w:ind w:firstLine="420" w:firstLineChars="200"/>
        <w:contextualSpacing/>
        <w:jc w:val="left"/>
        <w:rPr>
          <w:rFonts w:ascii="宋体" w:hAnsi="宋体"/>
          <w:color w:val="auto"/>
          <w:szCs w:val="21"/>
        </w:rPr>
      </w:pPr>
      <w:r>
        <w:rPr>
          <w:rFonts w:hint="eastAsia" w:ascii="宋体" w:hAnsi="宋体"/>
          <w:color w:val="auto"/>
          <w:szCs w:val="21"/>
        </w:rPr>
        <w:t xml:space="preserve">（2）供应商须知； </w:t>
      </w:r>
    </w:p>
    <w:p w14:paraId="3528ADF5">
      <w:pPr>
        <w:spacing w:line="400" w:lineRule="exact"/>
        <w:ind w:firstLine="420" w:firstLineChars="200"/>
        <w:contextualSpacing/>
        <w:jc w:val="left"/>
        <w:rPr>
          <w:rFonts w:ascii="宋体" w:hAnsi="宋体"/>
          <w:color w:val="auto"/>
          <w:szCs w:val="21"/>
        </w:rPr>
      </w:pPr>
      <w:r>
        <w:rPr>
          <w:rFonts w:hint="eastAsia" w:ascii="宋体" w:hAnsi="宋体"/>
          <w:color w:val="auto"/>
          <w:szCs w:val="21"/>
        </w:rPr>
        <w:t>（3）采购需求；</w:t>
      </w:r>
    </w:p>
    <w:p w14:paraId="3295309B">
      <w:pPr>
        <w:spacing w:line="400" w:lineRule="exact"/>
        <w:ind w:firstLine="420" w:firstLineChars="200"/>
        <w:contextualSpacing/>
        <w:jc w:val="left"/>
        <w:rPr>
          <w:rFonts w:ascii="宋体" w:hAnsi="宋体"/>
          <w:color w:val="auto"/>
          <w:szCs w:val="21"/>
        </w:rPr>
      </w:pPr>
      <w:r>
        <w:rPr>
          <w:rFonts w:hint="eastAsia" w:ascii="宋体" w:hAnsi="宋体"/>
          <w:color w:val="auto"/>
          <w:szCs w:val="21"/>
        </w:rPr>
        <w:t>（4）评审程序、评审方法和评审标准；</w:t>
      </w:r>
    </w:p>
    <w:p w14:paraId="66D8014C">
      <w:pPr>
        <w:spacing w:line="400" w:lineRule="exact"/>
        <w:ind w:firstLine="420" w:firstLineChars="200"/>
        <w:contextualSpacing/>
        <w:jc w:val="left"/>
        <w:rPr>
          <w:rFonts w:ascii="宋体" w:hAnsi="宋体"/>
          <w:color w:val="auto"/>
          <w:szCs w:val="21"/>
        </w:rPr>
      </w:pPr>
      <w:r>
        <w:rPr>
          <w:rFonts w:hint="eastAsia" w:ascii="宋体" w:hAnsi="宋体"/>
          <w:color w:val="auto"/>
          <w:szCs w:val="21"/>
        </w:rPr>
        <w:t>（5）响应文件格式；</w:t>
      </w:r>
    </w:p>
    <w:p w14:paraId="22517F91">
      <w:pPr>
        <w:spacing w:line="400" w:lineRule="exact"/>
        <w:ind w:firstLine="420" w:firstLineChars="200"/>
        <w:contextualSpacing/>
        <w:jc w:val="left"/>
        <w:rPr>
          <w:rFonts w:ascii="宋体" w:hAnsi="宋体"/>
          <w:color w:val="auto"/>
          <w:szCs w:val="21"/>
        </w:rPr>
      </w:pPr>
      <w:r>
        <w:rPr>
          <w:rFonts w:hint="eastAsia" w:ascii="宋体" w:hAnsi="宋体"/>
          <w:color w:val="auto"/>
          <w:szCs w:val="21"/>
        </w:rPr>
        <w:t>（6）合同文本。</w:t>
      </w:r>
    </w:p>
    <w:p w14:paraId="7BC11925">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9.供应商的询问</w:t>
      </w:r>
    </w:p>
    <w:p w14:paraId="3BF4090C">
      <w:pPr>
        <w:spacing w:line="400" w:lineRule="exact"/>
        <w:ind w:firstLine="420" w:firstLineChars="200"/>
        <w:contextualSpacing/>
        <w:rPr>
          <w:rFonts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14:paraId="6AF9F337">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10.磋商文件的澄清和修改</w:t>
      </w:r>
    </w:p>
    <w:p w14:paraId="3FB7A540">
      <w:pPr>
        <w:spacing w:line="400" w:lineRule="exact"/>
        <w:ind w:firstLine="420" w:firstLineChars="200"/>
        <w:contextualSpacing/>
        <w:rPr>
          <w:rFonts w:ascii="宋体" w:hAnsi="宋体"/>
          <w:color w:val="auto"/>
          <w:szCs w:val="21"/>
        </w:rPr>
      </w:pPr>
      <w:r>
        <w:rPr>
          <w:rFonts w:ascii="宋体" w:hAnsi="宋体"/>
          <w:color w:val="auto"/>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rPr>
        <w:t>获取</w:t>
      </w:r>
      <w:r>
        <w:rPr>
          <w:rFonts w:ascii="宋体" w:hAnsi="宋体"/>
          <w:color w:val="auto"/>
          <w:szCs w:val="21"/>
        </w:rPr>
        <w:t>磋商文件的供应商，不足3个工作日的，应当顺延提交首次响应文件截止之日。</w:t>
      </w:r>
    </w:p>
    <w:p w14:paraId="33E58486">
      <w:pPr>
        <w:spacing w:line="400" w:lineRule="exact"/>
        <w:contextualSpacing/>
        <w:rPr>
          <w:rFonts w:ascii="宋体" w:hAnsi="宋体"/>
          <w:color w:val="auto"/>
          <w:szCs w:val="21"/>
        </w:rPr>
      </w:pPr>
    </w:p>
    <w:p w14:paraId="06E48197">
      <w:pPr>
        <w:spacing w:line="400" w:lineRule="exact"/>
        <w:contextualSpacing/>
        <w:jc w:val="center"/>
        <w:rPr>
          <w:rFonts w:ascii="宋体" w:hAnsi="宋体"/>
          <w:b/>
          <w:bCs/>
          <w:color w:val="auto"/>
          <w:szCs w:val="21"/>
        </w:rPr>
      </w:pPr>
      <w:r>
        <w:rPr>
          <w:rFonts w:hint="eastAsia" w:ascii="宋体" w:hAnsi="宋体"/>
          <w:b/>
          <w:bCs/>
          <w:color w:val="auto"/>
          <w:sz w:val="32"/>
          <w:szCs w:val="32"/>
        </w:rPr>
        <w:t>三、响应文件的编制</w:t>
      </w:r>
    </w:p>
    <w:p w14:paraId="0307645B">
      <w:pPr>
        <w:spacing w:line="400" w:lineRule="exact"/>
        <w:contextualSpacing/>
        <w:rPr>
          <w:rFonts w:ascii="宋体" w:hAnsi="宋体"/>
          <w:color w:val="auto"/>
          <w:szCs w:val="21"/>
        </w:rPr>
      </w:pPr>
    </w:p>
    <w:p w14:paraId="3C86D071">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11.响应文件的编制原则</w:t>
      </w:r>
    </w:p>
    <w:p w14:paraId="3EA945F7">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14:paraId="2C1825DE">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12.响应文件的组成</w:t>
      </w:r>
    </w:p>
    <w:p w14:paraId="10C866CD">
      <w:pPr>
        <w:spacing w:line="400" w:lineRule="exact"/>
        <w:ind w:firstLine="420" w:firstLineChars="200"/>
        <w:rPr>
          <w:rFonts w:ascii="宋体" w:hAnsi="宋体" w:cs="宋体"/>
          <w:color w:val="auto"/>
          <w:szCs w:val="21"/>
        </w:rPr>
      </w:pPr>
      <w:r>
        <w:rPr>
          <w:rFonts w:hint="eastAsia" w:ascii="宋体" w:hAnsi="宋体" w:cs="宋体"/>
          <w:color w:val="auto"/>
          <w:szCs w:val="21"/>
        </w:rPr>
        <w:t>12.1响应文件由资格证明文件、报价文件、商务技术文件三部分组成。</w:t>
      </w:r>
    </w:p>
    <w:p w14:paraId="1EF096C9">
      <w:pPr>
        <w:spacing w:line="400" w:lineRule="exact"/>
        <w:ind w:left="840" w:leftChars="200" w:hanging="420" w:hangingChars="200"/>
        <w:rPr>
          <w:rFonts w:ascii="宋体" w:hAnsi="宋体" w:cs="宋体"/>
          <w:color w:val="auto"/>
          <w:szCs w:val="21"/>
        </w:rPr>
      </w:pPr>
      <w:r>
        <w:rPr>
          <w:rFonts w:hint="eastAsia" w:ascii="宋体" w:hAnsi="宋体" w:cs="宋体"/>
          <w:color w:val="auto"/>
          <w:szCs w:val="21"/>
        </w:rPr>
        <w:t>12.1.1资格证明文件：详见“供应商须知前附表”</w:t>
      </w:r>
    </w:p>
    <w:p w14:paraId="4456A909">
      <w:pPr>
        <w:spacing w:line="400" w:lineRule="exact"/>
        <w:ind w:left="840" w:leftChars="200" w:hanging="420" w:hangingChars="200"/>
        <w:rPr>
          <w:rFonts w:ascii="宋体" w:hAnsi="宋体" w:cs="宋体"/>
          <w:color w:val="auto"/>
          <w:szCs w:val="21"/>
        </w:rPr>
      </w:pPr>
      <w:r>
        <w:rPr>
          <w:rFonts w:hint="eastAsia" w:ascii="宋体" w:hAnsi="宋体" w:cs="宋体"/>
          <w:color w:val="auto"/>
          <w:szCs w:val="21"/>
        </w:rPr>
        <w:t>12.1.2报价文件：详见“供应商须知前附表”</w:t>
      </w:r>
    </w:p>
    <w:p w14:paraId="4F52D268">
      <w:pPr>
        <w:spacing w:line="400" w:lineRule="exact"/>
        <w:ind w:left="840" w:leftChars="200" w:hanging="420" w:hangingChars="200"/>
        <w:contextualSpacing/>
        <w:rPr>
          <w:rFonts w:ascii="宋体" w:hAnsi="宋体" w:cs="宋体"/>
          <w:color w:val="auto"/>
          <w:szCs w:val="21"/>
        </w:rPr>
      </w:pPr>
      <w:r>
        <w:rPr>
          <w:rFonts w:hint="eastAsia" w:ascii="宋体" w:hAnsi="宋体" w:cs="宋体"/>
          <w:color w:val="auto"/>
          <w:szCs w:val="21"/>
        </w:rPr>
        <w:t>12.1.3商务技术文件：详见“供应商须知前附表”</w:t>
      </w:r>
    </w:p>
    <w:p w14:paraId="00E6B1D4">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13.计量单位</w:t>
      </w:r>
    </w:p>
    <w:p w14:paraId="435B8667">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14:paraId="527CFF0D">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14.竞标的风险</w:t>
      </w:r>
    </w:p>
    <w:p w14:paraId="74FD4EEF">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14:paraId="4FD21EC6">
      <w:pPr>
        <w:spacing w:line="400" w:lineRule="exact"/>
        <w:ind w:firstLine="482" w:firstLineChars="200"/>
        <w:contextualSpacing/>
        <w:rPr>
          <w:rFonts w:hint="eastAsia" w:ascii="黑体" w:hAnsi="黑体" w:eastAsia="黑体" w:cs="宋体"/>
          <w:b/>
          <w:bCs/>
          <w:color w:val="auto"/>
          <w:sz w:val="24"/>
          <w:lang w:eastAsia="zh-CN"/>
        </w:rPr>
      </w:pPr>
      <w:r>
        <w:rPr>
          <w:rFonts w:hint="eastAsia" w:ascii="黑体" w:hAnsi="黑体" w:eastAsia="黑体" w:cs="宋体"/>
          <w:b/>
          <w:bCs/>
          <w:color w:val="auto"/>
          <w:sz w:val="24"/>
        </w:rPr>
        <w:t>15.</w:t>
      </w:r>
      <w:r>
        <w:rPr>
          <w:rFonts w:hint="eastAsia" w:ascii="黑体" w:hAnsi="黑体" w:eastAsia="黑体" w:cs="宋体"/>
          <w:b/>
          <w:bCs/>
          <w:color w:val="auto"/>
          <w:sz w:val="24"/>
          <w:lang w:eastAsia="zh-CN"/>
        </w:rPr>
        <w:t>磋商报价</w:t>
      </w:r>
    </w:p>
    <w:p w14:paraId="6ED7BF44">
      <w:pPr>
        <w:tabs>
          <w:tab w:val="left" w:pos="2492"/>
        </w:tabs>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15.1</w:t>
      </w:r>
      <w:r>
        <w:rPr>
          <w:rFonts w:hint="eastAsia" w:ascii="宋体" w:hAnsi="宋体" w:cs="宋体"/>
          <w:color w:val="auto"/>
          <w:szCs w:val="21"/>
          <w:lang w:eastAsia="zh-CN"/>
        </w:rPr>
        <w:t>磋商报价</w:t>
      </w:r>
      <w:r>
        <w:rPr>
          <w:rFonts w:hint="eastAsia" w:ascii="宋体" w:hAnsi="宋体" w:cs="宋体"/>
          <w:color w:val="auto"/>
          <w:szCs w:val="21"/>
        </w:rPr>
        <w:t>应按磋商文件中“</w:t>
      </w:r>
      <w:r>
        <w:rPr>
          <w:rFonts w:hint="eastAsia" w:ascii="宋体" w:hAnsi="宋体" w:cs="宋体"/>
          <w:color w:val="auto"/>
          <w:szCs w:val="21"/>
          <w:lang w:eastAsia="zh-CN"/>
        </w:rPr>
        <w:t>磋商报价</w:t>
      </w:r>
      <w:r>
        <w:rPr>
          <w:rFonts w:hint="eastAsia" w:ascii="宋体" w:hAnsi="宋体" w:cs="宋体"/>
          <w:color w:val="auto"/>
          <w:szCs w:val="21"/>
        </w:rPr>
        <w:t>表”格式填写。</w:t>
      </w:r>
    </w:p>
    <w:p w14:paraId="0FAA70F4">
      <w:pPr>
        <w:tabs>
          <w:tab w:val="left" w:pos="2492"/>
        </w:tabs>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15.2</w:t>
      </w:r>
      <w:r>
        <w:rPr>
          <w:rFonts w:hint="eastAsia" w:ascii="宋体" w:hAnsi="宋体" w:cs="宋体"/>
          <w:color w:val="auto"/>
          <w:szCs w:val="21"/>
          <w:lang w:eastAsia="zh-CN"/>
        </w:rPr>
        <w:t>磋商报价</w:t>
      </w:r>
      <w:r>
        <w:rPr>
          <w:rFonts w:hint="eastAsia" w:ascii="宋体" w:hAnsi="宋体" w:cs="宋体"/>
          <w:color w:val="auto"/>
          <w:szCs w:val="21"/>
        </w:rPr>
        <w:t>的内容见“供应商须知前附表”。</w:t>
      </w:r>
    </w:p>
    <w:p w14:paraId="5B878883">
      <w:pPr>
        <w:spacing w:line="400" w:lineRule="exact"/>
        <w:ind w:left="426" w:leftChars="203"/>
        <w:contextualSpacing/>
        <w:rPr>
          <w:rFonts w:ascii="宋体" w:hAnsi="宋体" w:cs="宋体"/>
          <w:color w:val="auto"/>
          <w:szCs w:val="21"/>
        </w:rPr>
      </w:pPr>
      <w:r>
        <w:rPr>
          <w:rFonts w:hint="eastAsia" w:ascii="宋体" w:hAnsi="宋体" w:cs="宋体"/>
          <w:color w:val="auto"/>
          <w:szCs w:val="21"/>
        </w:rPr>
        <w:t>15.3</w:t>
      </w:r>
      <w:r>
        <w:rPr>
          <w:rFonts w:hint="eastAsia" w:ascii="宋体" w:hAnsi="宋体" w:cs="宋体"/>
          <w:color w:val="auto"/>
          <w:szCs w:val="21"/>
          <w:lang w:eastAsia="zh-CN"/>
        </w:rPr>
        <w:t>磋商报价</w:t>
      </w:r>
      <w:r>
        <w:rPr>
          <w:rFonts w:hint="eastAsia" w:ascii="宋体" w:hAnsi="宋体" w:cs="宋体"/>
          <w:color w:val="auto"/>
          <w:szCs w:val="21"/>
        </w:rPr>
        <w:t>要求</w:t>
      </w:r>
    </w:p>
    <w:p w14:paraId="197BA20C">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5.3.1</w:t>
      </w:r>
      <w:r>
        <w:rPr>
          <w:rFonts w:hint="eastAsia" w:ascii="宋体" w:hAnsi="宋体" w:cs="宋体"/>
          <w:color w:val="auto"/>
          <w:szCs w:val="21"/>
        </w:rPr>
        <w:t>供应商的</w:t>
      </w:r>
      <w:r>
        <w:rPr>
          <w:rFonts w:hint="eastAsia" w:ascii="宋体" w:hAnsi="宋体" w:cs="宋体"/>
          <w:color w:val="auto"/>
          <w:szCs w:val="21"/>
          <w:lang w:eastAsia="zh-CN"/>
        </w:rPr>
        <w:t>磋商报价</w:t>
      </w:r>
      <w:r>
        <w:rPr>
          <w:rFonts w:hint="eastAsia" w:ascii="宋体" w:hAnsi="宋体" w:cs="宋体"/>
          <w:color w:val="auto"/>
          <w:szCs w:val="21"/>
        </w:rPr>
        <w:t>应符合以下要求，否则响应文件按无效响应处理：</w:t>
      </w:r>
    </w:p>
    <w:p w14:paraId="7FDC7750">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（1）供应商必须就“采购需求”中所竞标的全部内容分别作完整唯一总价报价，不得存在漏项报价；</w:t>
      </w:r>
    </w:p>
    <w:p w14:paraId="1A826998">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）项目为多分项的,供应商必须就单项内容作唯一报价。</w:t>
      </w:r>
    </w:p>
    <w:p w14:paraId="1006DD0E">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15.3.</w:t>
      </w:r>
      <w:r>
        <w:rPr>
          <w:rFonts w:ascii="宋体" w:hAnsi="宋体" w:cs="宋体"/>
          <w:color w:val="auto"/>
          <w:szCs w:val="21"/>
        </w:rPr>
        <w:t>2</w:t>
      </w:r>
      <w:r>
        <w:rPr>
          <w:rFonts w:hint="eastAsia" w:ascii="宋体" w:hAnsi="宋体" w:cs="宋体"/>
          <w:color w:val="auto"/>
          <w:szCs w:val="21"/>
          <w:lang w:eastAsia="zh-CN"/>
        </w:rPr>
        <w:t>磋商报价</w:t>
      </w:r>
      <w:r>
        <w:rPr>
          <w:rFonts w:hint="eastAsia" w:ascii="宋体" w:hAnsi="宋体" w:cs="宋体"/>
          <w:color w:val="auto"/>
          <w:szCs w:val="21"/>
        </w:rPr>
        <w:t>（包含首次报价、最后报价）超过规定的采购预算金额或者最高限价的，其响应文件将按无效处理。</w:t>
      </w:r>
    </w:p>
    <w:p w14:paraId="2A33FDA7">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15.3.</w:t>
      </w:r>
      <w:r>
        <w:rPr>
          <w:rFonts w:ascii="宋体" w:hAnsi="宋体" w:cs="宋体"/>
          <w:color w:val="auto"/>
          <w:szCs w:val="21"/>
        </w:rPr>
        <w:t>3</w:t>
      </w:r>
      <w:bookmarkStart w:id="70" w:name="_Hlk42592874"/>
      <w:r>
        <w:rPr>
          <w:rFonts w:hint="eastAsia" w:ascii="宋体" w:hAnsi="宋体" w:cs="宋体"/>
          <w:color w:val="auto"/>
          <w:szCs w:val="21"/>
          <w:lang w:eastAsia="zh-CN"/>
        </w:rPr>
        <w:t>磋商报价</w:t>
      </w:r>
      <w:r>
        <w:rPr>
          <w:rFonts w:hint="eastAsia" w:ascii="宋体" w:hAnsi="宋体" w:cs="宋体"/>
          <w:color w:val="auto"/>
          <w:szCs w:val="21"/>
        </w:rPr>
        <w:t>（包含首次报价、最后报价）超过分项采购预算金额或者最高限价的，其响应文件将按无效处理。</w:t>
      </w:r>
    </w:p>
    <w:bookmarkEnd w:id="70"/>
    <w:p w14:paraId="72CA6F92">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16.竞标有效期</w:t>
      </w:r>
    </w:p>
    <w:p w14:paraId="51A2BDDC">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2A0F6FD0">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16.2 竞标有效期应由供应商按“供应商须知前附表”规定的期限作出响应。</w:t>
      </w:r>
    </w:p>
    <w:p w14:paraId="1FE87909">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16.3供应商的响应文件在竞标有效期内均保持有效。</w:t>
      </w:r>
    </w:p>
    <w:p w14:paraId="76C2B58D">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17.磋商保证金</w:t>
      </w:r>
    </w:p>
    <w:p w14:paraId="084FFF0C">
      <w:pPr>
        <w:spacing w:line="400" w:lineRule="exact"/>
        <w:ind w:left="420" w:leftChars="200"/>
        <w:contextualSpacing/>
        <w:rPr>
          <w:rFonts w:ascii="宋体" w:hAnsi="宋体" w:cs="宋体"/>
          <w:color w:val="auto"/>
          <w:szCs w:val="21"/>
        </w:rPr>
      </w:pPr>
      <w:r>
        <w:rPr>
          <w:rFonts w:hint="eastAsia" w:ascii="宋体" w:hAnsi="宋体" w:cs="宋体"/>
          <w:color w:val="auto"/>
          <w:szCs w:val="21"/>
        </w:rPr>
        <w:t>17.1供应商须按“供应商须知前附表”的规定提交磋商保证金。</w:t>
      </w:r>
    </w:p>
    <w:p w14:paraId="107CB009">
      <w:pPr>
        <w:spacing w:line="400" w:lineRule="exact"/>
        <w:ind w:left="420" w:leftChars="200"/>
        <w:contextualSpacing/>
        <w:rPr>
          <w:rFonts w:ascii="宋体" w:hAnsi="宋体" w:cs="宋体"/>
          <w:color w:val="auto"/>
          <w:szCs w:val="21"/>
        </w:rPr>
      </w:pPr>
      <w:r>
        <w:rPr>
          <w:rFonts w:hint="eastAsia" w:ascii="宋体" w:hAnsi="宋体" w:cs="宋体"/>
          <w:color w:val="auto"/>
          <w:szCs w:val="21"/>
        </w:rPr>
        <w:t>17.2磋商保证金的退还</w:t>
      </w:r>
    </w:p>
    <w:p w14:paraId="6AECE0C6">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未</w:t>
      </w:r>
      <w:r>
        <w:rPr>
          <w:rFonts w:hint="eastAsia" w:ascii="宋体" w:hAnsi="宋体" w:cs="宋体"/>
          <w:color w:val="auto"/>
          <w:spacing w:val="-6"/>
          <w:szCs w:val="21"/>
        </w:rPr>
        <w:t>成交供应商的磋商保证金自成交通知书发出之日起5个工作日内退还；</w:t>
      </w:r>
      <w:r>
        <w:rPr>
          <w:rFonts w:hint="eastAsia" w:ascii="宋体" w:hAnsi="宋体" w:cs="宋体"/>
          <w:color w:val="auto"/>
          <w:szCs w:val="21"/>
        </w:rPr>
        <w:t xml:space="preserve">成交供应商的磋商保证金自签订合同之日起5个工作日内退还。 </w:t>
      </w:r>
    </w:p>
    <w:p w14:paraId="239D7EE4">
      <w:pPr>
        <w:spacing w:line="400" w:lineRule="exact"/>
        <w:ind w:left="420" w:leftChars="200"/>
        <w:contextualSpacing/>
        <w:rPr>
          <w:rFonts w:ascii="宋体" w:hAnsi="宋体" w:cs="宋体"/>
          <w:color w:val="auto"/>
          <w:szCs w:val="21"/>
        </w:rPr>
      </w:pPr>
      <w:r>
        <w:rPr>
          <w:rFonts w:hint="eastAsia" w:ascii="宋体" w:hAnsi="宋体" w:cs="宋体"/>
          <w:color w:val="auto"/>
          <w:szCs w:val="21"/>
        </w:rPr>
        <w:t>17.3磋商保证金不计息。</w:t>
      </w:r>
    </w:p>
    <w:p w14:paraId="0947E954">
      <w:pPr>
        <w:spacing w:line="400" w:lineRule="exact"/>
        <w:ind w:left="420" w:leftChars="200"/>
        <w:contextualSpacing/>
        <w:rPr>
          <w:rFonts w:ascii="宋体" w:hAnsi="宋体" w:cs="宋体"/>
          <w:color w:val="auto"/>
          <w:szCs w:val="21"/>
        </w:rPr>
      </w:pPr>
      <w:r>
        <w:rPr>
          <w:rFonts w:hint="eastAsia" w:ascii="宋体" w:hAnsi="宋体" w:cs="宋体"/>
          <w:color w:val="auto"/>
          <w:szCs w:val="21"/>
        </w:rPr>
        <w:t xml:space="preserve">17.4供应商有下列情形之一的，磋商保证金将不予退还： </w:t>
      </w:r>
    </w:p>
    <w:p w14:paraId="7884802C">
      <w:pPr>
        <w:spacing w:line="400" w:lineRule="exact"/>
        <w:ind w:left="420" w:leftChars="200"/>
        <w:contextualSpacing/>
        <w:rPr>
          <w:rFonts w:ascii="宋体" w:hAnsi="宋体" w:cs="宋体"/>
          <w:color w:val="auto"/>
          <w:szCs w:val="21"/>
        </w:rPr>
      </w:pPr>
      <w:r>
        <w:rPr>
          <w:rFonts w:hint="eastAsia" w:ascii="宋体" w:hAnsi="宋体" w:cs="宋体"/>
          <w:color w:val="auto"/>
          <w:szCs w:val="21"/>
        </w:rPr>
        <w:t>（1）供应商在提交响应文件截止时间后撤回响应文件的；</w:t>
      </w:r>
    </w:p>
    <w:p w14:paraId="26011A59">
      <w:pPr>
        <w:spacing w:line="400" w:lineRule="exact"/>
        <w:ind w:left="420" w:left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）供应商在响应文件中提供虚假材料的；</w:t>
      </w:r>
    </w:p>
    <w:p w14:paraId="1CA074EE">
      <w:pPr>
        <w:spacing w:line="400" w:lineRule="exact"/>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）除因不可抗力或者磋商文件认可的情形以外，成交供应商不与采购人签订合同的；</w:t>
      </w:r>
    </w:p>
    <w:p w14:paraId="605D72A9">
      <w:pPr>
        <w:spacing w:line="400" w:lineRule="exact"/>
        <w:ind w:left="420" w:left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）供应商与采购人、其他供应商或者采购代理机构恶意串通的；</w:t>
      </w:r>
    </w:p>
    <w:p w14:paraId="0B3AC047">
      <w:pPr>
        <w:spacing w:line="400" w:lineRule="exact"/>
        <w:ind w:left="420" w:leftChars="200"/>
        <w:contextualSpacing/>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）法律法规规定的其他情形。</w:t>
      </w:r>
    </w:p>
    <w:p w14:paraId="2E0CA526">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18.响应文件编制的要求</w:t>
      </w:r>
    </w:p>
    <w:p w14:paraId="328600B7">
      <w:pPr>
        <w:spacing w:line="400" w:lineRule="exact"/>
        <w:ind w:firstLine="420" w:firstLineChars="200"/>
        <w:rPr>
          <w:rFonts w:ascii="宋体" w:hAnsi="宋体" w:cs="宋体"/>
          <w:color w:val="auto"/>
          <w:szCs w:val="21"/>
        </w:rPr>
      </w:pPr>
      <w:r>
        <w:rPr>
          <w:rFonts w:hint="eastAsia" w:ascii="宋体" w:hAnsi="宋体" w:cs="宋体"/>
          <w:color w:val="auto"/>
          <w:szCs w:val="21"/>
        </w:rPr>
        <w:t>18.1供应商应按照本项目竞争性磋商文件规定的格式和顺序和广西政府采购云平台的要求编制并加密。响应文件内容不完整、编排混乱导致响应文件被误读、漏读或者查找不到相关内容的，由此引发的后果由供应商承担。</w:t>
      </w:r>
    </w:p>
    <w:p w14:paraId="1135E2C9">
      <w:pPr>
        <w:spacing w:line="400" w:lineRule="exact"/>
        <w:ind w:firstLine="420" w:firstLineChars="200"/>
        <w:rPr>
          <w:rFonts w:ascii="宋体" w:hAnsi="宋体" w:cs="宋体"/>
          <w:color w:val="auto"/>
          <w:szCs w:val="21"/>
        </w:rPr>
      </w:pPr>
      <w:r>
        <w:rPr>
          <w:rFonts w:hint="eastAsia" w:ascii="宋体" w:hAnsi="宋体" w:cs="宋体"/>
          <w:color w:val="auto"/>
          <w:szCs w:val="21"/>
        </w:rPr>
        <w:t>18.2为确保网上操作合法、有效和安全，供应商应当在提交响应文件截止时间前完成在</w:t>
      </w:r>
      <w:r>
        <w:rPr>
          <w:rFonts w:hint="eastAsia" w:ascii="宋体" w:hAnsi="宋体"/>
          <w:color w:val="auto"/>
          <w:szCs w:val="21"/>
        </w:rPr>
        <w:t>广西政府采购云平台</w:t>
      </w:r>
      <w:r>
        <w:rPr>
          <w:rFonts w:hint="eastAsia" w:ascii="宋体" w:hAnsi="宋体" w:cs="宋体"/>
          <w:color w:val="auto"/>
          <w:szCs w:val="21"/>
        </w:rPr>
        <w:t>的身份认证，确保在电子竞标过程中能够对相关数据电文进行加密和使用电子签章。</w:t>
      </w:r>
    </w:p>
    <w:p w14:paraId="631289B9">
      <w:pPr>
        <w:spacing w:line="400" w:lineRule="exact"/>
        <w:ind w:firstLine="420" w:firstLineChars="200"/>
        <w:rPr>
          <w:rFonts w:ascii="宋体" w:hAnsi="宋体" w:cs="宋体"/>
          <w:color w:val="auto"/>
          <w:szCs w:val="21"/>
        </w:rPr>
      </w:pPr>
      <w:r>
        <w:rPr>
          <w:rFonts w:hint="eastAsia" w:ascii="宋体" w:hAnsi="宋体" w:cs="宋体"/>
          <w:color w:val="auto"/>
          <w:szCs w:val="21"/>
        </w:rPr>
        <w:t>18.3响应文件须由供应商在规定位置签字、盖章（具体以供应商须知前附表或响应文件格式规定为准），否则按无效响应处理。</w:t>
      </w:r>
    </w:p>
    <w:p w14:paraId="714EB2E2">
      <w:pPr>
        <w:spacing w:line="400" w:lineRule="exact"/>
        <w:ind w:firstLine="420" w:firstLineChars="200"/>
        <w:rPr>
          <w:rFonts w:ascii="宋体" w:hAnsi="宋体" w:cs="宋体"/>
          <w:color w:val="auto"/>
          <w:szCs w:val="21"/>
        </w:rPr>
      </w:pPr>
      <w:r>
        <w:rPr>
          <w:rFonts w:hint="eastAsia" w:ascii="宋体" w:hAnsi="宋体" w:cs="宋体"/>
          <w:color w:val="auto"/>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4CB07767">
      <w:pPr>
        <w:spacing w:line="400" w:lineRule="exact"/>
        <w:ind w:firstLine="420" w:firstLineChars="200"/>
        <w:contextualSpacing/>
        <w:rPr>
          <w:rFonts w:ascii="宋体" w:hAnsi="宋体" w:cs="宋体"/>
          <w:color w:val="auto"/>
          <w:szCs w:val="21"/>
        </w:rPr>
      </w:pPr>
      <w:r>
        <w:rPr>
          <w:rFonts w:ascii="宋体" w:hAnsi="宋体" w:cs="宋体"/>
          <w:color w:val="auto"/>
          <w:szCs w:val="21"/>
        </w:rPr>
        <w:t>18.5响</w:t>
      </w:r>
      <w:r>
        <w:rPr>
          <w:color w:val="auto"/>
        </w:rPr>
        <w:t>应文件应尽量避免涂改、行间插字或者删除。如果出现上述情况，改动之处应由供应商的法定代表人或其委托代理人签字（或者电子签名）或者加盖供应商公章(或者加盖电子签章)。响应文件因涂改、行间插字或者删除导致字迹潦草或者表达不清所引起的后果由供应商承担。</w:t>
      </w:r>
    </w:p>
    <w:p w14:paraId="6C196D68">
      <w:pPr>
        <w:spacing w:line="400" w:lineRule="exact"/>
        <w:ind w:firstLine="482" w:firstLineChars="200"/>
        <w:rPr>
          <w:rFonts w:ascii="黑体" w:hAnsi="黑体" w:eastAsia="黑体"/>
          <w:color w:val="auto"/>
          <w:sz w:val="24"/>
        </w:rPr>
      </w:pPr>
      <w:r>
        <w:rPr>
          <w:rFonts w:hint="eastAsia" w:ascii="黑体" w:hAnsi="黑体" w:eastAsia="黑体" w:cs="宋体"/>
          <w:b/>
          <w:bCs/>
          <w:color w:val="auto"/>
          <w:sz w:val="24"/>
        </w:rPr>
        <w:t>19.电子</w:t>
      </w:r>
      <w:r>
        <w:rPr>
          <w:rFonts w:hint="eastAsia" w:ascii="黑体" w:hAnsi="黑体" w:eastAsia="黑体"/>
          <w:b/>
          <w:color w:val="auto"/>
          <w:sz w:val="24"/>
        </w:rPr>
        <w:t>备份响应文件</w:t>
      </w:r>
    </w:p>
    <w:p w14:paraId="26A4694D">
      <w:pPr>
        <w:spacing w:line="400" w:lineRule="exact"/>
        <w:ind w:firstLine="420" w:firstLineChars="200"/>
        <w:contextualSpacing/>
        <w:rPr>
          <w:rFonts w:ascii="宋体" w:hAnsi="宋体" w:cs="宋体"/>
          <w:color w:val="auto"/>
          <w:szCs w:val="21"/>
        </w:rPr>
      </w:pPr>
      <w:r>
        <w:rPr>
          <w:rFonts w:hint="eastAsia"/>
          <w:color w:val="auto"/>
        </w:rPr>
        <w:t>电子备份响应文件是指通过“</w:t>
      </w:r>
      <w:r>
        <w:rPr>
          <w:rFonts w:hint="eastAsia" w:ascii="宋体" w:hAnsi="宋体"/>
          <w:color w:val="auto"/>
          <w:szCs w:val="21"/>
        </w:rPr>
        <w:t>广西政府采购云平台</w:t>
      </w:r>
      <w:r>
        <w:rPr>
          <w:rFonts w:hint="eastAsia"/>
          <w:color w:val="auto"/>
        </w:rPr>
        <w:t>电子投标客户端”在线编制生成且后缀名为“</w:t>
      </w:r>
      <w:r>
        <w:rPr>
          <w:color w:val="auto"/>
        </w:rPr>
        <w:t>bfbs</w:t>
      </w:r>
      <w:r>
        <w:rPr>
          <w:rFonts w:hint="eastAsia"/>
          <w:color w:val="auto"/>
        </w:rPr>
        <w:t>”的文件，是否接受电子备份响应文件</w:t>
      </w:r>
      <w:r>
        <w:rPr>
          <w:rFonts w:hint="eastAsia" w:hAnsi="宋体"/>
          <w:bCs/>
          <w:color w:val="auto"/>
          <w:szCs w:val="21"/>
        </w:rPr>
        <w:t>详见在“供应商须知前附表”。</w:t>
      </w:r>
    </w:p>
    <w:p w14:paraId="17452EA4">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20.响应文件的提交</w:t>
      </w:r>
    </w:p>
    <w:p w14:paraId="4CA4194C">
      <w:pPr>
        <w:spacing w:line="400" w:lineRule="exact"/>
        <w:ind w:firstLine="420" w:firstLineChars="200"/>
        <w:rPr>
          <w:rFonts w:hAnsi="宋体"/>
          <w:b/>
          <w:color w:val="auto"/>
        </w:rPr>
      </w:pPr>
      <w:r>
        <w:rPr>
          <w:rFonts w:hint="eastAsia" w:ascii="宋体" w:hAnsi="宋体" w:cs="宋体"/>
          <w:color w:val="auto"/>
          <w:szCs w:val="21"/>
        </w:rPr>
        <w:t>20.1供</w:t>
      </w:r>
      <w:r>
        <w:rPr>
          <w:rFonts w:hint="eastAsia" w:hAnsi="宋体"/>
          <w:bCs/>
          <w:color w:val="auto"/>
          <w:szCs w:val="21"/>
        </w:rPr>
        <w:t>应商必须按“供应商须知前附表”规定的</w:t>
      </w:r>
      <w:r>
        <w:rPr>
          <w:rFonts w:hint="eastAsia" w:ascii="宋体" w:hAnsi="宋体" w:cs="宋体"/>
          <w:color w:val="auto"/>
          <w:szCs w:val="21"/>
        </w:rPr>
        <w:t>时间</w:t>
      </w:r>
      <w:r>
        <w:rPr>
          <w:rFonts w:hint="eastAsia" w:ascii="宋体" w:hAnsi="宋体"/>
          <w:color w:val="auto"/>
          <w:szCs w:val="21"/>
        </w:rPr>
        <w:t>及</w:t>
      </w:r>
      <w:r>
        <w:rPr>
          <w:rFonts w:hint="eastAsia" w:hAnsi="宋体"/>
          <w:bCs/>
          <w:color w:val="auto"/>
          <w:szCs w:val="21"/>
        </w:rPr>
        <w:t>地点提交响应文件。电子响应文件应在制作完成后，</w:t>
      </w:r>
      <w:r>
        <w:rPr>
          <w:rFonts w:hAnsi="宋体"/>
          <w:bCs/>
          <w:color w:val="auto"/>
          <w:szCs w:val="21"/>
        </w:rPr>
        <w:t>在</w:t>
      </w:r>
      <w:r>
        <w:rPr>
          <w:rFonts w:hint="eastAsia" w:hAnsi="宋体"/>
          <w:bCs/>
          <w:color w:val="auto"/>
          <w:szCs w:val="21"/>
        </w:rPr>
        <w:t>提交响应文件截止</w:t>
      </w:r>
      <w:r>
        <w:rPr>
          <w:rFonts w:hAnsi="宋体"/>
          <w:bCs/>
          <w:color w:val="auto"/>
          <w:szCs w:val="21"/>
        </w:rPr>
        <w:t>时间前</w:t>
      </w:r>
      <w:r>
        <w:rPr>
          <w:rFonts w:hint="eastAsia" w:hAnsi="宋体"/>
          <w:bCs/>
          <w:color w:val="auto"/>
          <w:szCs w:val="21"/>
        </w:rPr>
        <w:t>通过有效数字证书（CA认证锁）进行电子签章、加密，然后通过网络将加密的电子响应文件提交至</w:t>
      </w:r>
      <w:r>
        <w:rPr>
          <w:rFonts w:hint="eastAsia" w:ascii="宋体" w:hAnsi="宋体"/>
          <w:color w:val="auto"/>
          <w:szCs w:val="21"/>
        </w:rPr>
        <w:t>广西政府采购云平台</w:t>
      </w:r>
      <w:r>
        <w:rPr>
          <w:rFonts w:hint="eastAsia" w:hAnsi="宋体"/>
          <w:bCs/>
          <w:color w:val="auto"/>
          <w:szCs w:val="21"/>
        </w:rPr>
        <w:t xml:space="preserve">。 </w:t>
      </w:r>
      <w:r>
        <w:rPr>
          <w:rFonts w:hint="eastAsia" w:hAnsi="宋体"/>
          <w:b/>
          <w:color w:val="auto"/>
        </w:rPr>
        <w:t xml:space="preserve"> </w:t>
      </w:r>
    </w:p>
    <w:p w14:paraId="72C66C38">
      <w:pPr>
        <w:spacing w:line="400" w:lineRule="exact"/>
        <w:ind w:firstLine="422" w:firstLineChars="200"/>
        <w:contextualSpacing/>
        <w:rPr>
          <w:rFonts w:ascii="宋体" w:hAnsi="宋体"/>
          <w:b/>
          <w:color w:val="auto"/>
          <w:szCs w:val="21"/>
        </w:rPr>
      </w:pPr>
      <w:r>
        <w:rPr>
          <w:rFonts w:hint="eastAsia" w:ascii="宋体" w:hAnsi="宋体"/>
          <w:b/>
          <w:color w:val="auto"/>
          <w:szCs w:val="21"/>
        </w:rPr>
        <w:t>20.</w:t>
      </w:r>
      <w:r>
        <w:rPr>
          <w:rFonts w:ascii="宋体" w:hAnsi="宋体"/>
          <w:b/>
          <w:color w:val="auto"/>
          <w:szCs w:val="21"/>
        </w:rPr>
        <w:t>2</w:t>
      </w:r>
      <w:r>
        <w:rPr>
          <w:rFonts w:hint="eastAsia" w:ascii="宋体" w:hAnsi="宋体"/>
          <w:b/>
          <w:color w:val="auto"/>
          <w:szCs w:val="21"/>
        </w:rPr>
        <w:t>未在规定时间内提交或者未按照磋商文件要求加密的电子响应文件，广西政府采购云平台将拒收。</w:t>
      </w:r>
    </w:p>
    <w:p w14:paraId="07C103B0">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21.首次响应文件的补充、修改与撤回</w:t>
      </w:r>
    </w:p>
    <w:p w14:paraId="2C3860A0">
      <w:pPr>
        <w:snapToGrid w:val="0"/>
        <w:spacing w:line="400" w:lineRule="exact"/>
        <w:ind w:firstLine="420"/>
        <w:jc w:val="left"/>
        <w:rPr>
          <w:rFonts w:ascii="宋体" w:hAnsi="宋体"/>
          <w:color w:val="auto"/>
          <w:szCs w:val="21"/>
        </w:rPr>
      </w:pPr>
      <w:bookmarkStart w:id="71" w:name="_Toc254970684"/>
      <w:bookmarkStart w:id="72" w:name="_Toc254970543"/>
      <w:r>
        <w:rPr>
          <w:rFonts w:ascii="宋体" w:hAnsi="宋体" w:cs="宋体"/>
          <w:color w:val="auto"/>
          <w:szCs w:val="21"/>
        </w:rPr>
        <w:t>2</w:t>
      </w:r>
      <w:r>
        <w:rPr>
          <w:rFonts w:hint="eastAsia" w:ascii="宋体" w:hAnsi="宋体" w:cs="宋体"/>
          <w:color w:val="auto"/>
          <w:szCs w:val="21"/>
        </w:rPr>
        <w:t>1.1</w:t>
      </w:r>
      <w:r>
        <w:rPr>
          <w:rFonts w:hint="eastAsia" w:ascii="宋体" w:hAnsi="宋体"/>
          <w:bCs/>
          <w:color w:val="auto"/>
          <w:szCs w:val="21"/>
        </w:rPr>
        <w:t>供应商应当在</w:t>
      </w:r>
      <w:r>
        <w:rPr>
          <w:rFonts w:hint="eastAsia" w:hAnsi="宋体"/>
          <w:bCs/>
          <w:color w:val="auto"/>
          <w:szCs w:val="21"/>
        </w:rPr>
        <w:t>提交响应文件截止</w:t>
      </w:r>
      <w:r>
        <w:rPr>
          <w:rFonts w:hAnsi="宋体"/>
          <w:bCs/>
          <w:color w:val="auto"/>
          <w:szCs w:val="21"/>
        </w:rPr>
        <w:t>时间</w:t>
      </w:r>
      <w:r>
        <w:rPr>
          <w:rFonts w:hint="eastAsia" w:ascii="宋体" w:hAnsi="宋体"/>
          <w:bCs/>
          <w:color w:val="auto"/>
          <w:szCs w:val="21"/>
        </w:rPr>
        <w:t>前完成电子响应文件的提交（上传），</w:t>
      </w:r>
      <w:r>
        <w:rPr>
          <w:rFonts w:hint="eastAsia" w:hAnsi="宋体"/>
          <w:bCs/>
          <w:color w:val="auto"/>
          <w:szCs w:val="21"/>
        </w:rPr>
        <w:t>提交响应文件截止</w:t>
      </w:r>
      <w:r>
        <w:rPr>
          <w:rFonts w:hAnsi="宋体"/>
          <w:bCs/>
          <w:color w:val="auto"/>
          <w:szCs w:val="21"/>
        </w:rPr>
        <w:t>时间</w:t>
      </w:r>
      <w:r>
        <w:rPr>
          <w:rFonts w:hint="eastAsia" w:hAnsi="宋体"/>
          <w:bCs/>
          <w:color w:val="auto"/>
          <w:szCs w:val="21"/>
        </w:rPr>
        <w:t>前</w:t>
      </w:r>
      <w:r>
        <w:rPr>
          <w:rFonts w:hint="eastAsia" w:ascii="宋体" w:hAnsi="宋体"/>
          <w:bCs/>
          <w:color w:val="auto"/>
          <w:szCs w:val="21"/>
        </w:rPr>
        <w:t>可以补充、修改或者撤回响应文件。补充或者修改响应文件的，应当先行撤回原响应文件，补充、修改后重新提交（上传），</w:t>
      </w:r>
      <w:r>
        <w:rPr>
          <w:rFonts w:hint="eastAsia" w:hAnsi="宋体"/>
          <w:bCs/>
          <w:color w:val="auto"/>
          <w:szCs w:val="21"/>
        </w:rPr>
        <w:t>提交响应文件截止</w:t>
      </w:r>
      <w:r>
        <w:rPr>
          <w:rFonts w:hAnsi="宋体"/>
          <w:bCs/>
          <w:color w:val="auto"/>
          <w:szCs w:val="21"/>
        </w:rPr>
        <w:t>时间</w:t>
      </w:r>
      <w:r>
        <w:rPr>
          <w:rFonts w:hint="eastAsia" w:hAnsi="宋体"/>
          <w:bCs/>
          <w:color w:val="auto"/>
          <w:szCs w:val="21"/>
        </w:rPr>
        <w:t>前</w:t>
      </w:r>
      <w:r>
        <w:rPr>
          <w:rFonts w:hint="eastAsia" w:ascii="宋体" w:hAnsi="宋体"/>
          <w:bCs/>
          <w:color w:val="auto"/>
          <w:szCs w:val="21"/>
        </w:rPr>
        <w:t>未完成提交（上传）的，视为撤回响应文件。</w:t>
      </w:r>
      <w:r>
        <w:rPr>
          <w:rFonts w:hint="eastAsia" w:hAnsi="宋体"/>
          <w:bCs/>
          <w:color w:val="auto"/>
          <w:szCs w:val="21"/>
        </w:rPr>
        <w:t>提交响应文件截止</w:t>
      </w:r>
      <w:r>
        <w:rPr>
          <w:rFonts w:hAnsi="宋体"/>
          <w:bCs/>
          <w:color w:val="auto"/>
          <w:szCs w:val="21"/>
        </w:rPr>
        <w:t>时间</w:t>
      </w:r>
      <w:r>
        <w:rPr>
          <w:rFonts w:hint="eastAsia" w:ascii="宋体" w:hAnsi="宋体"/>
          <w:bCs/>
          <w:color w:val="auto"/>
          <w:szCs w:val="21"/>
        </w:rPr>
        <w:t>以后提交（上传）的响应文件，</w:t>
      </w:r>
      <w:r>
        <w:rPr>
          <w:rFonts w:hint="eastAsia" w:ascii="宋体" w:hAnsi="宋体"/>
          <w:color w:val="auto"/>
          <w:szCs w:val="21"/>
        </w:rPr>
        <w:t>广西政府采购云平台</w:t>
      </w:r>
      <w:r>
        <w:rPr>
          <w:rFonts w:hint="eastAsia" w:ascii="宋体" w:hAnsi="宋体"/>
          <w:bCs/>
          <w:color w:val="auto"/>
          <w:szCs w:val="21"/>
        </w:rPr>
        <w:t>将予以拒收。</w:t>
      </w:r>
      <w:r>
        <w:rPr>
          <w:rFonts w:hint="eastAsia" w:ascii="宋体" w:hAnsi="宋体" w:cs="宋体"/>
          <w:color w:val="auto"/>
          <w:szCs w:val="21"/>
        </w:rPr>
        <w:t>（补充、修改或者撤回方式可</w:t>
      </w:r>
      <w:r>
        <w:rPr>
          <w:rFonts w:hint="eastAsia" w:ascii="宋体" w:hAnsi="宋体"/>
          <w:color w:val="auto"/>
          <w:szCs w:val="21"/>
        </w:rPr>
        <w:t>登录广西政府采购云平台</w:t>
      </w:r>
      <w:r>
        <w:rPr>
          <w:rFonts w:hint="eastAsia" w:ascii="宋体" w:hAnsi="宋体" w:cs="宋体"/>
          <w:color w:val="auto"/>
          <w:kern w:val="0"/>
          <w:szCs w:val="21"/>
        </w:rPr>
        <w:t>，</w:t>
      </w:r>
      <w:r>
        <w:rPr>
          <w:rFonts w:hint="eastAsia" w:ascii="宋体" w:hAnsi="宋体"/>
          <w:color w:val="auto"/>
          <w:szCs w:val="21"/>
        </w:rPr>
        <w:t>进入“服务中心”中查看</w:t>
      </w:r>
      <w:r>
        <w:rPr>
          <w:rFonts w:hint="eastAsia" w:ascii="宋体" w:hAnsi="宋体" w:cs="宋体"/>
          <w:color w:val="auto"/>
          <w:szCs w:val="21"/>
        </w:rPr>
        <w:t xml:space="preserve"> “电子投标文件制作与投送教程”）</w:t>
      </w:r>
    </w:p>
    <w:bookmarkEnd w:id="71"/>
    <w:bookmarkEnd w:id="72"/>
    <w:p w14:paraId="0269328E">
      <w:pPr>
        <w:pStyle w:val="73"/>
        <w:spacing w:before="0" w:line="400" w:lineRule="exact"/>
        <w:ind w:firstLine="420"/>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1</w:t>
      </w:r>
      <w:r>
        <w:rPr>
          <w:rFonts w:ascii="宋体" w:hAnsi="宋体" w:cs="宋体"/>
          <w:color w:val="auto"/>
          <w:sz w:val="21"/>
          <w:szCs w:val="21"/>
        </w:rPr>
        <w:t>.</w:t>
      </w:r>
      <w:r>
        <w:rPr>
          <w:rFonts w:hint="eastAsia" w:ascii="宋体" w:hAnsi="宋体" w:cs="宋体"/>
          <w:color w:val="auto"/>
          <w:sz w:val="21"/>
          <w:szCs w:val="21"/>
        </w:rPr>
        <w:t>2在提交响应文件截止时间前，除供应商补充、修改或者撤回响应文件外，任何单位和个人不得解密或提取响应文件。</w:t>
      </w:r>
    </w:p>
    <w:p w14:paraId="67779A36">
      <w:pPr>
        <w:spacing w:line="400" w:lineRule="exact"/>
        <w:ind w:firstLine="482" w:firstLineChars="200"/>
        <w:contextualSpacing/>
        <w:rPr>
          <w:rFonts w:ascii="黑体" w:hAnsi="黑体" w:eastAsia="黑体" w:cs="宋体"/>
          <w:b/>
          <w:bCs/>
          <w:color w:val="auto"/>
          <w:sz w:val="24"/>
        </w:rPr>
      </w:pPr>
      <w:bookmarkStart w:id="73" w:name="_Hlk45702405"/>
      <w:r>
        <w:rPr>
          <w:rFonts w:hint="eastAsia" w:ascii="黑体" w:hAnsi="黑体" w:eastAsia="黑体" w:cs="宋体"/>
          <w:b/>
          <w:bCs/>
          <w:color w:val="auto"/>
          <w:sz w:val="24"/>
        </w:rPr>
        <w:t>22.响应文件的退回</w:t>
      </w:r>
    </w:p>
    <w:p w14:paraId="13985AD1">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采购人和采购代理机构对已提交的响应文件概不退回。</w:t>
      </w:r>
    </w:p>
    <w:p w14:paraId="0A5DBEF4">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23.截止时间后的撤回</w:t>
      </w:r>
    </w:p>
    <w:p w14:paraId="6DA3E022">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供应商在响应文件提交截止时间后向采购人、采购代理机构书面申请撤回响应文件的，将根据本须知正文17.4的规定不予退还其磋商保证金。</w:t>
      </w:r>
    </w:p>
    <w:bookmarkEnd w:id="73"/>
    <w:p w14:paraId="3D187063">
      <w:pPr>
        <w:spacing w:line="400" w:lineRule="exact"/>
        <w:contextualSpacing/>
        <w:rPr>
          <w:rFonts w:ascii="宋体" w:hAnsi="宋体"/>
          <w:color w:val="auto"/>
          <w:szCs w:val="21"/>
        </w:rPr>
      </w:pPr>
    </w:p>
    <w:p w14:paraId="5357F001">
      <w:pPr>
        <w:spacing w:line="400" w:lineRule="exact"/>
        <w:ind w:left="420" w:firstLine="420"/>
        <w:contextualSpacing/>
        <w:jc w:val="center"/>
        <w:rPr>
          <w:rFonts w:ascii="宋体" w:hAnsi="宋体"/>
          <w:b/>
          <w:bCs/>
          <w:color w:val="auto"/>
          <w:sz w:val="32"/>
          <w:szCs w:val="32"/>
        </w:rPr>
      </w:pPr>
      <w:r>
        <w:rPr>
          <w:rFonts w:hint="eastAsia" w:ascii="宋体" w:hAnsi="宋体"/>
          <w:b/>
          <w:bCs/>
          <w:color w:val="auto"/>
          <w:sz w:val="32"/>
          <w:szCs w:val="32"/>
        </w:rPr>
        <w:t>四、评审及磋商</w:t>
      </w:r>
    </w:p>
    <w:p w14:paraId="6F13CB1C">
      <w:pPr>
        <w:spacing w:line="400" w:lineRule="exact"/>
        <w:ind w:left="420" w:firstLine="420"/>
        <w:contextualSpacing/>
        <w:rPr>
          <w:rFonts w:ascii="宋体" w:hAnsi="宋体"/>
          <w:color w:val="auto"/>
          <w:szCs w:val="21"/>
        </w:rPr>
      </w:pPr>
    </w:p>
    <w:p w14:paraId="6C6493BD">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24.磋商小组成立</w:t>
      </w:r>
    </w:p>
    <w:p w14:paraId="5EF86E50">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24.1</w:t>
      </w:r>
      <w:bookmarkStart w:id="74" w:name="_Hlk71302993"/>
      <w:r>
        <w:rPr>
          <w:rFonts w:hint="eastAsia" w:ascii="宋体" w:hAnsi="宋体" w:cs="宋体"/>
          <w:color w:val="auto"/>
          <w:szCs w:val="21"/>
        </w:rPr>
        <w:t>磋商小组</w:t>
      </w:r>
      <w:bookmarkEnd w:id="74"/>
      <w:r>
        <w:rPr>
          <w:rFonts w:hint="eastAsia" w:ascii="宋体" w:hAnsi="宋体" w:cs="宋体"/>
          <w:color w:val="auto"/>
          <w:szCs w:val="21"/>
        </w:rPr>
        <w:t>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E47B802">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B38F5E1">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24.3</w:t>
      </w:r>
      <w:r>
        <w:rPr>
          <w:rFonts w:hint="eastAsia" w:hAnsi="宋体"/>
          <w:bCs/>
          <w:color w:val="auto"/>
          <w:szCs w:val="21"/>
        </w:rPr>
        <w:t>采购代理机构</w:t>
      </w:r>
      <w:r>
        <w:rPr>
          <w:rFonts w:hint="eastAsia" w:hAnsi="宋体"/>
          <w:bCs/>
          <w:color w:val="auto"/>
        </w:rPr>
        <w:t>应当</w:t>
      </w:r>
      <w:r>
        <w:rPr>
          <w:rFonts w:hint="eastAsia" w:hAnsi="宋体"/>
          <w:bCs/>
          <w:color w:val="auto"/>
          <w:szCs w:val="21"/>
        </w:rPr>
        <w:t>基于</w:t>
      </w:r>
      <w:r>
        <w:rPr>
          <w:rFonts w:hint="eastAsia" w:ascii="宋体" w:hAnsi="宋体"/>
          <w:color w:val="auto"/>
          <w:szCs w:val="21"/>
        </w:rPr>
        <w:t>广西政府采购云平台</w:t>
      </w:r>
      <w:r>
        <w:rPr>
          <w:rFonts w:hint="eastAsia" w:hAnsi="宋体"/>
          <w:bCs/>
          <w:color w:val="auto"/>
        </w:rPr>
        <w:t>抽（选）取</w:t>
      </w:r>
      <w:r>
        <w:rPr>
          <w:rFonts w:hint="eastAsia" w:hAnsi="宋体"/>
          <w:bCs/>
          <w:color w:val="auto"/>
          <w:szCs w:val="21"/>
        </w:rPr>
        <w:t>评审专家。</w:t>
      </w:r>
    </w:p>
    <w:p w14:paraId="401CE527">
      <w:pPr>
        <w:spacing w:line="400" w:lineRule="exact"/>
        <w:ind w:firstLine="482"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首次响应文件的开启和解密</w:t>
      </w:r>
    </w:p>
    <w:p w14:paraId="5CAEE5BA">
      <w:pPr>
        <w:spacing w:line="400" w:lineRule="exact"/>
        <w:ind w:firstLine="420" w:firstLineChars="200"/>
        <w:contextualSpacing/>
        <w:rPr>
          <w:rFonts w:ascii="宋体" w:hAnsi="宋体" w:cs="宋体"/>
          <w:color w:val="auto"/>
          <w:szCs w:val="21"/>
        </w:rPr>
      </w:pPr>
      <w:r>
        <w:rPr>
          <w:rFonts w:hint="eastAsia" w:hAnsi="宋体"/>
          <w:bCs/>
          <w:color w:val="auto"/>
        </w:rPr>
        <w:t>采购代理机构将在“供应商须知前附表”规定的时</w:t>
      </w:r>
      <w:r>
        <w:rPr>
          <w:rFonts w:hint="eastAsia" w:hAnsi="宋体"/>
          <w:color w:val="auto"/>
        </w:rPr>
        <w:t>间通过电子交易平台组织响应文件开启，供应商的法定代表人或其委托代理人须携带加密时所用的CA锁，按平台提示和磋商文件的规定登录到</w:t>
      </w:r>
      <w:r>
        <w:rPr>
          <w:rFonts w:hint="eastAsia" w:ascii="宋体" w:hAnsi="宋体"/>
          <w:color w:val="auto"/>
          <w:szCs w:val="21"/>
        </w:rPr>
        <w:t>广西政府采购云平台</w:t>
      </w:r>
      <w:r>
        <w:rPr>
          <w:rFonts w:hint="eastAsia" w:hAnsi="宋体"/>
          <w:color w:val="auto"/>
        </w:rPr>
        <w:t>电子开标大厅签到，</w:t>
      </w:r>
      <w:r>
        <w:rPr>
          <w:rFonts w:hint="eastAsia"/>
          <w:color w:val="auto"/>
        </w:rPr>
        <w:t>采购代理机构依托</w:t>
      </w:r>
      <w:r>
        <w:rPr>
          <w:rFonts w:hint="eastAsia" w:ascii="宋体" w:hAnsi="宋体"/>
          <w:color w:val="auto"/>
          <w:szCs w:val="21"/>
        </w:rPr>
        <w:t>广西政府采购云平台</w:t>
      </w:r>
      <w:r>
        <w:rPr>
          <w:rFonts w:hint="eastAsia"/>
          <w:color w:val="auto"/>
        </w:rPr>
        <w:t>向各供应商发出电子加密响应文件【开始解密】通知，由供应商按</w:t>
      </w:r>
      <w:r>
        <w:rPr>
          <w:rFonts w:hint="eastAsia" w:hAnsi="宋体"/>
          <w:bCs/>
          <w:color w:val="auto"/>
          <w:szCs w:val="21"/>
        </w:rPr>
        <w:t>“供应商须知前附表”</w:t>
      </w:r>
      <w:r>
        <w:rPr>
          <w:rFonts w:hint="eastAsia"/>
          <w:color w:val="auto"/>
        </w:rPr>
        <w:t>规定的时间内自行进行响应文件解密</w:t>
      </w:r>
      <w:r>
        <w:rPr>
          <w:rFonts w:hint="eastAsia" w:hAnsi="宋体"/>
          <w:color w:val="auto"/>
        </w:rPr>
        <w:t>。</w:t>
      </w:r>
      <w:r>
        <w:rPr>
          <w:rFonts w:hint="eastAsia"/>
          <w:b/>
          <w:color w:val="auto"/>
        </w:rPr>
        <w:t>供应商未在</w:t>
      </w:r>
      <w:r>
        <w:rPr>
          <w:b/>
          <w:color w:val="auto"/>
        </w:rPr>
        <w:t>规定的时间内解密</w:t>
      </w:r>
      <w:r>
        <w:rPr>
          <w:rFonts w:hint="eastAsia"/>
          <w:b/>
          <w:color w:val="auto"/>
        </w:rPr>
        <w:t>响应文件</w:t>
      </w:r>
      <w:r>
        <w:rPr>
          <w:b/>
          <w:color w:val="auto"/>
        </w:rPr>
        <w:t>或</w:t>
      </w:r>
      <w:r>
        <w:rPr>
          <w:rFonts w:hint="eastAsia"/>
          <w:b/>
          <w:color w:val="auto"/>
        </w:rPr>
        <w:t>者</w:t>
      </w:r>
      <w:r>
        <w:rPr>
          <w:b/>
          <w:color w:val="auto"/>
        </w:rPr>
        <w:t>解密失败的</w:t>
      </w:r>
      <w:r>
        <w:rPr>
          <w:rFonts w:hint="eastAsia"/>
          <w:b/>
          <w:color w:val="auto"/>
        </w:rPr>
        <w:t>，供应商</w:t>
      </w:r>
      <w:r>
        <w:rPr>
          <w:rFonts w:hint="eastAsia" w:ascii="宋体" w:hAnsi="宋体"/>
          <w:b/>
          <w:color w:val="auto"/>
          <w:szCs w:val="21"/>
        </w:rPr>
        <w:t>的响应文件作无效处理</w:t>
      </w:r>
      <w:r>
        <w:rPr>
          <w:b/>
          <w:color w:val="auto"/>
        </w:rPr>
        <w:t>。</w:t>
      </w:r>
    </w:p>
    <w:p w14:paraId="0CA2423F">
      <w:pPr>
        <w:spacing w:line="400" w:lineRule="exact"/>
        <w:ind w:firstLine="482" w:firstLineChars="200"/>
        <w:contextualSpacing/>
        <w:rPr>
          <w:rFonts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14:paraId="7FB74DF6">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.1本项目的评审方法为综合评分法。</w:t>
      </w:r>
    </w:p>
    <w:p w14:paraId="3BD1535D">
      <w:pPr>
        <w:spacing w:line="400" w:lineRule="exact"/>
        <w:ind w:firstLine="420" w:firstLineChars="200"/>
        <w:contextualSpacing/>
        <w:rPr>
          <w:rFonts w:ascii="宋体" w:hAnsi="宋体" w:cs="宋体"/>
          <w:color w:val="auto"/>
          <w:szCs w:val="21"/>
        </w:rPr>
      </w:pPr>
      <w:r>
        <w:rPr>
          <w:rFonts w:ascii="宋体" w:hAnsi="宋体" w:cs="宋体"/>
          <w:color w:val="auto"/>
          <w:szCs w:val="21"/>
        </w:rPr>
        <w:t>26.2</w:t>
      </w:r>
      <w:r>
        <w:rPr>
          <w:rFonts w:hint="eastAsia" w:ascii="宋体" w:hAnsi="宋体" w:cs="宋体"/>
          <w:color w:val="auto"/>
          <w:szCs w:val="21"/>
        </w:rPr>
        <w:t>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p>
    <w:p w14:paraId="13E9317F">
      <w:pPr>
        <w:spacing w:line="400" w:lineRule="exact"/>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 xml:space="preserve">6.3 </w:t>
      </w:r>
      <w:r>
        <w:rPr>
          <w:rFonts w:hint="eastAsia" w:ascii="宋体" w:hAnsi="宋体"/>
          <w:color w:val="auto"/>
          <w:szCs w:val="21"/>
        </w:rPr>
        <w:t>商务/技术（服务）要求允许负偏离的条款数详见“供应商须知前附表”。</w:t>
      </w:r>
    </w:p>
    <w:p w14:paraId="50258D25">
      <w:pPr>
        <w:spacing w:line="400" w:lineRule="exact"/>
        <w:ind w:firstLine="420" w:firstLineChars="200"/>
        <w:rPr>
          <w:rFonts w:ascii="宋体" w:hAnsi="宋体"/>
          <w:color w:val="auto"/>
          <w:szCs w:val="21"/>
        </w:rPr>
      </w:pPr>
      <w:r>
        <w:rPr>
          <w:rFonts w:hint="eastAsia" w:ascii="宋体" w:hAnsi="宋体" w:cs="宋体"/>
          <w:color w:val="auto"/>
        </w:rPr>
        <w:t>26.</w:t>
      </w:r>
      <w:r>
        <w:rPr>
          <w:rFonts w:ascii="宋体" w:hAnsi="宋体" w:cs="宋体"/>
          <w:color w:val="auto"/>
        </w:rPr>
        <w:t>4</w:t>
      </w:r>
      <w:r>
        <w:rPr>
          <w:rFonts w:hint="eastAsia" w:ascii="宋体" w:hAnsi="宋体" w:cs="宋体"/>
          <w:color w:val="auto"/>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64DE48B8">
      <w:pPr>
        <w:spacing w:line="400" w:lineRule="exact"/>
        <w:ind w:firstLine="420" w:firstLineChars="200"/>
        <w:rPr>
          <w:rFonts w:hAnsi="宋体"/>
          <w:color w:val="auto"/>
        </w:rPr>
      </w:pPr>
      <w:r>
        <w:rPr>
          <w:rFonts w:hint="eastAsia" w:ascii="宋体" w:hAnsi="宋体" w:cs="宋体"/>
          <w:color w:val="auto"/>
        </w:rPr>
        <w:t>2</w:t>
      </w:r>
      <w:r>
        <w:rPr>
          <w:rFonts w:ascii="宋体" w:hAnsi="宋体" w:cs="宋体"/>
          <w:color w:val="auto"/>
        </w:rPr>
        <w:t>6.5</w:t>
      </w:r>
      <w:r>
        <w:rPr>
          <w:rFonts w:hint="eastAsia" w:hAnsi="宋体"/>
          <w:color w:val="auto"/>
        </w:rPr>
        <w:t>电子交易活动的中止。采购过程中出现以下情形，导致电子交易平台无法正常运行，或者无法保证电子交易的公平、公正和安全时，采购机构可中止电子交易活动：</w:t>
      </w:r>
    </w:p>
    <w:p w14:paraId="2C6C74DB">
      <w:pPr>
        <w:spacing w:line="400" w:lineRule="exact"/>
        <w:ind w:firstLine="420" w:firstLineChars="200"/>
        <w:rPr>
          <w:rFonts w:hAnsi="宋体"/>
          <w:color w:val="auto"/>
        </w:rPr>
      </w:pPr>
      <w:r>
        <w:rPr>
          <w:rFonts w:hint="eastAsia" w:hAnsi="宋体"/>
          <w:color w:val="auto"/>
        </w:rPr>
        <w:t xml:space="preserve">（1）电子交易平台发生故障而无法登录访问的； </w:t>
      </w:r>
    </w:p>
    <w:p w14:paraId="75A700A7">
      <w:pPr>
        <w:spacing w:line="400" w:lineRule="exact"/>
        <w:ind w:firstLine="420" w:firstLineChars="200"/>
        <w:rPr>
          <w:rFonts w:hAnsi="宋体"/>
          <w:color w:val="auto"/>
        </w:rPr>
      </w:pPr>
      <w:r>
        <w:rPr>
          <w:rFonts w:hint="eastAsia" w:hAnsi="宋体"/>
          <w:color w:val="auto"/>
        </w:rPr>
        <w:t>（2）电子交易平台应用或数据库出现错误，不能进行正常操作的；</w:t>
      </w:r>
    </w:p>
    <w:p w14:paraId="6C767109">
      <w:pPr>
        <w:spacing w:line="400" w:lineRule="exact"/>
        <w:ind w:firstLine="420" w:firstLineChars="200"/>
        <w:rPr>
          <w:rFonts w:hAnsi="宋体"/>
          <w:color w:val="auto"/>
        </w:rPr>
      </w:pPr>
      <w:r>
        <w:rPr>
          <w:rFonts w:hint="eastAsia" w:hAnsi="宋体"/>
          <w:color w:val="auto"/>
        </w:rPr>
        <w:t>（3）电子交易平台发现严重安全漏洞，有潜在泄密危险的；</w:t>
      </w:r>
    </w:p>
    <w:p w14:paraId="010F9E13">
      <w:pPr>
        <w:spacing w:line="400" w:lineRule="exact"/>
        <w:ind w:firstLine="420" w:firstLineChars="200"/>
        <w:rPr>
          <w:rFonts w:hAnsi="宋体"/>
          <w:color w:val="auto"/>
        </w:rPr>
      </w:pPr>
      <w:r>
        <w:rPr>
          <w:rFonts w:hint="eastAsia" w:hAnsi="宋体"/>
          <w:color w:val="auto"/>
        </w:rPr>
        <w:t xml:space="preserve">（4）病毒发作导致不能进行正常操作的； </w:t>
      </w:r>
    </w:p>
    <w:p w14:paraId="2EF65FA4">
      <w:pPr>
        <w:spacing w:line="400" w:lineRule="exact"/>
        <w:ind w:firstLine="420" w:firstLineChars="200"/>
        <w:rPr>
          <w:rFonts w:hAnsi="宋体"/>
          <w:color w:val="auto"/>
        </w:rPr>
      </w:pPr>
      <w:r>
        <w:rPr>
          <w:rFonts w:hint="eastAsia" w:hAnsi="宋体"/>
          <w:color w:val="auto"/>
        </w:rPr>
        <w:t>（5）其他无法保证电子交易的公平、公正和安全情况的。</w:t>
      </w:r>
    </w:p>
    <w:p w14:paraId="592E3CE1">
      <w:pPr>
        <w:spacing w:line="400" w:lineRule="exact"/>
        <w:ind w:firstLine="420" w:firstLineChars="200"/>
        <w:contextualSpacing/>
        <w:rPr>
          <w:rFonts w:ascii="宋体" w:hAnsi="宋体" w:cs="宋体"/>
          <w:color w:val="auto"/>
          <w:szCs w:val="21"/>
        </w:rPr>
      </w:pPr>
      <w:r>
        <w:rPr>
          <w:rFonts w:hint="eastAsia" w:ascii="宋体" w:hAnsi="宋体"/>
          <w:color w:val="auto"/>
        </w:rPr>
        <w:t>26.</w:t>
      </w:r>
      <w:r>
        <w:rPr>
          <w:rFonts w:ascii="宋体" w:hAnsi="宋体"/>
          <w:color w:val="auto"/>
        </w:rPr>
        <w:t>6</w:t>
      </w:r>
      <w:r>
        <w:rPr>
          <w:rFonts w:hint="eastAsia" w:hAnsi="宋体"/>
          <w:color w:val="auto"/>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193AAF8">
      <w:pPr>
        <w:spacing w:line="400" w:lineRule="exact"/>
        <w:ind w:firstLine="482" w:firstLineChars="200"/>
        <w:contextualSpacing/>
        <w:rPr>
          <w:rFonts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14:paraId="5C3BDA8A">
      <w:pPr>
        <w:spacing w:line="400" w:lineRule="exact"/>
        <w:ind w:firstLine="420" w:firstLineChars="200"/>
        <w:contextualSpacing/>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47BDAD8">
      <w:pPr>
        <w:spacing w:line="400" w:lineRule="exact"/>
        <w:ind w:firstLine="420" w:firstLineChars="200"/>
        <w:contextualSpacing/>
        <w:rPr>
          <w:rFonts w:ascii="宋体" w:hAnsi="宋体" w:cs="Courier New"/>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w:t>
      </w:r>
      <w:r>
        <w:rPr>
          <w:rFonts w:hint="eastAsia" w:ascii="宋体" w:hAnsi="宋体" w:cs="宋体"/>
          <w:color w:val="auto"/>
          <w:kern w:val="0"/>
          <w:szCs w:val="21"/>
        </w:rPr>
        <w:t>重大税收违法失信主体</w:t>
      </w:r>
      <w:r>
        <w:rPr>
          <w:rFonts w:hint="eastAsia" w:ascii="宋体" w:hAnsi="宋体" w:cs="宋体"/>
          <w:color w:val="auto"/>
          <w:szCs w:val="21"/>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r>
        <w:rPr>
          <w:rFonts w:hint="eastAsia" w:ascii="宋体" w:hAnsi="宋体" w:cs="Courier New"/>
          <w:color w:val="auto"/>
          <w:szCs w:val="21"/>
        </w:rPr>
        <w:t>成交供应商享受《政府采购促进中小企业发展管理办法》（财库〔2020〕46号）规定的中小企业扶持政策的，采购人、采购代理机构应当随成交结果公开成交供应商的中小企业声明函或残疾人福利性单位声明函或</w:t>
      </w:r>
      <w:r>
        <w:rPr>
          <w:rFonts w:hint="eastAsia" w:ascii="宋体" w:hAnsi="宋体"/>
          <w:color w:val="auto"/>
          <w:szCs w:val="21"/>
        </w:rPr>
        <w:t>属于监狱企业的证明文件</w:t>
      </w:r>
      <w:r>
        <w:rPr>
          <w:rFonts w:hint="eastAsia" w:ascii="宋体" w:hAnsi="宋体" w:cs="Courier New"/>
          <w:color w:val="auto"/>
          <w:szCs w:val="21"/>
        </w:rPr>
        <w:t>。</w:t>
      </w:r>
    </w:p>
    <w:p w14:paraId="5081086C">
      <w:pPr>
        <w:spacing w:line="400" w:lineRule="exact"/>
        <w:ind w:firstLine="420" w:firstLineChars="200"/>
        <w:contextualSpacing/>
        <w:rPr>
          <w:rFonts w:ascii="宋体" w:hAnsi="宋体" w:cs="Courier New"/>
          <w:color w:val="auto"/>
          <w:szCs w:val="21"/>
        </w:rPr>
      </w:pPr>
      <w:r>
        <w:rPr>
          <w:rFonts w:hint="eastAsia" w:ascii="宋体" w:hAnsi="宋体" w:cs="Courier New"/>
          <w:color w:val="auto"/>
          <w:szCs w:val="21"/>
        </w:rPr>
        <w:t>27.3出现下列情形之一的，采购人或者采购代理机构应当终止竞争性磋商采购活动，发布项目终止公告并说明原因，重新开展采购活动：</w:t>
      </w:r>
    </w:p>
    <w:p w14:paraId="4A5139C4">
      <w:pPr>
        <w:spacing w:line="400" w:lineRule="exact"/>
        <w:ind w:firstLine="420" w:firstLineChars="200"/>
        <w:contextualSpacing/>
        <w:rPr>
          <w:rFonts w:ascii="宋体" w:hAnsi="宋体" w:cs="Courier New"/>
          <w:color w:val="auto"/>
          <w:szCs w:val="21"/>
        </w:rPr>
      </w:pPr>
      <w:r>
        <w:rPr>
          <w:rFonts w:hint="eastAsia" w:ascii="宋体" w:hAnsi="宋体" w:cs="Courier New"/>
          <w:color w:val="auto"/>
          <w:szCs w:val="21"/>
        </w:rPr>
        <w:t>（1）因情况变化，不再符合规定的竞争性磋商采购方式适用情形的；</w:t>
      </w:r>
    </w:p>
    <w:p w14:paraId="77CE98FA">
      <w:pPr>
        <w:spacing w:line="400" w:lineRule="exact"/>
        <w:ind w:firstLine="420" w:firstLineChars="200"/>
        <w:contextualSpacing/>
        <w:rPr>
          <w:rFonts w:ascii="宋体" w:hAnsi="宋体" w:cs="Courier New"/>
          <w:color w:val="auto"/>
          <w:szCs w:val="21"/>
        </w:rPr>
      </w:pPr>
      <w:r>
        <w:rPr>
          <w:rFonts w:hint="eastAsia" w:ascii="宋体" w:hAnsi="宋体" w:cs="Courier New"/>
          <w:color w:val="auto"/>
          <w:szCs w:val="21"/>
        </w:rPr>
        <w:t>（2）出现影响采购公正的违法、违规行为的；</w:t>
      </w:r>
    </w:p>
    <w:p w14:paraId="4B7D716B">
      <w:pPr>
        <w:spacing w:line="400" w:lineRule="exact"/>
        <w:ind w:firstLine="420" w:firstLineChars="200"/>
        <w:contextualSpacing/>
        <w:rPr>
          <w:rFonts w:ascii="宋体" w:hAnsi="宋体" w:cs="Courier New"/>
          <w:color w:val="auto"/>
          <w:szCs w:val="21"/>
        </w:rPr>
      </w:pPr>
      <w:r>
        <w:rPr>
          <w:rFonts w:hint="eastAsia" w:ascii="宋体" w:hAnsi="宋体" w:cs="Courier New"/>
          <w:color w:val="auto"/>
          <w:szCs w:val="21"/>
        </w:rPr>
        <w:t>（3）除“第四章 评审程序、评审方法和评审标准”第4.3条规定的情形外，在采购过程中符合要求的供应商或者报价未超过采购预算的供应商不足3家的。</w:t>
      </w:r>
    </w:p>
    <w:p w14:paraId="78A18A72">
      <w:pPr>
        <w:spacing w:line="400" w:lineRule="exact"/>
        <w:ind w:firstLine="420" w:firstLineChars="200"/>
        <w:contextualSpacing/>
        <w:rPr>
          <w:rFonts w:ascii="宋体" w:hAnsi="宋体" w:cs="Courier New"/>
          <w:color w:val="auto"/>
          <w:szCs w:val="21"/>
        </w:rPr>
      </w:pPr>
      <w:r>
        <w:rPr>
          <w:rFonts w:hint="eastAsia" w:ascii="宋体" w:hAnsi="宋体" w:cs="Courier New"/>
          <w:color w:val="auto"/>
          <w:szCs w:val="21"/>
        </w:rPr>
        <w:t>27.4 在采购活动中因重大变故，采购任务取消的，采购人或者采购代理机构应当终止采购活动，通知所有参加采购活动的供应商，并将项目实施情况和采购任务取消原因报送本级财政部门。</w:t>
      </w:r>
    </w:p>
    <w:p w14:paraId="0F8A2777">
      <w:pPr>
        <w:spacing w:line="400" w:lineRule="exact"/>
        <w:ind w:firstLine="482" w:firstLineChars="200"/>
        <w:contextualSpacing/>
        <w:rPr>
          <w:rFonts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14:paraId="244BAEBC">
      <w:pPr>
        <w:spacing w:line="400" w:lineRule="exact"/>
        <w:ind w:firstLine="424" w:firstLineChars="202"/>
        <w:contextualSpacing/>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履约保证金的金额、提交方式、退付的时间和条件详见“供应商须知前附表”。成交供应商未按规定提交履约保证金的，视为拒绝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w:t>
      </w:r>
    </w:p>
    <w:p w14:paraId="377D070E">
      <w:pPr>
        <w:spacing w:line="400" w:lineRule="exact"/>
        <w:ind w:firstLine="424" w:firstLineChars="202"/>
        <w:contextualSpacing/>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.2在履约保证金退还日期前，若成交供应商的开户名称、开户银行、账号有变动的，请以书面形式通知履约保证金收取单位，否则由此产生的后果由成交供应商自行承担。</w:t>
      </w:r>
    </w:p>
    <w:p w14:paraId="5EDF119D">
      <w:pPr>
        <w:spacing w:line="400" w:lineRule="exact"/>
        <w:ind w:firstLine="482" w:firstLineChars="200"/>
        <w:contextualSpacing/>
        <w:rPr>
          <w:rFonts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14:paraId="30ED5539">
      <w:pPr>
        <w:spacing w:line="400" w:lineRule="exact"/>
        <w:ind w:firstLine="424" w:firstLineChars="202"/>
        <w:rPr>
          <w:rFonts w:ascii="宋体" w:hAnsi="宋体" w:cs="宋体"/>
          <w:color w:val="auto"/>
          <w:szCs w:val="21"/>
        </w:rPr>
      </w:pPr>
      <w:r>
        <w:rPr>
          <w:rFonts w:hint="eastAsia" w:ascii="宋体" w:hAnsi="宋体" w:cs="宋体"/>
          <w:color w:val="auto"/>
          <w:szCs w:val="21"/>
        </w:rPr>
        <w:t>29.1签订电子采购合同：成交供应商领取电子成交通知书后，在</w:t>
      </w:r>
      <w:r>
        <w:rPr>
          <w:rFonts w:hint="eastAsia" w:ascii="宋体" w:hAnsi="宋体" w:cs="宋体"/>
          <w:color w:val="auto"/>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21C98D3F">
      <w:pPr>
        <w:spacing w:line="400" w:lineRule="exact"/>
        <w:ind w:firstLine="424" w:firstLineChars="202"/>
        <w:rPr>
          <w:rFonts w:ascii="宋体" w:hAnsi="宋体" w:cs="宋体"/>
          <w:color w:val="auto"/>
          <w:szCs w:val="21"/>
        </w:rPr>
      </w:pPr>
      <w:r>
        <w:rPr>
          <w:rFonts w:hint="eastAsia" w:ascii="宋体" w:hAnsi="宋体" w:cs="宋体"/>
          <w:color w:val="auto"/>
          <w:szCs w:val="21"/>
        </w:rPr>
        <w:t>线下签订纸质合同：供应商领取成交通知书后，按“供应商须知前附表”规定向采购人出示相关证明材料，经采购人核验合格后方可签订合同。</w:t>
      </w:r>
    </w:p>
    <w:p w14:paraId="0B770BFC">
      <w:pPr>
        <w:spacing w:line="400" w:lineRule="exact"/>
        <w:ind w:firstLine="424" w:firstLineChars="202"/>
        <w:rPr>
          <w:rFonts w:ascii="宋体" w:hAnsi="宋体" w:cs="宋体"/>
          <w:color w:val="auto"/>
          <w:szCs w:val="21"/>
        </w:rPr>
      </w:pPr>
      <w:r>
        <w:rPr>
          <w:rFonts w:hint="eastAsia" w:ascii="宋体" w:hAnsi="宋体" w:cs="宋体"/>
          <w:color w:val="auto"/>
          <w:szCs w:val="21"/>
        </w:rPr>
        <w:t>29.2签订合同时间：按成交通知书规定的时间与采购人签订合同。</w:t>
      </w:r>
    </w:p>
    <w:p w14:paraId="559F5D25">
      <w:pPr>
        <w:spacing w:line="400" w:lineRule="exact"/>
        <w:ind w:firstLine="424" w:firstLineChars="202"/>
        <w:rPr>
          <w:rFonts w:ascii="宋体" w:hAnsi="宋体" w:cs="宋体"/>
          <w:color w:val="auto"/>
          <w:szCs w:val="21"/>
        </w:rPr>
      </w:pPr>
      <w:r>
        <w:rPr>
          <w:rFonts w:hint="eastAsia" w:ascii="宋体" w:hAnsi="宋体" w:cs="宋体"/>
          <w:color w:val="auto"/>
          <w:szCs w:val="21"/>
        </w:rPr>
        <w:t>29.</w:t>
      </w:r>
      <w:r>
        <w:rPr>
          <w:rFonts w:ascii="宋体" w:hAnsi="宋体" w:cs="宋体"/>
          <w:color w:val="auto"/>
          <w:szCs w:val="21"/>
        </w:rPr>
        <w:t>3</w:t>
      </w:r>
      <w:r>
        <w:rPr>
          <w:rFonts w:hint="eastAsia" w:ascii="宋体" w:hAnsi="宋体" w:cs="宋体"/>
          <w:color w:val="auto"/>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2B38408E">
      <w:pPr>
        <w:spacing w:line="400" w:lineRule="exact"/>
        <w:ind w:firstLine="424" w:firstLineChars="202"/>
        <w:rPr>
          <w:rFonts w:ascii="宋体" w:hAnsi="宋体" w:cs="宋体"/>
          <w:color w:val="auto"/>
          <w:szCs w:val="21"/>
        </w:rPr>
      </w:pPr>
      <w:r>
        <w:rPr>
          <w:rFonts w:hint="eastAsia" w:ascii="宋体" w:hAnsi="宋体" w:cs="宋体"/>
          <w:color w:val="auto"/>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3D18DD6">
      <w:pPr>
        <w:spacing w:line="400" w:lineRule="exact"/>
        <w:ind w:firstLine="424" w:firstLineChars="202"/>
        <w:rPr>
          <w:rFonts w:ascii="宋体" w:hAnsi="宋体" w:cs="宋体"/>
          <w:color w:val="auto"/>
          <w:szCs w:val="21"/>
        </w:rPr>
      </w:pPr>
      <w:r>
        <w:rPr>
          <w:rFonts w:hint="eastAsia" w:ascii="宋体" w:hAnsi="宋体" w:cs="宋体"/>
          <w:color w:val="auto"/>
          <w:szCs w:val="21"/>
        </w:rPr>
        <w:t>29.5采购人或成交供应商不得单方面向合同另一方提出任何磋商文件没有约定的条件或不合理的要求，作为签订合同的条件；也不得协商另行订立背离磋商文件和合同实质性内容的协议。</w:t>
      </w:r>
    </w:p>
    <w:p w14:paraId="0328DF38">
      <w:pPr>
        <w:spacing w:line="400" w:lineRule="exact"/>
        <w:ind w:firstLine="424" w:firstLineChars="202"/>
        <w:rPr>
          <w:rFonts w:ascii="宋体" w:hAnsi="宋体" w:cs="宋体"/>
          <w:color w:val="auto"/>
          <w:szCs w:val="21"/>
        </w:rPr>
      </w:pPr>
      <w:r>
        <w:rPr>
          <w:rFonts w:hint="eastAsia" w:ascii="宋体" w:hAnsi="宋体" w:cs="宋体"/>
          <w:color w:val="auto"/>
          <w:szCs w:val="21"/>
        </w:rPr>
        <w:t>29.6如签订合同并生效后，供应商无故拒绝或延期，除按照合同条款处理外，将承担相应的法律责任。</w:t>
      </w:r>
    </w:p>
    <w:p w14:paraId="6B044770">
      <w:pPr>
        <w:spacing w:line="400" w:lineRule="exact"/>
        <w:ind w:firstLine="482" w:firstLineChars="200"/>
        <w:contextualSpacing/>
        <w:rPr>
          <w:rFonts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14:paraId="0AC90928">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560969B">
      <w:pPr>
        <w:spacing w:line="400" w:lineRule="exact"/>
        <w:ind w:firstLine="482" w:firstLineChars="200"/>
        <w:contextualSpacing/>
        <w:rPr>
          <w:rFonts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.询问、质疑和投诉</w:t>
      </w:r>
    </w:p>
    <w:p w14:paraId="28910CC2">
      <w:pPr>
        <w:spacing w:line="400" w:lineRule="exact"/>
        <w:ind w:firstLine="420" w:firstLineChars="200"/>
        <w:contextualSpacing/>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p>
    <w:p w14:paraId="4D2AA5B5">
      <w:pPr>
        <w:spacing w:line="400" w:lineRule="exact"/>
        <w:ind w:firstLine="420" w:firstLineChars="200"/>
        <w:contextualSpacing/>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14:paraId="0967B581">
      <w:pPr>
        <w:spacing w:line="400" w:lineRule="exact"/>
        <w:ind w:firstLine="420" w:firstLineChars="200"/>
        <w:contextualSpacing/>
        <w:rPr>
          <w:rFonts w:ascii="宋体" w:hAnsi="宋体" w:cs="宋体"/>
          <w:color w:val="auto"/>
        </w:rPr>
      </w:pPr>
      <w:r>
        <w:rPr>
          <w:rFonts w:hint="eastAsia" w:ascii="宋体" w:hAnsi="宋体" w:cs="宋体"/>
          <w:color w:val="auto"/>
        </w:rPr>
        <w:t>（1）对可以质疑的磋商文件提出质疑的，为收到磋商文件之日或者</w:t>
      </w:r>
      <w:r>
        <w:rPr>
          <w:rFonts w:hint="eastAsia" w:ascii="宋体" w:hAnsi="宋体"/>
          <w:color w:val="auto"/>
        </w:rPr>
        <w:t>竞争性磋商公告期限届满之日</w:t>
      </w:r>
      <w:r>
        <w:rPr>
          <w:rFonts w:hint="eastAsia" w:ascii="宋体" w:hAnsi="宋体" w:cs="宋体"/>
          <w:color w:val="auto"/>
        </w:rPr>
        <w:t>；</w:t>
      </w:r>
    </w:p>
    <w:p w14:paraId="136653AC">
      <w:pPr>
        <w:spacing w:line="400" w:lineRule="exact"/>
        <w:ind w:firstLine="420" w:firstLineChars="200"/>
        <w:contextualSpacing/>
        <w:rPr>
          <w:rFonts w:ascii="宋体" w:hAnsi="宋体" w:cs="宋体"/>
          <w:color w:val="auto"/>
        </w:rPr>
      </w:pPr>
      <w:r>
        <w:rPr>
          <w:rFonts w:hint="eastAsia" w:ascii="宋体" w:hAnsi="宋体" w:cs="宋体"/>
          <w:color w:val="auto"/>
        </w:rPr>
        <w:t>（2）对采购过程提出质疑的，为各采购程序环节结束之日；</w:t>
      </w:r>
    </w:p>
    <w:p w14:paraId="11A8FA93">
      <w:pPr>
        <w:spacing w:line="400" w:lineRule="exact"/>
        <w:ind w:firstLine="420" w:firstLineChars="200"/>
        <w:contextualSpacing/>
        <w:rPr>
          <w:rFonts w:ascii="宋体" w:hAnsi="宋体" w:cs="宋体"/>
          <w:color w:val="auto"/>
        </w:rPr>
      </w:pPr>
      <w:r>
        <w:rPr>
          <w:rFonts w:hint="eastAsia" w:ascii="宋体" w:hAnsi="宋体" w:cs="宋体"/>
          <w:color w:val="auto"/>
        </w:rPr>
        <w:t>（3）对成交结果提出质疑的，为成交结果公告期限届满之日。</w:t>
      </w:r>
    </w:p>
    <w:p w14:paraId="0C3C29DD">
      <w:pPr>
        <w:spacing w:line="400" w:lineRule="exact"/>
        <w:ind w:firstLine="420" w:firstLineChars="200"/>
        <w:contextualSpacing/>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0D236E16">
      <w:pPr>
        <w:spacing w:line="400" w:lineRule="exact"/>
        <w:ind w:firstLine="420" w:firstLineChars="200"/>
        <w:contextualSpacing/>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14:paraId="5C6EA520">
      <w:pPr>
        <w:spacing w:line="400" w:lineRule="exact"/>
        <w:ind w:firstLine="420" w:firstLineChars="200"/>
        <w:contextualSpacing/>
        <w:rPr>
          <w:rFonts w:ascii="宋体" w:hAnsi="宋体" w:cs="宋体"/>
          <w:color w:val="auto"/>
        </w:rPr>
      </w:pPr>
      <w:r>
        <w:rPr>
          <w:rFonts w:hint="eastAsia" w:ascii="宋体" w:hAnsi="宋体" w:cs="宋体"/>
          <w:color w:val="auto"/>
        </w:rPr>
        <w:t>（1）供应商的姓名或者名称、地址、邮编、联系人及联系电话；</w:t>
      </w:r>
    </w:p>
    <w:p w14:paraId="5EE2629D">
      <w:pPr>
        <w:spacing w:line="400" w:lineRule="exact"/>
        <w:ind w:firstLine="420" w:firstLineChars="200"/>
        <w:contextualSpacing/>
        <w:rPr>
          <w:rFonts w:ascii="宋体" w:hAnsi="宋体" w:cs="宋体"/>
          <w:color w:val="auto"/>
        </w:rPr>
      </w:pPr>
      <w:r>
        <w:rPr>
          <w:rFonts w:hint="eastAsia" w:ascii="宋体" w:hAnsi="宋体" w:cs="宋体"/>
          <w:color w:val="auto"/>
        </w:rPr>
        <w:t>（2）质疑项目的名称、编号；</w:t>
      </w:r>
    </w:p>
    <w:p w14:paraId="2A16FCB3">
      <w:pPr>
        <w:spacing w:line="400" w:lineRule="exact"/>
        <w:ind w:firstLine="420" w:firstLineChars="200"/>
        <w:contextualSpacing/>
        <w:rPr>
          <w:rFonts w:ascii="宋体" w:hAnsi="宋体" w:cs="宋体"/>
          <w:color w:val="auto"/>
        </w:rPr>
      </w:pPr>
      <w:r>
        <w:rPr>
          <w:rFonts w:hint="eastAsia" w:ascii="宋体" w:hAnsi="宋体" w:cs="宋体"/>
          <w:color w:val="auto"/>
        </w:rPr>
        <w:t>（3）具体、明确的质疑事项和与质疑事项相关的请求；</w:t>
      </w:r>
    </w:p>
    <w:p w14:paraId="5A293342">
      <w:pPr>
        <w:spacing w:line="400" w:lineRule="exact"/>
        <w:ind w:firstLine="420" w:firstLineChars="200"/>
        <w:contextualSpacing/>
        <w:rPr>
          <w:rFonts w:ascii="宋体" w:hAnsi="宋体" w:cs="宋体"/>
          <w:color w:val="auto"/>
        </w:rPr>
      </w:pPr>
      <w:r>
        <w:rPr>
          <w:rFonts w:hint="eastAsia" w:ascii="宋体" w:hAnsi="宋体" w:cs="宋体"/>
          <w:color w:val="auto"/>
        </w:rPr>
        <w:t>（4）事实依据；</w:t>
      </w:r>
    </w:p>
    <w:p w14:paraId="65FD6006">
      <w:pPr>
        <w:spacing w:line="400" w:lineRule="exact"/>
        <w:ind w:firstLine="420" w:firstLineChars="200"/>
        <w:contextualSpacing/>
        <w:rPr>
          <w:rFonts w:ascii="宋体" w:hAnsi="宋体" w:cs="宋体"/>
          <w:color w:val="auto"/>
        </w:rPr>
      </w:pPr>
      <w:r>
        <w:rPr>
          <w:rFonts w:hint="eastAsia" w:ascii="宋体" w:hAnsi="宋体" w:cs="宋体"/>
          <w:color w:val="auto"/>
        </w:rPr>
        <w:t>（5）必要的法律依据；</w:t>
      </w:r>
    </w:p>
    <w:p w14:paraId="28CAF82A">
      <w:pPr>
        <w:spacing w:line="400" w:lineRule="exact"/>
        <w:ind w:firstLine="420" w:firstLineChars="200"/>
        <w:contextualSpacing/>
        <w:rPr>
          <w:rFonts w:ascii="宋体" w:hAnsi="宋体" w:cs="宋体"/>
          <w:color w:val="auto"/>
        </w:rPr>
      </w:pPr>
      <w:r>
        <w:rPr>
          <w:rFonts w:hint="eastAsia" w:ascii="宋体" w:hAnsi="宋体" w:cs="宋体"/>
          <w:color w:val="auto"/>
        </w:rPr>
        <w:t>（6）提出质疑的日期。</w:t>
      </w:r>
    </w:p>
    <w:p w14:paraId="6AD4FB25">
      <w:pPr>
        <w:spacing w:line="400" w:lineRule="exact"/>
        <w:ind w:firstLine="420" w:firstLineChars="200"/>
        <w:contextualSpacing/>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5472F12E">
      <w:pPr>
        <w:spacing w:line="400" w:lineRule="exact"/>
        <w:ind w:firstLine="420" w:firstLineChars="200"/>
        <w:contextualSpacing/>
        <w:rPr>
          <w:rFonts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14:paraId="7B9095AB">
      <w:pPr>
        <w:spacing w:line="400" w:lineRule="exact"/>
        <w:ind w:firstLine="420" w:firstLineChars="200"/>
        <w:contextualSpacing/>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14:paraId="32132651">
      <w:pPr>
        <w:spacing w:line="400" w:lineRule="exact"/>
        <w:ind w:firstLine="420" w:firstLineChars="200"/>
        <w:contextualSpacing/>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5312E8BA">
      <w:pPr>
        <w:spacing w:line="400" w:lineRule="exact"/>
        <w:ind w:firstLine="420" w:firstLineChars="200"/>
        <w:contextualSpacing/>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56FF8EBA">
      <w:pPr>
        <w:spacing w:line="400" w:lineRule="exact"/>
        <w:ind w:firstLine="420" w:firstLineChars="200"/>
        <w:contextualSpacing/>
        <w:rPr>
          <w:rFonts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9033EF7">
      <w:pPr>
        <w:spacing w:line="400" w:lineRule="exact"/>
        <w:ind w:firstLine="482" w:firstLineChars="200"/>
        <w:contextualSpacing/>
        <w:rPr>
          <w:rFonts w:ascii="黑体" w:hAnsi="黑体" w:eastAsia="黑体" w:cs="宋体"/>
          <w:b/>
          <w:bCs/>
          <w:color w:val="auto"/>
          <w:sz w:val="24"/>
        </w:rPr>
      </w:pPr>
      <w:r>
        <w:rPr>
          <w:rFonts w:ascii="黑体" w:hAnsi="黑体" w:eastAsia="黑体" w:cs="宋体"/>
          <w:b/>
          <w:bCs/>
          <w:color w:val="auto"/>
          <w:sz w:val="24"/>
        </w:rPr>
        <w:t>32</w:t>
      </w:r>
      <w:r>
        <w:rPr>
          <w:rFonts w:hint="eastAsia" w:ascii="黑体" w:hAnsi="黑体" w:eastAsia="黑体" w:cs="宋体"/>
          <w:b/>
          <w:bCs/>
          <w:color w:val="auto"/>
          <w:sz w:val="24"/>
        </w:rPr>
        <w:t>.其他内容</w:t>
      </w:r>
    </w:p>
    <w:p w14:paraId="7D45D4DC">
      <w:pPr>
        <w:spacing w:line="400" w:lineRule="exact"/>
        <w:ind w:firstLine="420" w:firstLineChars="200"/>
        <w:contextualSpacing/>
        <w:rPr>
          <w:rFonts w:ascii="宋体" w:hAnsi="宋体" w:cs="宋体"/>
          <w:color w:val="auto"/>
        </w:rPr>
      </w:pPr>
      <w:r>
        <w:rPr>
          <w:rFonts w:hint="eastAsia" w:ascii="宋体" w:hAnsi="宋体" w:cs="宋体"/>
          <w:color w:val="auto"/>
        </w:rPr>
        <w:t>32.1采购代理费支付方式：详见“供应商须知前附表”。</w:t>
      </w:r>
    </w:p>
    <w:p w14:paraId="3AA9672D">
      <w:pPr>
        <w:spacing w:line="320" w:lineRule="exact"/>
        <w:ind w:firstLine="420" w:firstLineChars="200"/>
        <w:rPr>
          <w:rFonts w:ascii="宋体" w:hAnsi="宋体"/>
          <w:color w:val="auto"/>
          <w:szCs w:val="21"/>
        </w:rPr>
      </w:pPr>
      <w:r>
        <w:rPr>
          <w:rFonts w:hint="eastAsia" w:ascii="宋体" w:hAnsi="宋体"/>
          <w:color w:val="auto"/>
          <w:szCs w:val="21"/>
        </w:rPr>
        <w:t>32.2</w:t>
      </w:r>
      <w:r>
        <w:rPr>
          <w:rFonts w:hint="eastAsia" w:ascii="宋体" w:hAnsi="宋体" w:cs="宋体"/>
          <w:color w:val="auto"/>
        </w:rPr>
        <w:t>采购代理费收取标准：详见“供应商须知前附表”。</w:t>
      </w:r>
    </w:p>
    <w:p w14:paraId="78551C0D">
      <w:pPr>
        <w:spacing w:line="320" w:lineRule="exact"/>
        <w:ind w:firstLine="420" w:firstLineChars="200"/>
        <w:rPr>
          <w:rFonts w:ascii="宋体" w:hAnsi="宋体"/>
          <w:color w:val="auto"/>
          <w:szCs w:val="21"/>
        </w:rPr>
      </w:pPr>
      <w:r>
        <w:rPr>
          <w:rFonts w:hint="eastAsia" w:ascii="宋体" w:hAnsi="宋体"/>
          <w:color w:val="auto"/>
          <w:szCs w:val="21"/>
        </w:rPr>
        <w:t>32.3招标代理服务收费标准：</w:t>
      </w:r>
    </w:p>
    <w:tbl>
      <w:tblPr>
        <w:tblStyle w:val="28"/>
        <w:tblW w:w="9119"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6"/>
        <w:gridCol w:w="1864"/>
        <w:gridCol w:w="2017"/>
        <w:gridCol w:w="2322"/>
      </w:tblGrid>
      <w:tr w14:paraId="0DC1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916" w:type="dxa"/>
          </w:tcPr>
          <w:p w14:paraId="56D388AD">
            <w:pPr>
              <w:pStyle w:val="17"/>
              <w:spacing w:line="360" w:lineRule="exact"/>
              <w:ind w:left="25"/>
              <w:rPr>
                <w:rFonts w:hAnsi="宋体"/>
                <w:color w:val="auto"/>
              </w:rPr>
            </w:pPr>
            <w:r>
              <w:rPr>
                <w:rFonts w:hAnsi="宋体"/>
                <w:color w:val="auto"/>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5" name="直接连接符 5"/>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gFTNNYAAAAIAQAADwAAAAAAAAABACAAAAAiAAAAZHJzL2Rvd25yZXYueG1sUEsBAhQAFAAA&#10;AAgAh07iQN8RA3PxAQAA3QMAAA4AAAAAAAAAAQAgAAAAJQEAAGRycy9lMm9Eb2MueG1sUEsFBgAA&#10;AAAGAAYAWQEAAIgFAAAAAA==&#10;">
                      <v:fill on="f" focussize="0,0"/>
                      <v:stroke color="#000000" joinstyle="round"/>
                      <v:imagedata o:title=""/>
                      <o:lock v:ext="edit" aspectratio="f"/>
                    </v:line>
                  </w:pict>
                </mc:Fallback>
              </mc:AlternateContent>
            </w:r>
            <w:r>
              <w:rPr>
                <w:rFonts w:hint="eastAsia" w:hAnsi="宋体"/>
                <w:color w:val="auto"/>
              </w:rPr>
              <w:t>费率           服务类型</w:t>
            </w:r>
          </w:p>
          <w:p w14:paraId="0AAD8A54">
            <w:pPr>
              <w:pStyle w:val="17"/>
              <w:spacing w:line="360" w:lineRule="exact"/>
              <w:ind w:left="25"/>
              <w:rPr>
                <w:rFonts w:hAnsi="宋体"/>
                <w:color w:val="auto"/>
              </w:rPr>
            </w:pPr>
            <w:r>
              <w:rPr>
                <w:rFonts w:hAnsi="宋体"/>
                <w:color w:val="auto"/>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4" name="直接连接符 4"/>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AOr0TWAAAACAEAAA8AAAAAAAAAAQAgAAAAIgAAAGRycy9kb3ducmV2LnhtbFBLAQIUABQA&#10;AAAIAIdO4kB6SeRj8gEAAN0DAAAOAAAAAAAAAAEAIAAAACUBAABkcnMvZTJvRG9jLnhtbFBLBQYA&#10;AAAABgAGAFkBAACJBQAAAAA=&#10;">
                      <v:fill on="f" focussize="0,0"/>
                      <v:stroke color="#000000" joinstyle="round"/>
                      <v:imagedata o:title=""/>
                      <o:lock v:ext="edit" aspectratio="f"/>
                    </v:line>
                  </w:pict>
                </mc:Fallback>
              </mc:AlternateContent>
            </w:r>
          </w:p>
          <w:p w14:paraId="53F789A3">
            <w:pPr>
              <w:pStyle w:val="17"/>
              <w:spacing w:line="360" w:lineRule="exact"/>
              <w:ind w:left="25"/>
              <w:rPr>
                <w:rFonts w:hAnsi="宋体"/>
                <w:color w:val="auto"/>
              </w:rPr>
            </w:pPr>
            <w:r>
              <w:rPr>
                <w:rFonts w:hint="eastAsia" w:hAnsi="宋体"/>
                <w:color w:val="auto"/>
              </w:rPr>
              <w:t>中标金额</w:t>
            </w:r>
          </w:p>
        </w:tc>
        <w:tc>
          <w:tcPr>
            <w:tcW w:w="1864" w:type="dxa"/>
            <w:vAlign w:val="center"/>
          </w:tcPr>
          <w:p w14:paraId="110443CA">
            <w:pPr>
              <w:pStyle w:val="17"/>
              <w:spacing w:line="360" w:lineRule="exact"/>
              <w:ind w:left="25"/>
              <w:jc w:val="center"/>
              <w:rPr>
                <w:rFonts w:hAnsi="宋体"/>
                <w:color w:val="auto"/>
              </w:rPr>
            </w:pPr>
            <w:r>
              <w:rPr>
                <w:rFonts w:hint="eastAsia" w:hAnsi="宋体"/>
                <w:color w:val="auto"/>
              </w:rPr>
              <w:t>货物招标</w:t>
            </w:r>
          </w:p>
        </w:tc>
        <w:tc>
          <w:tcPr>
            <w:tcW w:w="2017" w:type="dxa"/>
            <w:vAlign w:val="center"/>
          </w:tcPr>
          <w:p w14:paraId="72A9243B">
            <w:pPr>
              <w:pStyle w:val="17"/>
              <w:spacing w:line="360" w:lineRule="exact"/>
              <w:ind w:left="25"/>
              <w:jc w:val="center"/>
              <w:rPr>
                <w:rFonts w:hAnsi="宋体"/>
                <w:color w:val="auto"/>
              </w:rPr>
            </w:pPr>
            <w:r>
              <w:rPr>
                <w:rFonts w:hint="eastAsia" w:hAnsi="宋体"/>
                <w:color w:val="auto"/>
              </w:rPr>
              <w:t>服务招标</w:t>
            </w:r>
          </w:p>
        </w:tc>
        <w:tc>
          <w:tcPr>
            <w:tcW w:w="2322" w:type="dxa"/>
            <w:vAlign w:val="center"/>
          </w:tcPr>
          <w:p w14:paraId="7B98CA9D">
            <w:pPr>
              <w:pStyle w:val="17"/>
              <w:spacing w:line="360" w:lineRule="exact"/>
              <w:ind w:left="25"/>
              <w:jc w:val="center"/>
              <w:rPr>
                <w:rFonts w:hAnsi="宋体"/>
                <w:color w:val="auto"/>
              </w:rPr>
            </w:pPr>
            <w:r>
              <w:rPr>
                <w:rFonts w:hint="eastAsia" w:hAnsi="宋体"/>
                <w:color w:val="auto"/>
              </w:rPr>
              <w:t>工程招标</w:t>
            </w:r>
          </w:p>
        </w:tc>
      </w:tr>
      <w:tr w14:paraId="2212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2916" w:type="dxa"/>
          </w:tcPr>
          <w:p w14:paraId="469A5746">
            <w:pPr>
              <w:pStyle w:val="17"/>
              <w:spacing w:line="360" w:lineRule="exact"/>
              <w:ind w:left="25"/>
              <w:rPr>
                <w:rFonts w:hAnsi="宋体"/>
                <w:color w:val="auto"/>
              </w:rPr>
            </w:pPr>
            <w:r>
              <w:rPr>
                <w:rFonts w:hint="eastAsia" w:hAnsi="宋体"/>
                <w:color w:val="auto"/>
              </w:rPr>
              <w:t>100万元以下</w:t>
            </w:r>
          </w:p>
        </w:tc>
        <w:tc>
          <w:tcPr>
            <w:tcW w:w="1864" w:type="dxa"/>
          </w:tcPr>
          <w:p w14:paraId="699CE3B3">
            <w:pPr>
              <w:pStyle w:val="103"/>
              <w:spacing w:line="360" w:lineRule="exact"/>
              <w:ind w:left="25"/>
              <w:jc w:val="center"/>
              <w:rPr>
                <w:rFonts w:ascii="宋体" w:hAnsi="宋体"/>
                <w:color w:val="auto"/>
              </w:rPr>
            </w:pPr>
            <w:r>
              <w:rPr>
                <w:rFonts w:hint="eastAsia" w:ascii="宋体" w:hAnsi="宋体"/>
                <w:color w:val="auto"/>
              </w:rPr>
              <w:t>1.5%</w:t>
            </w:r>
          </w:p>
        </w:tc>
        <w:tc>
          <w:tcPr>
            <w:tcW w:w="2017" w:type="dxa"/>
          </w:tcPr>
          <w:p w14:paraId="3C23F95B">
            <w:pPr>
              <w:pStyle w:val="103"/>
              <w:spacing w:line="360" w:lineRule="exact"/>
              <w:ind w:left="25"/>
              <w:jc w:val="center"/>
              <w:rPr>
                <w:rFonts w:ascii="宋体" w:hAnsi="宋体"/>
                <w:color w:val="auto"/>
              </w:rPr>
            </w:pPr>
            <w:r>
              <w:rPr>
                <w:rFonts w:hint="eastAsia" w:ascii="宋体" w:hAnsi="宋体"/>
                <w:color w:val="auto"/>
              </w:rPr>
              <w:t>1.5%</w:t>
            </w:r>
          </w:p>
        </w:tc>
        <w:tc>
          <w:tcPr>
            <w:tcW w:w="2322" w:type="dxa"/>
          </w:tcPr>
          <w:p w14:paraId="538E27E6">
            <w:pPr>
              <w:pStyle w:val="103"/>
              <w:spacing w:line="360" w:lineRule="exact"/>
              <w:ind w:left="25"/>
              <w:jc w:val="center"/>
              <w:rPr>
                <w:rFonts w:ascii="宋体" w:hAnsi="宋体"/>
                <w:color w:val="auto"/>
              </w:rPr>
            </w:pPr>
            <w:r>
              <w:rPr>
                <w:rFonts w:hint="eastAsia" w:ascii="宋体" w:hAnsi="宋体"/>
                <w:color w:val="auto"/>
              </w:rPr>
              <w:t>1.0%</w:t>
            </w:r>
          </w:p>
        </w:tc>
      </w:tr>
      <w:tr w14:paraId="6040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2916" w:type="dxa"/>
          </w:tcPr>
          <w:p w14:paraId="380B873D">
            <w:pPr>
              <w:pStyle w:val="17"/>
              <w:spacing w:line="360" w:lineRule="exact"/>
              <w:ind w:left="25"/>
              <w:rPr>
                <w:rFonts w:hAnsi="宋体"/>
                <w:color w:val="auto"/>
              </w:rPr>
            </w:pPr>
            <w:r>
              <w:rPr>
                <w:rFonts w:hint="eastAsia" w:hAnsi="宋体"/>
                <w:color w:val="auto"/>
              </w:rPr>
              <w:t>100～500万元</w:t>
            </w:r>
          </w:p>
        </w:tc>
        <w:tc>
          <w:tcPr>
            <w:tcW w:w="1864" w:type="dxa"/>
          </w:tcPr>
          <w:p w14:paraId="5B86A3FB">
            <w:pPr>
              <w:pStyle w:val="103"/>
              <w:spacing w:line="360" w:lineRule="exact"/>
              <w:ind w:left="25"/>
              <w:jc w:val="center"/>
              <w:rPr>
                <w:rFonts w:ascii="宋体" w:hAnsi="宋体"/>
                <w:color w:val="auto"/>
              </w:rPr>
            </w:pPr>
            <w:r>
              <w:rPr>
                <w:rFonts w:hint="eastAsia" w:ascii="宋体" w:hAnsi="宋体"/>
                <w:color w:val="auto"/>
              </w:rPr>
              <w:t>1.1%</w:t>
            </w:r>
          </w:p>
        </w:tc>
        <w:tc>
          <w:tcPr>
            <w:tcW w:w="2017" w:type="dxa"/>
          </w:tcPr>
          <w:p w14:paraId="74969224">
            <w:pPr>
              <w:pStyle w:val="103"/>
              <w:spacing w:line="360" w:lineRule="exact"/>
              <w:ind w:left="25"/>
              <w:jc w:val="center"/>
              <w:rPr>
                <w:rFonts w:ascii="宋体" w:hAnsi="宋体"/>
                <w:color w:val="auto"/>
              </w:rPr>
            </w:pPr>
            <w:r>
              <w:rPr>
                <w:rFonts w:hint="eastAsia" w:ascii="宋体" w:hAnsi="宋体"/>
                <w:color w:val="auto"/>
              </w:rPr>
              <w:t>0.8%</w:t>
            </w:r>
          </w:p>
        </w:tc>
        <w:tc>
          <w:tcPr>
            <w:tcW w:w="2322" w:type="dxa"/>
          </w:tcPr>
          <w:p w14:paraId="26B8D532">
            <w:pPr>
              <w:pStyle w:val="103"/>
              <w:spacing w:line="360" w:lineRule="exact"/>
              <w:ind w:left="25"/>
              <w:jc w:val="center"/>
              <w:rPr>
                <w:rFonts w:ascii="宋体" w:hAnsi="宋体"/>
                <w:color w:val="auto"/>
              </w:rPr>
            </w:pPr>
            <w:r>
              <w:rPr>
                <w:rFonts w:hint="eastAsia" w:ascii="宋体" w:hAnsi="宋体"/>
                <w:color w:val="auto"/>
              </w:rPr>
              <w:t>0.7%</w:t>
            </w:r>
          </w:p>
        </w:tc>
      </w:tr>
      <w:tr w14:paraId="39B2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2916" w:type="dxa"/>
          </w:tcPr>
          <w:p w14:paraId="6F7F9823">
            <w:pPr>
              <w:pStyle w:val="17"/>
              <w:spacing w:line="360" w:lineRule="exact"/>
              <w:ind w:left="25"/>
              <w:rPr>
                <w:rFonts w:hAnsi="宋体"/>
                <w:color w:val="auto"/>
              </w:rPr>
            </w:pPr>
            <w:r>
              <w:rPr>
                <w:rFonts w:hint="eastAsia" w:hAnsi="宋体"/>
                <w:color w:val="auto"/>
              </w:rPr>
              <w:t>500～1000万元</w:t>
            </w:r>
          </w:p>
        </w:tc>
        <w:tc>
          <w:tcPr>
            <w:tcW w:w="1864" w:type="dxa"/>
          </w:tcPr>
          <w:p w14:paraId="4571BC69">
            <w:pPr>
              <w:pStyle w:val="17"/>
              <w:spacing w:line="360" w:lineRule="exact"/>
              <w:ind w:left="25"/>
              <w:jc w:val="center"/>
              <w:rPr>
                <w:rFonts w:hAnsi="宋体"/>
                <w:color w:val="auto"/>
              </w:rPr>
            </w:pPr>
            <w:r>
              <w:rPr>
                <w:rFonts w:hint="eastAsia" w:hAnsi="宋体"/>
                <w:color w:val="auto"/>
              </w:rPr>
              <w:t>0.8%</w:t>
            </w:r>
          </w:p>
        </w:tc>
        <w:tc>
          <w:tcPr>
            <w:tcW w:w="2017" w:type="dxa"/>
          </w:tcPr>
          <w:p w14:paraId="7FA8A4C0">
            <w:pPr>
              <w:pStyle w:val="17"/>
              <w:spacing w:line="360" w:lineRule="exact"/>
              <w:ind w:left="25"/>
              <w:jc w:val="center"/>
              <w:rPr>
                <w:rFonts w:hAnsi="宋体"/>
                <w:color w:val="auto"/>
              </w:rPr>
            </w:pPr>
            <w:r>
              <w:rPr>
                <w:rFonts w:hint="eastAsia" w:hAnsi="宋体"/>
                <w:color w:val="auto"/>
              </w:rPr>
              <w:t>0.45%</w:t>
            </w:r>
          </w:p>
        </w:tc>
        <w:tc>
          <w:tcPr>
            <w:tcW w:w="2322" w:type="dxa"/>
          </w:tcPr>
          <w:p w14:paraId="18594D1A">
            <w:pPr>
              <w:pStyle w:val="17"/>
              <w:spacing w:line="360" w:lineRule="exact"/>
              <w:ind w:left="25"/>
              <w:jc w:val="center"/>
              <w:rPr>
                <w:rFonts w:hAnsi="宋体"/>
                <w:color w:val="auto"/>
              </w:rPr>
            </w:pPr>
            <w:r>
              <w:rPr>
                <w:rFonts w:hint="eastAsia" w:hAnsi="宋体"/>
                <w:color w:val="auto"/>
              </w:rPr>
              <w:t>0.55%</w:t>
            </w:r>
          </w:p>
        </w:tc>
      </w:tr>
      <w:tr w14:paraId="355C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2916" w:type="dxa"/>
          </w:tcPr>
          <w:p w14:paraId="54E5E479">
            <w:pPr>
              <w:pStyle w:val="17"/>
              <w:spacing w:line="360" w:lineRule="exact"/>
              <w:ind w:left="25"/>
              <w:rPr>
                <w:rFonts w:hAnsi="宋体"/>
                <w:color w:val="auto"/>
              </w:rPr>
            </w:pPr>
            <w:r>
              <w:rPr>
                <w:rFonts w:hint="eastAsia" w:hAnsi="宋体"/>
                <w:color w:val="auto"/>
              </w:rPr>
              <w:t>1000～5000万元</w:t>
            </w:r>
          </w:p>
        </w:tc>
        <w:tc>
          <w:tcPr>
            <w:tcW w:w="1864" w:type="dxa"/>
          </w:tcPr>
          <w:p w14:paraId="0D06BEA7">
            <w:pPr>
              <w:pStyle w:val="17"/>
              <w:spacing w:line="360" w:lineRule="exact"/>
              <w:ind w:left="25"/>
              <w:jc w:val="center"/>
              <w:rPr>
                <w:rFonts w:hAnsi="宋体"/>
                <w:color w:val="auto"/>
              </w:rPr>
            </w:pPr>
            <w:r>
              <w:rPr>
                <w:rFonts w:hint="eastAsia" w:hAnsi="宋体"/>
                <w:color w:val="auto"/>
              </w:rPr>
              <w:t>0.5%</w:t>
            </w:r>
          </w:p>
        </w:tc>
        <w:tc>
          <w:tcPr>
            <w:tcW w:w="2017" w:type="dxa"/>
          </w:tcPr>
          <w:p w14:paraId="65242CE1">
            <w:pPr>
              <w:pStyle w:val="17"/>
              <w:spacing w:line="360" w:lineRule="exact"/>
              <w:ind w:left="25"/>
              <w:jc w:val="center"/>
              <w:rPr>
                <w:rFonts w:hAnsi="宋体"/>
                <w:color w:val="auto"/>
              </w:rPr>
            </w:pPr>
            <w:r>
              <w:rPr>
                <w:rFonts w:hint="eastAsia" w:hAnsi="宋体"/>
                <w:color w:val="auto"/>
              </w:rPr>
              <w:t>0.25%</w:t>
            </w:r>
          </w:p>
        </w:tc>
        <w:tc>
          <w:tcPr>
            <w:tcW w:w="2322" w:type="dxa"/>
          </w:tcPr>
          <w:p w14:paraId="6CC4757C">
            <w:pPr>
              <w:pStyle w:val="17"/>
              <w:spacing w:line="360" w:lineRule="exact"/>
              <w:ind w:left="25"/>
              <w:jc w:val="center"/>
              <w:rPr>
                <w:rFonts w:hAnsi="宋体"/>
                <w:color w:val="auto"/>
              </w:rPr>
            </w:pPr>
            <w:r>
              <w:rPr>
                <w:rFonts w:hint="eastAsia" w:hAnsi="宋体"/>
                <w:color w:val="auto"/>
              </w:rPr>
              <w:t>0.35%</w:t>
            </w:r>
          </w:p>
        </w:tc>
      </w:tr>
      <w:tr w14:paraId="7D77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2916" w:type="dxa"/>
          </w:tcPr>
          <w:p w14:paraId="6BA3D485">
            <w:pPr>
              <w:pStyle w:val="17"/>
              <w:spacing w:line="360" w:lineRule="exact"/>
              <w:ind w:left="25"/>
              <w:rPr>
                <w:rFonts w:hAnsi="宋体"/>
                <w:color w:val="auto"/>
              </w:rPr>
            </w:pPr>
            <w:r>
              <w:rPr>
                <w:rFonts w:hint="eastAsia" w:hAnsi="宋体"/>
                <w:color w:val="auto"/>
              </w:rPr>
              <w:t>5000万元～1亿元</w:t>
            </w:r>
          </w:p>
        </w:tc>
        <w:tc>
          <w:tcPr>
            <w:tcW w:w="1864" w:type="dxa"/>
          </w:tcPr>
          <w:p w14:paraId="56C5C7F5">
            <w:pPr>
              <w:pStyle w:val="17"/>
              <w:spacing w:line="360" w:lineRule="exact"/>
              <w:ind w:left="25"/>
              <w:jc w:val="center"/>
              <w:rPr>
                <w:rFonts w:hAnsi="宋体"/>
                <w:color w:val="auto"/>
              </w:rPr>
            </w:pPr>
            <w:r>
              <w:rPr>
                <w:rFonts w:hint="eastAsia" w:hAnsi="宋体"/>
                <w:color w:val="auto"/>
              </w:rPr>
              <w:t>0.25%</w:t>
            </w:r>
          </w:p>
        </w:tc>
        <w:tc>
          <w:tcPr>
            <w:tcW w:w="2017" w:type="dxa"/>
          </w:tcPr>
          <w:p w14:paraId="44D6125C">
            <w:pPr>
              <w:pStyle w:val="17"/>
              <w:spacing w:line="360" w:lineRule="exact"/>
              <w:ind w:left="25"/>
              <w:jc w:val="center"/>
              <w:rPr>
                <w:rFonts w:hAnsi="宋体"/>
                <w:color w:val="auto"/>
              </w:rPr>
            </w:pPr>
            <w:r>
              <w:rPr>
                <w:rFonts w:hint="eastAsia" w:hAnsi="宋体"/>
                <w:color w:val="auto"/>
              </w:rPr>
              <w:t>0.1%</w:t>
            </w:r>
          </w:p>
        </w:tc>
        <w:tc>
          <w:tcPr>
            <w:tcW w:w="2322" w:type="dxa"/>
          </w:tcPr>
          <w:p w14:paraId="18147771">
            <w:pPr>
              <w:pStyle w:val="17"/>
              <w:spacing w:line="360" w:lineRule="exact"/>
              <w:ind w:left="25"/>
              <w:jc w:val="center"/>
              <w:rPr>
                <w:rFonts w:hAnsi="宋体"/>
                <w:color w:val="auto"/>
              </w:rPr>
            </w:pPr>
            <w:r>
              <w:rPr>
                <w:rFonts w:hint="eastAsia" w:hAnsi="宋体"/>
                <w:color w:val="auto"/>
              </w:rPr>
              <w:t>0.2%</w:t>
            </w:r>
          </w:p>
        </w:tc>
      </w:tr>
      <w:tr w14:paraId="33AA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2916" w:type="dxa"/>
          </w:tcPr>
          <w:p w14:paraId="0C94D603">
            <w:pPr>
              <w:pStyle w:val="17"/>
              <w:spacing w:line="360" w:lineRule="exact"/>
              <w:ind w:left="25"/>
              <w:rPr>
                <w:rFonts w:hAnsi="宋体"/>
                <w:color w:val="auto"/>
              </w:rPr>
            </w:pPr>
            <w:r>
              <w:rPr>
                <w:rFonts w:hint="eastAsia" w:hAnsi="宋体"/>
                <w:color w:val="auto"/>
              </w:rPr>
              <w:t>1～5亿元</w:t>
            </w:r>
          </w:p>
        </w:tc>
        <w:tc>
          <w:tcPr>
            <w:tcW w:w="1864" w:type="dxa"/>
          </w:tcPr>
          <w:p w14:paraId="1823BA4B">
            <w:pPr>
              <w:pStyle w:val="17"/>
              <w:spacing w:line="360" w:lineRule="exact"/>
              <w:ind w:left="25"/>
              <w:jc w:val="center"/>
              <w:rPr>
                <w:rFonts w:hAnsi="宋体"/>
                <w:color w:val="auto"/>
              </w:rPr>
            </w:pPr>
            <w:r>
              <w:rPr>
                <w:rFonts w:hint="eastAsia" w:hAnsi="宋体"/>
                <w:color w:val="auto"/>
              </w:rPr>
              <w:t>0.05%</w:t>
            </w:r>
          </w:p>
        </w:tc>
        <w:tc>
          <w:tcPr>
            <w:tcW w:w="2017" w:type="dxa"/>
          </w:tcPr>
          <w:p w14:paraId="3CE0FE28">
            <w:pPr>
              <w:pStyle w:val="17"/>
              <w:spacing w:line="360" w:lineRule="exact"/>
              <w:ind w:left="25"/>
              <w:jc w:val="center"/>
              <w:rPr>
                <w:rFonts w:hAnsi="宋体"/>
                <w:color w:val="auto"/>
              </w:rPr>
            </w:pPr>
            <w:r>
              <w:rPr>
                <w:rFonts w:hint="eastAsia" w:hAnsi="宋体"/>
                <w:color w:val="auto"/>
              </w:rPr>
              <w:t>0.05%</w:t>
            </w:r>
          </w:p>
        </w:tc>
        <w:tc>
          <w:tcPr>
            <w:tcW w:w="2322" w:type="dxa"/>
          </w:tcPr>
          <w:p w14:paraId="62BB76A5">
            <w:pPr>
              <w:pStyle w:val="17"/>
              <w:spacing w:line="360" w:lineRule="exact"/>
              <w:ind w:left="25"/>
              <w:jc w:val="center"/>
              <w:rPr>
                <w:rFonts w:hAnsi="宋体"/>
                <w:color w:val="auto"/>
              </w:rPr>
            </w:pPr>
            <w:r>
              <w:rPr>
                <w:rFonts w:hint="eastAsia" w:hAnsi="宋体"/>
                <w:color w:val="auto"/>
              </w:rPr>
              <w:t>0.05%</w:t>
            </w:r>
          </w:p>
        </w:tc>
      </w:tr>
      <w:tr w14:paraId="17B3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2916" w:type="dxa"/>
          </w:tcPr>
          <w:p w14:paraId="38B70F22">
            <w:pPr>
              <w:pStyle w:val="17"/>
              <w:spacing w:line="360" w:lineRule="exact"/>
              <w:ind w:left="25"/>
              <w:rPr>
                <w:rFonts w:hAnsi="宋体"/>
                <w:color w:val="auto"/>
              </w:rPr>
            </w:pPr>
            <w:r>
              <w:rPr>
                <w:rFonts w:hint="eastAsia" w:hAnsi="宋体"/>
                <w:color w:val="auto"/>
              </w:rPr>
              <w:t>5～10亿元</w:t>
            </w:r>
          </w:p>
        </w:tc>
        <w:tc>
          <w:tcPr>
            <w:tcW w:w="1864" w:type="dxa"/>
          </w:tcPr>
          <w:p w14:paraId="473374A7">
            <w:pPr>
              <w:pStyle w:val="17"/>
              <w:spacing w:line="360" w:lineRule="exact"/>
              <w:ind w:left="25"/>
              <w:jc w:val="center"/>
              <w:rPr>
                <w:rFonts w:hAnsi="宋体"/>
                <w:color w:val="auto"/>
              </w:rPr>
            </w:pPr>
            <w:r>
              <w:rPr>
                <w:rFonts w:hint="eastAsia" w:hAnsi="宋体"/>
                <w:color w:val="auto"/>
              </w:rPr>
              <w:t>0.035%</w:t>
            </w:r>
          </w:p>
        </w:tc>
        <w:tc>
          <w:tcPr>
            <w:tcW w:w="2017" w:type="dxa"/>
          </w:tcPr>
          <w:p w14:paraId="3A797F3C">
            <w:pPr>
              <w:pStyle w:val="17"/>
              <w:spacing w:line="360" w:lineRule="exact"/>
              <w:ind w:left="25"/>
              <w:jc w:val="center"/>
              <w:rPr>
                <w:rFonts w:hAnsi="宋体"/>
                <w:color w:val="auto"/>
              </w:rPr>
            </w:pPr>
            <w:r>
              <w:rPr>
                <w:rFonts w:hint="eastAsia" w:hAnsi="宋体"/>
                <w:color w:val="auto"/>
              </w:rPr>
              <w:t>0.035%</w:t>
            </w:r>
          </w:p>
        </w:tc>
        <w:tc>
          <w:tcPr>
            <w:tcW w:w="2322" w:type="dxa"/>
          </w:tcPr>
          <w:p w14:paraId="2BED0D81">
            <w:pPr>
              <w:pStyle w:val="17"/>
              <w:spacing w:line="360" w:lineRule="exact"/>
              <w:ind w:left="25"/>
              <w:jc w:val="center"/>
              <w:rPr>
                <w:rFonts w:hAnsi="宋体"/>
                <w:color w:val="auto"/>
              </w:rPr>
            </w:pPr>
            <w:r>
              <w:rPr>
                <w:rFonts w:hint="eastAsia" w:hAnsi="宋体"/>
                <w:color w:val="auto"/>
              </w:rPr>
              <w:t>0.035%</w:t>
            </w:r>
          </w:p>
        </w:tc>
      </w:tr>
      <w:tr w14:paraId="496A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2916" w:type="dxa"/>
          </w:tcPr>
          <w:p w14:paraId="05ADD332">
            <w:pPr>
              <w:pStyle w:val="17"/>
              <w:spacing w:line="360" w:lineRule="exact"/>
              <w:ind w:left="25"/>
              <w:rPr>
                <w:rFonts w:hAnsi="宋体"/>
                <w:color w:val="auto"/>
              </w:rPr>
            </w:pPr>
            <w:r>
              <w:rPr>
                <w:rFonts w:hint="eastAsia" w:hAnsi="宋体"/>
                <w:color w:val="auto"/>
              </w:rPr>
              <w:t>10～50亿元</w:t>
            </w:r>
          </w:p>
        </w:tc>
        <w:tc>
          <w:tcPr>
            <w:tcW w:w="1864" w:type="dxa"/>
          </w:tcPr>
          <w:p w14:paraId="0ED819A8">
            <w:pPr>
              <w:pStyle w:val="17"/>
              <w:spacing w:line="360" w:lineRule="exact"/>
              <w:ind w:left="25"/>
              <w:jc w:val="center"/>
              <w:rPr>
                <w:rFonts w:hAnsi="宋体"/>
                <w:color w:val="auto"/>
              </w:rPr>
            </w:pPr>
            <w:r>
              <w:rPr>
                <w:rFonts w:hint="eastAsia" w:hAnsi="宋体"/>
                <w:color w:val="auto"/>
              </w:rPr>
              <w:t>0.008%</w:t>
            </w:r>
          </w:p>
        </w:tc>
        <w:tc>
          <w:tcPr>
            <w:tcW w:w="2017" w:type="dxa"/>
          </w:tcPr>
          <w:p w14:paraId="7B043FE8">
            <w:pPr>
              <w:pStyle w:val="17"/>
              <w:spacing w:line="360" w:lineRule="exact"/>
              <w:ind w:left="25"/>
              <w:jc w:val="center"/>
              <w:rPr>
                <w:rFonts w:hAnsi="宋体"/>
                <w:color w:val="auto"/>
              </w:rPr>
            </w:pPr>
            <w:r>
              <w:rPr>
                <w:rFonts w:hint="eastAsia" w:hAnsi="宋体"/>
                <w:color w:val="auto"/>
              </w:rPr>
              <w:t>0.008%</w:t>
            </w:r>
          </w:p>
        </w:tc>
        <w:tc>
          <w:tcPr>
            <w:tcW w:w="2322" w:type="dxa"/>
          </w:tcPr>
          <w:p w14:paraId="08910733">
            <w:pPr>
              <w:pStyle w:val="17"/>
              <w:spacing w:line="360" w:lineRule="exact"/>
              <w:ind w:left="25"/>
              <w:jc w:val="center"/>
              <w:rPr>
                <w:rFonts w:hAnsi="宋体"/>
                <w:color w:val="auto"/>
              </w:rPr>
            </w:pPr>
            <w:r>
              <w:rPr>
                <w:rFonts w:hint="eastAsia" w:hAnsi="宋体"/>
                <w:color w:val="auto"/>
              </w:rPr>
              <w:t>0.008%</w:t>
            </w:r>
          </w:p>
        </w:tc>
      </w:tr>
      <w:tr w14:paraId="17A1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2916" w:type="dxa"/>
          </w:tcPr>
          <w:p w14:paraId="2CE5B389">
            <w:pPr>
              <w:pStyle w:val="17"/>
              <w:spacing w:line="360" w:lineRule="exact"/>
              <w:ind w:left="25"/>
              <w:rPr>
                <w:rFonts w:hAnsi="宋体"/>
                <w:color w:val="auto"/>
              </w:rPr>
            </w:pPr>
            <w:r>
              <w:rPr>
                <w:rFonts w:hint="eastAsia" w:hAnsi="宋体"/>
                <w:color w:val="auto"/>
              </w:rPr>
              <w:t>50～100亿元</w:t>
            </w:r>
          </w:p>
        </w:tc>
        <w:tc>
          <w:tcPr>
            <w:tcW w:w="1864" w:type="dxa"/>
          </w:tcPr>
          <w:p w14:paraId="02AF80BD">
            <w:pPr>
              <w:pStyle w:val="17"/>
              <w:spacing w:line="360" w:lineRule="exact"/>
              <w:ind w:left="25"/>
              <w:jc w:val="center"/>
              <w:rPr>
                <w:rFonts w:hAnsi="宋体"/>
                <w:color w:val="auto"/>
              </w:rPr>
            </w:pPr>
            <w:r>
              <w:rPr>
                <w:rFonts w:hint="eastAsia" w:hAnsi="宋体"/>
                <w:color w:val="auto"/>
              </w:rPr>
              <w:t>0.006%</w:t>
            </w:r>
          </w:p>
        </w:tc>
        <w:tc>
          <w:tcPr>
            <w:tcW w:w="2017" w:type="dxa"/>
          </w:tcPr>
          <w:p w14:paraId="0AB3C9E6">
            <w:pPr>
              <w:pStyle w:val="17"/>
              <w:spacing w:line="360" w:lineRule="exact"/>
              <w:ind w:left="25"/>
              <w:jc w:val="center"/>
              <w:rPr>
                <w:rFonts w:hAnsi="宋体"/>
                <w:color w:val="auto"/>
              </w:rPr>
            </w:pPr>
            <w:r>
              <w:rPr>
                <w:rFonts w:hint="eastAsia" w:hAnsi="宋体"/>
                <w:color w:val="auto"/>
              </w:rPr>
              <w:t>0.006%</w:t>
            </w:r>
          </w:p>
        </w:tc>
        <w:tc>
          <w:tcPr>
            <w:tcW w:w="2322" w:type="dxa"/>
          </w:tcPr>
          <w:p w14:paraId="0C617641">
            <w:pPr>
              <w:pStyle w:val="17"/>
              <w:spacing w:line="360" w:lineRule="exact"/>
              <w:ind w:left="25"/>
              <w:jc w:val="center"/>
              <w:rPr>
                <w:rFonts w:hAnsi="宋体"/>
                <w:color w:val="auto"/>
              </w:rPr>
            </w:pPr>
            <w:r>
              <w:rPr>
                <w:rFonts w:hint="eastAsia" w:hAnsi="宋体"/>
                <w:color w:val="auto"/>
              </w:rPr>
              <w:t>0.006%</w:t>
            </w:r>
          </w:p>
        </w:tc>
      </w:tr>
      <w:tr w14:paraId="48D8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2916" w:type="dxa"/>
          </w:tcPr>
          <w:p w14:paraId="5E04B543">
            <w:pPr>
              <w:pStyle w:val="17"/>
              <w:spacing w:line="360" w:lineRule="exact"/>
              <w:ind w:left="25"/>
              <w:rPr>
                <w:rFonts w:hAnsi="宋体"/>
                <w:color w:val="auto"/>
              </w:rPr>
            </w:pPr>
            <w:r>
              <w:rPr>
                <w:rFonts w:hint="eastAsia" w:hAnsi="宋体"/>
                <w:color w:val="auto"/>
              </w:rPr>
              <w:t>100亿以上</w:t>
            </w:r>
          </w:p>
        </w:tc>
        <w:tc>
          <w:tcPr>
            <w:tcW w:w="1864" w:type="dxa"/>
          </w:tcPr>
          <w:p w14:paraId="7ECA7A71">
            <w:pPr>
              <w:pStyle w:val="17"/>
              <w:spacing w:line="360" w:lineRule="exact"/>
              <w:ind w:left="25"/>
              <w:jc w:val="center"/>
              <w:rPr>
                <w:rFonts w:hAnsi="宋体"/>
                <w:color w:val="auto"/>
              </w:rPr>
            </w:pPr>
            <w:r>
              <w:rPr>
                <w:rFonts w:hint="eastAsia" w:hAnsi="宋体"/>
                <w:color w:val="auto"/>
              </w:rPr>
              <w:t>0.004%</w:t>
            </w:r>
          </w:p>
        </w:tc>
        <w:tc>
          <w:tcPr>
            <w:tcW w:w="2017" w:type="dxa"/>
          </w:tcPr>
          <w:p w14:paraId="7CF65754">
            <w:pPr>
              <w:pStyle w:val="17"/>
              <w:spacing w:line="360" w:lineRule="exact"/>
              <w:ind w:left="25"/>
              <w:jc w:val="center"/>
              <w:rPr>
                <w:rFonts w:hAnsi="宋体"/>
                <w:color w:val="auto"/>
              </w:rPr>
            </w:pPr>
            <w:r>
              <w:rPr>
                <w:rFonts w:hint="eastAsia" w:hAnsi="宋体"/>
                <w:color w:val="auto"/>
              </w:rPr>
              <w:t>0.004%</w:t>
            </w:r>
          </w:p>
        </w:tc>
        <w:tc>
          <w:tcPr>
            <w:tcW w:w="2322" w:type="dxa"/>
          </w:tcPr>
          <w:p w14:paraId="51A0BD12">
            <w:pPr>
              <w:pStyle w:val="17"/>
              <w:spacing w:line="360" w:lineRule="exact"/>
              <w:ind w:left="25"/>
              <w:jc w:val="center"/>
              <w:rPr>
                <w:rFonts w:hAnsi="宋体"/>
                <w:color w:val="auto"/>
              </w:rPr>
            </w:pPr>
            <w:r>
              <w:rPr>
                <w:rFonts w:hint="eastAsia" w:hAnsi="宋体"/>
                <w:color w:val="auto"/>
              </w:rPr>
              <w:t>0.004%</w:t>
            </w:r>
          </w:p>
        </w:tc>
      </w:tr>
    </w:tbl>
    <w:p w14:paraId="2815DAF4">
      <w:pPr>
        <w:spacing w:line="400" w:lineRule="exact"/>
        <w:ind w:firstLine="420" w:firstLineChars="200"/>
        <w:contextualSpacing/>
        <w:rPr>
          <w:rFonts w:ascii="黑体" w:hAnsi="黑体" w:eastAsia="黑体" w:cs="宋体"/>
          <w:b/>
          <w:bCs/>
          <w:color w:val="auto"/>
          <w:sz w:val="24"/>
        </w:rPr>
      </w:pPr>
      <w:r>
        <w:rPr>
          <w:rFonts w:hint="eastAsia" w:hAnsi="宋体"/>
          <w:color w:val="auto"/>
        </w:rPr>
        <w:t>注：招标代理服务收费按差额定率累进法计算。</w:t>
      </w:r>
    </w:p>
    <w:p w14:paraId="51943C6E">
      <w:pPr>
        <w:spacing w:line="400" w:lineRule="exact"/>
        <w:ind w:firstLine="482" w:firstLineChars="200"/>
        <w:contextualSpacing/>
        <w:rPr>
          <w:rFonts w:ascii="黑体" w:hAnsi="黑体" w:eastAsia="黑体" w:cs="宋体"/>
          <w:b/>
          <w:bCs/>
          <w:color w:val="auto"/>
          <w:sz w:val="24"/>
        </w:rPr>
      </w:pPr>
      <w:r>
        <w:rPr>
          <w:rFonts w:hint="eastAsia" w:ascii="黑体" w:hAnsi="黑体" w:eastAsia="黑体" w:cs="宋体"/>
          <w:b/>
          <w:bCs/>
          <w:color w:val="auto"/>
          <w:sz w:val="24"/>
        </w:rPr>
        <w:t>3</w:t>
      </w:r>
      <w:r>
        <w:rPr>
          <w:rFonts w:ascii="黑体" w:hAnsi="黑体" w:eastAsia="黑体" w:cs="宋体"/>
          <w:b/>
          <w:bCs/>
          <w:color w:val="auto"/>
          <w:sz w:val="24"/>
        </w:rPr>
        <w:t>3.需要补充的其他内容</w:t>
      </w:r>
    </w:p>
    <w:p w14:paraId="649B8212">
      <w:pPr>
        <w:tabs>
          <w:tab w:val="left" w:pos="2835"/>
        </w:tabs>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r>
        <w:rPr>
          <w:rFonts w:hint="eastAsia" w:ascii="宋体" w:hAnsi="宋体" w:cs="宋体"/>
          <w:color w:val="auto"/>
          <w:szCs w:val="21"/>
        </w:rPr>
        <w:t>本磋商文件解释规则详见“供应商须知前附表”。</w:t>
      </w:r>
    </w:p>
    <w:p w14:paraId="48420859">
      <w:pPr>
        <w:tabs>
          <w:tab w:val="left" w:pos="2835"/>
        </w:tabs>
        <w:spacing w:line="400" w:lineRule="exact"/>
        <w:ind w:firstLine="420" w:firstLineChars="200"/>
        <w:contextualSpacing/>
        <w:rPr>
          <w:rFonts w:ascii="宋体" w:hAnsi="宋体" w:cs="宋体"/>
          <w:color w:val="auto"/>
          <w:szCs w:val="21"/>
        </w:rPr>
      </w:pPr>
      <w:r>
        <w:rPr>
          <w:rFonts w:ascii="宋体" w:hAnsi="宋体" w:cs="宋体"/>
          <w:color w:val="auto"/>
          <w:szCs w:val="21"/>
        </w:rPr>
        <w:t>33.2</w:t>
      </w:r>
      <w:r>
        <w:rPr>
          <w:rFonts w:hint="eastAsia" w:ascii="宋体" w:hAnsi="宋体" w:cs="宋体"/>
          <w:color w:val="auto"/>
          <w:szCs w:val="21"/>
        </w:rPr>
        <w:t xml:space="preserve"> 其他事项详见“供应商须知前附表”。</w:t>
      </w:r>
    </w:p>
    <w:p w14:paraId="2F3ED02A">
      <w:pPr>
        <w:tabs>
          <w:tab w:val="left" w:pos="2835"/>
        </w:tabs>
        <w:spacing w:line="400" w:lineRule="exact"/>
        <w:ind w:firstLine="420" w:firstLineChars="200"/>
        <w:contextualSpacing/>
        <w:rPr>
          <w:rFonts w:hAnsi="宋体"/>
          <w:color w:val="auto"/>
        </w:rPr>
      </w:pPr>
      <w:r>
        <w:rPr>
          <w:rFonts w:hint="eastAsia" w:ascii="宋体" w:hAnsi="宋体" w:cs="宋体"/>
          <w:color w:val="auto"/>
          <w:szCs w:val="21"/>
        </w:rPr>
        <w:t>3</w:t>
      </w:r>
      <w:r>
        <w:rPr>
          <w:rFonts w:ascii="宋体" w:hAnsi="宋体" w:cs="宋体"/>
          <w:color w:val="auto"/>
          <w:szCs w:val="21"/>
        </w:rPr>
        <w:t>3.3</w:t>
      </w:r>
      <w:bookmarkStart w:id="75" w:name="_Hlk65857140"/>
      <w:r>
        <w:rPr>
          <w:rFonts w:hint="eastAsia" w:ascii="宋体" w:hAnsi="宋体" w:cs="宋体"/>
          <w:color w:val="auto"/>
          <w:szCs w:val="21"/>
        </w:rPr>
        <w:t>本磋商</w:t>
      </w:r>
      <w:r>
        <w:rPr>
          <w:rFonts w:hint="eastAsia" w:hAnsi="宋体"/>
          <w:color w:val="auto"/>
        </w:rPr>
        <w:t>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ED6EA9A">
      <w:pPr>
        <w:pStyle w:val="17"/>
        <w:spacing w:line="400" w:lineRule="exact"/>
        <w:ind w:firstLine="420" w:firstLineChars="200"/>
        <w:contextualSpacing/>
        <w:rPr>
          <w:rFonts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14:paraId="774DFFF2">
      <w:pPr>
        <w:pStyle w:val="17"/>
        <w:spacing w:line="400" w:lineRule="exact"/>
        <w:ind w:firstLine="420" w:firstLineChars="200"/>
        <w:contextualSpacing/>
        <w:rPr>
          <w:rFonts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14:paraId="543B10CB">
      <w:pPr>
        <w:pStyle w:val="17"/>
        <w:spacing w:line="400" w:lineRule="exact"/>
        <w:ind w:firstLine="420" w:firstLineChars="200"/>
        <w:contextualSpacing/>
        <w:rPr>
          <w:rFonts w:hAnsi="宋体"/>
          <w:color w:val="auto"/>
          <w:sz w:val="21"/>
        </w:rPr>
      </w:pPr>
      <w:r>
        <w:rPr>
          <w:rFonts w:hint="eastAsia" w:hAnsi="宋体"/>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14:paraId="7070D33C">
      <w:pPr>
        <w:pStyle w:val="17"/>
        <w:spacing w:line="400" w:lineRule="exact"/>
        <w:ind w:firstLine="420" w:firstLineChars="200"/>
        <w:contextualSpacing/>
        <w:rPr>
          <w:rFonts w:hAnsi="宋体"/>
          <w:color w:val="auto"/>
          <w:sz w:val="21"/>
        </w:rPr>
      </w:pPr>
      <w:r>
        <w:rPr>
          <w:rFonts w:hint="eastAsia" w:hAnsi="宋体"/>
          <w:color w:val="auto"/>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77AD43F9">
      <w:pPr>
        <w:pStyle w:val="17"/>
        <w:spacing w:line="400" w:lineRule="exact"/>
        <w:ind w:firstLine="420" w:firstLineChars="200"/>
        <w:contextualSpacing/>
        <w:rPr>
          <w:rFonts w:hAnsi="宋体"/>
          <w:color w:val="auto"/>
          <w:sz w:val="21"/>
        </w:rPr>
      </w:pPr>
      <w:r>
        <w:rPr>
          <w:rFonts w:hint="eastAsia" w:hAnsi="宋体"/>
          <w:color w:val="auto"/>
          <w:sz w:val="21"/>
        </w:rPr>
        <w:t>依据本磋商文件规定享受扶持政策获得政府采购合同的，小微企业不得将合同分包给大中型企业，中型企业不得将合同分包给大型企业。</w:t>
      </w:r>
      <w:bookmarkEnd w:id="75"/>
    </w:p>
    <w:p w14:paraId="417993FB">
      <w:pPr>
        <w:pStyle w:val="17"/>
        <w:spacing w:line="400" w:lineRule="exact"/>
        <w:ind w:firstLine="420" w:firstLineChars="200"/>
        <w:contextualSpacing/>
        <w:rPr>
          <w:rFonts w:hAnsi="宋体"/>
          <w:color w:val="auto"/>
          <w:sz w:val="21"/>
        </w:rPr>
      </w:pPr>
      <w:r>
        <w:rPr>
          <w:rFonts w:hint="eastAsia" w:hAnsi="宋体"/>
          <w:color w:val="auto"/>
          <w:sz w:val="21"/>
        </w:rPr>
        <w:t>33.4.广西线上“政采贷”政策</w:t>
      </w:r>
      <w:r>
        <w:rPr>
          <w:rFonts w:hint="eastAsia" w:hAnsi="宋体"/>
          <w:b/>
          <w:color w:val="auto"/>
          <w:sz w:val="21"/>
        </w:rPr>
        <w:t>（详见附件2）</w:t>
      </w:r>
    </w:p>
    <w:p w14:paraId="68DDF8ED">
      <w:pPr>
        <w:spacing w:line="360" w:lineRule="auto"/>
        <w:ind w:firstLine="420" w:firstLineChars="200"/>
        <w:rPr>
          <w:rFonts w:ascii="宋体" w:hAnsi="宋体" w:cs="宋体"/>
          <w:color w:val="auto"/>
        </w:rPr>
      </w:pPr>
      <w:r>
        <w:rPr>
          <w:rFonts w:hAnsi="宋体"/>
          <w:color w:val="auto"/>
        </w:rPr>
        <w:br w:type="page"/>
      </w:r>
      <w:r>
        <w:rPr>
          <w:rFonts w:hint="eastAsia"/>
          <w:b/>
          <w:color w:val="auto"/>
          <w:sz w:val="24"/>
        </w:rPr>
        <w:t>附</w:t>
      </w:r>
      <w:r>
        <w:rPr>
          <w:rFonts w:hint="eastAsia" w:ascii="宋体" w:hAnsi="宋体"/>
          <w:b/>
          <w:color w:val="auto"/>
          <w:sz w:val="24"/>
        </w:rPr>
        <w:t>表1</w:t>
      </w:r>
      <w:r>
        <w:rPr>
          <w:rFonts w:hint="eastAsia"/>
          <w:b/>
          <w:color w:val="auto"/>
          <w:sz w:val="24"/>
        </w:rPr>
        <w:t>：</w:t>
      </w:r>
    </w:p>
    <w:p w14:paraId="387F3CDE">
      <w:pPr>
        <w:spacing w:line="360" w:lineRule="auto"/>
        <w:ind w:left="25" w:leftChars="12" w:firstLine="472" w:firstLineChars="147"/>
        <w:jc w:val="center"/>
        <w:rPr>
          <w:rFonts w:ascii="宋体" w:hAnsi="宋体" w:cs="宋体"/>
          <w:b/>
          <w:bCs/>
          <w:color w:val="auto"/>
          <w:kern w:val="0"/>
          <w:sz w:val="32"/>
          <w:szCs w:val="32"/>
        </w:rPr>
      </w:pPr>
      <w:r>
        <w:rPr>
          <w:rFonts w:hint="eastAsia" w:ascii="宋体" w:hAnsi="宋体" w:cs="宋体"/>
          <w:b/>
          <w:bCs/>
          <w:color w:val="auto"/>
          <w:kern w:val="0"/>
          <w:sz w:val="32"/>
          <w:szCs w:val="32"/>
        </w:rPr>
        <w:t>广西壮族自治区政府采购项目合同验收书（格式）</w:t>
      </w:r>
    </w:p>
    <w:p w14:paraId="10A0F1CB">
      <w:pPr>
        <w:pStyle w:val="14"/>
        <w:rPr>
          <w:color w:val="auto"/>
        </w:rPr>
      </w:pPr>
    </w:p>
    <w:p w14:paraId="07CD7E21">
      <w:pPr>
        <w:widowControl/>
        <w:shd w:val="clear" w:color="auto" w:fill="FFFFFF"/>
        <w:snapToGrid w:val="0"/>
        <w:spacing w:line="320" w:lineRule="atLeast"/>
        <w:ind w:firstLine="480"/>
        <w:jc w:val="left"/>
        <w:rPr>
          <w:rFonts w:ascii="仿宋" w:hAnsi="仿宋" w:eastAsia="仿宋" w:cs="宋体"/>
          <w:color w:val="auto"/>
          <w:kern w:val="0"/>
          <w:szCs w:val="21"/>
        </w:rPr>
      </w:pPr>
      <w:r>
        <w:rPr>
          <w:rFonts w:hint="eastAsia" w:ascii="仿宋" w:hAnsi="仿宋" w:eastAsia="仿宋" w:cs="宋体"/>
          <w:color w:val="auto"/>
          <w:kern w:val="0"/>
          <w:szCs w:val="21"/>
        </w:rPr>
        <w:t>根据政府采购项目（</w:t>
      </w:r>
      <w:r>
        <w:rPr>
          <w:rFonts w:hint="eastAsia" w:ascii="仿宋" w:hAnsi="仿宋" w:eastAsia="仿宋" w:cs="宋体"/>
          <w:color w:val="auto"/>
          <w:kern w:val="0"/>
          <w:szCs w:val="21"/>
          <w:u w:val="single"/>
        </w:rPr>
        <w:t>采购合同编号：</w:t>
      </w:r>
      <w:r>
        <w:rPr>
          <w:rFonts w:hint="eastAsia" w:ascii="仿宋" w:hAnsi="仿宋" w:eastAsia="仿宋" w:cs="宋体"/>
          <w:color w:val="auto"/>
          <w:kern w:val="0"/>
          <w:szCs w:val="21"/>
          <w:u w:val="single"/>
        </w:rPr>
        <w:softHyphen/>
      </w:r>
      <w:r>
        <w:rPr>
          <w:rFonts w:hint="eastAsia" w:ascii="仿宋" w:hAnsi="仿宋" w:eastAsia="仿宋" w:cs="宋体"/>
          <w:color w:val="auto"/>
          <w:kern w:val="0"/>
          <w:szCs w:val="21"/>
        </w:rPr>
        <w:t>）的约定，我单位对（</w:t>
      </w:r>
      <w:r>
        <w:rPr>
          <w:rFonts w:hint="eastAsia" w:ascii="仿宋" w:hAnsi="仿宋" w:eastAsia="仿宋" w:cs="宋体"/>
          <w:color w:val="auto"/>
          <w:kern w:val="0"/>
          <w:szCs w:val="21"/>
          <w:u w:val="single"/>
        </w:rPr>
        <w:t xml:space="preserve"> 项目名称 </w:t>
      </w:r>
      <w:r>
        <w:rPr>
          <w:rFonts w:hint="eastAsia" w:ascii="仿宋" w:hAnsi="仿宋" w:eastAsia="仿宋" w:cs="宋体"/>
          <w:color w:val="auto"/>
          <w:kern w:val="0"/>
          <w:szCs w:val="21"/>
        </w:rPr>
        <w:t>） 政府采购项目成交供应商（</w:t>
      </w:r>
      <w:r>
        <w:rPr>
          <w:rFonts w:hint="eastAsia" w:ascii="仿宋" w:hAnsi="仿宋" w:eastAsia="仿宋" w:cs="宋体"/>
          <w:color w:val="auto"/>
          <w:kern w:val="0"/>
          <w:szCs w:val="21"/>
          <w:u w:val="single"/>
        </w:rPr>
        <w:t xml:space="preserve"> 公司名称 </w:t>
      </w:r>
      <w:r>
        <w:rPr>
          <w:rFonts w:hint="eastAsia" w:ascii="仿宋" w:hAnsi="仿宋" w:eastAsia="仿宋" w:cs="宋体"/>
          <w:color w:val="auto"/>
          <w:kern w:val="0"/>
          <w:szCs w:val="21"/>
        </w:rPr>
        <w:t>） 提供的货物（或者工程、服务）进行了验收，验收情况如下：</w:t>
      </w:r>
    </w:p>
    <w:tbl>
      <w:tblPr>
        <w:tblStyle w:val="28"/>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4E1FB24A">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0EDBCE4D">
            <w:pPr>
              <w:widowControl/>
              <w:snapToGrid w:val="0"/>
              <w:spacing w:before="100" w:beforeAutospacing="1" w:after="100" w:afterAutospacing="1" w:line="320" w:lineRule="atLeast"/>
              <w:ind w:firstLine="5"/>
              <w:jc w:val="center"/>
              <w:rPr>
                <w:rFonts w:ascii="Verdana" w:hAnsi="Verdana" w:cs="宋体"/>
                <w:color w:val="auto"/>
                <w:kern w:val="0"/>
                <w:szCs w:val="21"/>
              </w:rPr>
            </w:pPr>
            <w:r>
              <w:rPr>
                <w:rFonts w:hint="eastAsia" w:ascii="Verdana" w:hAnsi="Verdana" w:cs="宋体"/>
                <w:color w:val="auto"/>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59930F28">
            <w:pPr>
              <w:widowControl/>
              <w:snapToGrid w:val="0"/>
              <w:spacing w:before="100" w:beforeAutospacing="1" w:after="100" w:afterAutospacing="1" w:line="320" w:lineRule="atLeast"/>
              <w:jc w:val="center"/>
              <w:rPr>
                <w:rFonts w:ascii="Verdana" w:hAnsi="Verdana" w:cs="宋体"/>
                <w:color w:val="auto"/>
                <w:kern w:val="0"/>
                <w:szCs w:val="21"/>
              </w:rPr>
            </w:pPr>
            <w:r>
              <w:rPr>
                <w:rFonts w:ascii="Verdana" w:hAnsi="Verdana" w:cs="宋体"/>
                <w:color w:val="auto"/>
                <w:kern w:val="0"/>
                <w:szCs w:val="21"/>
              </w:rPr>
              <w:t>□</w:t>
            </w:r>
            <w:r>
              <w:rPr>
                <w:rFonts w:hint="eastAsia" w:ascii="Verdana" w:hAnsi="Verdana" w:cs="宋体"/>
                <w:color w:val="auto"/>
                <w:kern w:val="0"/>
                <w:szCs w:val="21"/>
              </w:rPr>
              <w:t>自行验收</w:t>
            </w:r>
            <w:r>
              <w:rPr>
                <w:rFonts w:ascii="Verdana" w:hAnsi="Verdana" w:cs="宋体"/>
                <w:color w:val="auto"/>
                <w:kern w:val="0"/>
                <w:szCs w:val="21"/>
              </w:rPr>
              <w:t xml:space="preserve"> □</w:t>
            </w:r>
            <w:r>
              <w:rPr>
                <w:rFonts w:hint="eastAsia" w:ascii="Verdana" w:hAnsi="Verdana" w:cs="宋体"/>
                <w:color w:val="auto"/>
                <w:kern w:val="0"/>
                <w:szCs w:val="21"/>
              </w:rPr>
              <w:t>委托验收</w:t>
            </w:r>
          </w:p>
        </w:tc>
      </w:tr>
      <w:tr w14:paraId="5DCAC56A">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76BB43D7">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hint="eastAsia" w:ascii="Verdana" w:hAnsi="Verdana" w:cs="宋体"/>
                <w:color w:val="auto"/>
                <w:kern w:val="0"/>
                <w:szCs w:val="21"/>
              </w:rPr>
              <w:t>序号</w:t>
            </w:r>
          </w:p>
        </w:tc>
        <w:tc>
          <w:tcPr>
            <w:tcW w:w="2448" w:type="dxa"/>
            <w:gridSpan w:val="2"/>
            <w:tcBorders>
              <w:top w:val="nil"/>
              <w:left w:val="nil"/>
              <w:bottom w:val="single" w:color="auto" w:sz="8" w:space="0"/>
              <w:right w:val="single" w:color="auto" w:sz="8" w:space="0"/>
            </w:tcBorders>
            <w:vAlign w:val="center"/>
          </w:tcPr>
          <w:p w14:paraId="147A6770">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hint="eastAsia" w:ascii="Verdana" w:hAnsi="Verdana" w:cs="宋体"/>
                <w:color w:val="auto"/>
                <w:kern w:val="0"/>
                <w:szCs w:val="21"/>
              </w:rPr>
              <w:t>名称</w:t>
            </w:r>
          </w:p>
        </w:tc>
        <w:tc>
          <w:tcPr>
            <w:tcW w:w="2902" w:type="dxa"/>
            <w:gridSpan w:val="3"/>
            <w:tcBorders>
              <w:top w:val="nil"/>
              <w:left w:val="nil"/>
              <w:bottom w:val="single" w:color="auto" w:sz="8" w:space="0"/>
              <w:right w:val="single" w:color="auto" w:sz="8" w:space="0"/>
            </w:tcBorders>
            <w:vAlign w:val="center"/>
          </w:tcPr>
          <w:p w14:paraId="2EE31639">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hint="eastAsia" w:ascii="Verdana" w:hAnsi="Verdana"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353EBEB7">
            <w:pPr>
              <w:widowControl/>
              <w:snapToGrid w:val="0"/>
              <w:spacing w:before="100" w:beforeAutospacing="1" w:after="100" w:afterAutospacing="1" w:line="320" w:lineRule="atLeast"/>
              <w:jc w:val="center"/>
              <w:rPr>
                <w:rFonts w:ascii="Verdana" w:hAnsi="Verdana" w:cs="宋体"/>
                <w:color w:val="auto"/>
                <w:kern w:val="0"/>
                <w:szCs w:val="21"/>
              </w:rPr>
            </w:pPr>
            <w:r>
              <w:rPr>
                <w:rFonts w:hint="eastAsia" w:ascii="Verdana" w:hAnsi="Verdana" w:cs="宋体"/>
                <w:color w:val="auto"/>
                <w:kern w:val="0"/>
                <w:szCs w:val="21"/>
              </w:rPr>
              <w:t>数量</w:t>
            </w:r>
          </w:p>
        </w:tc>
        <w:tc>
          <w:tcPr>
            <w:tcW w:w="1428" w:type="dxa"/>
            <w:tcBorders>
              <w:top w:val="nil"/>
              <w:left w:val="nil"/>
              <w:bottom w:val="single" w:color="auto" w:sz="8" w:space="0"/>
              <w:right w:val="single" w:color="auto" w:sz="8" w:space="0"/>
            </w:tcBorders>
            <w:vAlign w:val="center"/>
          </w:tcPr>
          <w:p w14:paraId="402213E4">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hint="eastAsia" w:ascii="Verdana" w:hAnsi="Verdana" w:cs="宋体"/>
                <w:color w:val="auto"/>
                <w:kern w:val="0"/>
                <w:szCs w:val="21"/>
              </w:rPr>
              <w:t>金额</w:t>
            </w:r>
          </w:p>
        </w:tc>
      </w:tr>
      <w:tr w14:paraId="04917DF2">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DCAE934">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68ED8FC9">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286956CA">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5A800658">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3CE6DD87">
            <w:pPr>
              <w:widowControl/>
              <w:spacing w:before="100" w:beforeAutospacing="1" w:after="100" w:afterAutospacing="1" w:line="240" w:lineRule="atLeast"/>
              <w:jc w:val="center"/>
              <w:rPr>
                <w:rFonts w:ascii="Verdana" w:hAnsi="Verdana" w:cs="宋体"/>
                <w:color w:val="auto"/>
                <w:kern w:val="0"/>
                <w:szCs w:val="21"/>
              </w:rPr>
            </w:pPr>
          </w:p>
        </w:tc>
      </w:tr>
      <w:tr w14:paraId="5468EBC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B18F027">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370C7F4A">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7F6D5607">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29C71870">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08BAE25E">
            <w:pPr>
              <w:widowControl/>
              <w:spacing w:before="100" w:beforeAutospacing="1" w:after="100" w:afterAutospacing="1" w:line="240" w:lineRule="atLeast"/>
              <w:jc w:val="center"/>
              <w:rPr>
                <w:rFonts w:ascii="Verdana" w:hAnsi="Verdana" w:cs="宋体"/>
                <w:color w:val="auto"/>
                <w:kern w:val="0"/>
                <w:szCs w:val="21"/>
              </w:rPr>
            </w:pPr>
          </w:p>
        </w:tc>
      </w:tr>
      <w:tr w14:paraId="637E0EE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7DEF8DB">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7C278072">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7969A922">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19E6BFEF">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0B077DA2">
            <w:pPr>
              <w:widowControl/>
              <w:spacing w:before="100" w:beforeAutospacing="1" w:after="100" w:afterAutospacing="1" w:line="240" w:lineRule="atLeast"/>
              <w:jc w:val="center"/>
              <w:rPr>
                <w:rFonts w:ascii="Verdana" w:hAnsi="Verdana" w:cs="宋体"/>
                <w:color w:val="auto"/>
                <w:kern w:val="0"/>
                <w:szCs w:val="21"/>
              </w:rPr>
            </w:pPr>
          </w:p>
        </w:tc>
      </w:tr>
      <w:tr w14:paraId="06AB2B47">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3A09D6C6">
            <w:pPr>
              <w:widowControl/>
              <w:snapToGrid w:val="0"/>
              <w:spacing w:before="100" w:beforeAutospacing="1" w:after="100" w:afterAutospacing="1" w:line="320" w:lineRule="atLeast"/>
              <w:ind w:firstLine="5"/>
              <w:jc w:val="center"/>
              <w:rPr>
                <w:rFonts w:ascii="Verdana" w:hAnsi="Verdana" w:cs="宋体"/>
                <w:color w:val="auto"/>
                <w:kern w:val="0"/>
                <w:szCs w:val="21"/>
              </w:rPr>
            </w:pPr>
            <w:r>
              <w:rPr>
                <w:rFonts w:hint="eastAsia" w:ascii="Verdana" w:hAnsi="Verdana" w:cs="宋体"/>
                <w:color w:val="auto"/>
                <w:kern w:val="0"/>
                <w:szCs w:val="21"/>
              </w:rPr>
              <w:t>合计</w:t>
            </w:r>
          </w:p>
        </w:tc>
        <w:tc>
          <w:tcPr>
            <w:tcW w:w="863" w:type="dxa"/>
            <w:gridSpan w:val="2"/>
            <w:tcBorders>
              <w:top w:val="nil"/>
              <w:left w:val="nil"/>
              <w:bottom w:val="single" w:color="auto" w:sz="8" w:space="0"/>
              <w:right w:val="single" w:color="auto" w:sz="8" w:space="0"/>
            </w:tcBorders>
            <w:vAlign w:val="center"/>
          </w:tcPr>
          <w:p w14:paraId="28B8C251">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04FFE05A">
            <w:pPr>
              <w:widowControl/>
              <w:spacing w:before="100" w:beforeAutospacing="1" w:after="100" w:afterAutospacing="1" w:line="240" w:lineRule="atLeast"/>
              <w:jc w:val="center"/>
              <w:rPr>
                <w:rFonts w:ascii="Verdana" w:hAnsi="Verdana" w:cs="宋体"/>
                <w:color w:val="auto"/>
                <w:kern w:val="0"/>
                <w:szCs w:val="21"/>
              </w:rPr>
            </w:pPr>
          </w:p>
        </w:tc>
      </w:tr>
      <w:tr w14:paraId="372CE799">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52EF6E12">
            <w:pPr>
              <w:widowControl/>
              <w:snapToGrid w:val="0"/>
              <w:spacing w:before="100" w:beforeAutospacing="1" w:after="100" w:afterAutospacing="1" w:line="320" w:lineRule="atLeast"/>
              <w:ind w:firstLine="210" w:firstLineChars="100"/>
              <w:jc w:val="left"/>
              <w:rPr>
                <w:rFonts w:ascii="Verdana" w:hAnsi="Verdana" w:cs="宋体"/>
                <w:color w:val="auto"/>
                <w:kern w:val="0"/>
                <w:szCs w:val="21"/>
              </w:rPr>
            </w:pPr>
            <w:r>
              <w:rPr>
                <w:rFonts w:hint="eastAsia" w:ascii="Verdana" w:hAnsi="Verdana" w:cs="宋体"/>
                <w:color w:val="auto"/>
                <w:kern w:val="0"/>
                <w:szCs w:val="21"/>
              </w:rPr>
              <w:t>合计大写金额：仟佰拾万仟佰拾元</w:t>
            </w:r>
          </w:p>
        </w:tc>
      </w:tr>
      <w:tr w14:paraId="0881AA12">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187AA2E6">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hint="eastAsia" w:ascii="Verdana" w:hAnsi="Verdana" w:cs="宋体"/>
                <w:color w:val="auto"/>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6DDF6623">
            <w:pPr>
              <w:widowControl/>
              <w:spacing w:before="100" w:beforeAutospacing="1" w:after="100" w:afterAutospacing="1" w:line="240" w:lineRule="atLeast"/>
              <w:jc w:val="center"/>
              <w:rPr>
                <w:rFonts w:ascii="Verdana" w:hAnsi="Verdana"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2F7BEE21">
            <w:pPr>
              <w:widowControl/>
              <w:snapToGrid w:val="0"/>
              <w:spacing w:before="100" w:beforeAutospacing="1" w:after="100" w:afterAutospacing="1" w:line="320" w:lineRule="atLeast"/>
              <w:ind w:firstLine="46"/>
              <w:jc w:val="center"/>
              <w:rPr>
                <w:rFonts w:ascii="Verdana" w:hAnsi="Verdana" w:cs="宋体"/>
                <w:color w:val="auto"/>
                <w:kern w:val="0"/>
                <w:szCs w:val="21"/>
              </w:rPr>
            </w:pPr>
            <w:r>
              <w:rPr>
                <w:rFonts w:hint="eastAsia" w:ascii="Verdana" w:hAnsi="Verdana" w:cs="宋体"/>
                <w:color w:val="auto"/>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06521469">
            <w:pPr>
              <w:widowControl/>
              <w:spacing w:before="100" w:beforeAutospacing="1" w:after="100" w:afterAutospacing="1" w:line="240" w:lineRule="atLeast"/>
              <w:jc w:val="center"/>
              <w:rPr>
                <w:rFonts w:ascii="Verdana" w:hAnsi="Verdana" w:cs="宋体"/>
                <w:color w:val="auto"/>
                <w:kern w:val="0"/>
                <w:szCs w:val="21"/>
              </w:rPr>
            </w:pPr>
          </w:p>
        </w:tc>
      </w:tr>
      <w:tr w14:paraId="63CD35B1">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708E7B24">
            <w:pPr>
              <w:widowControl/>
              <w:spacing w:before="100" w:beforeAutospacing="1" w:after="100" w:afterAutospacing="1" w:line="240" w:lineRule="atLeast"/>
              <w:jc w:val="center"/>
              <w:rPr>
                <w:rFonts w:ascii="Verdana" w:hAnsi="Verdana" w:cs="宋体"/>
                <w:color w:val="auto"/>
                <w:kern w:val="0"/>
                <w:szCs w:val="21"/>
              </w:rPr>
            </w:pPr>
          </w:p>
        </w:tc>
        <w:tc>
          <w:tcPr>
            <w:tcW w:w="2421" w:type="dxa"/>
            <w:gridSpan w:val="2"/>
            <w:tcBorders>
              <w:top w:val="nil"/>
              <w:left w:val="nil"/>
              <w:bottom w:val="single" w:color="auto" w:sz="8" w:space="0"/>
              <w:right w:val="single" w:color="auto" w:sz="8" w:space="0"/>
            </w:tcBorders>
            <w:vAlign w:val="center"/>
          </w:tcPr>
          <w:p w14:paraId="263C7940">
            <w:pPr>
              <w:widowControl/>
              <w:spacing w:before="100" w:beforeAutospacing="1" w:after="100" w:afterAutospacing="1" w:line="240" w:lineRule="atLeast"/>
              <w:jc w:val="center"/>
              <w:rPr>
                <w:rFonts w:ascii="Verdana" w:hAnsi="Verdana"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46330FD4">
            <w:pPr>
              <w:widowControl/>
              <w:spacing w:before="100" w:beforeAutospacing="1" w:after="100" w:afterAutospacing="1" w:line="240" w:lineRule="atLeast"/>
              <w:jc w:val="center"/>
              <w:rPr>
                <w:rFonts w:ascii="Verdana" w:hAnsi="Verdana" w:cs="宋体"/>
                <w:color w:val="auto"/>
                <w:kern w:val="0"/>
                <w:szCs w:val="21"/>
              </w:rPr>
            </w:pPr>
          </w:p>
        </w:tc>
        <w:tc>
          <w:tcPr>
            <w:tcW w:w="2113" w:type="dxa"/>
            <w:gridSpan w:val="2"/>
            <w:tcBorders>
              <w:top w:val="nil"/>
              <w:left w:val="nil"/>
              <w:bottom w:val="single" w:color="auto" w:sz="8" w:space="0"/>
              <w:right w:val="single" w:color="auto" w:sz="8" w:space="0"/>
            </w:tcBorders>
            <w:vAlign w:val="center"/>
          </w:tcPr>
          <w:p w14:paraId="5CB69C2B">
            <w:pPr>
              <w:widowControl/>
              <w:spacing w:before="100" w:beforeAutospacing="1" w:after="100" w:afterAutospacing="1" w:line="240" w:lineRule="atLeast"/>
              <w:jc w:val="center"/>
              <w:rPr>
                <w:rFonts w:ascii="Verdana" w:hAnsi="Verdana" w:cs="宋体"/>
                <w:color w:val="auto"/>
                <w:kern w:val="0"/>
                <w:szCs w:val="21"/>
              </w:rPr>
            </w:pPr>
          </w:p>
        </w:tc>
      </w:tr>
      <w:tr w14:paraId="7C62BC64">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1BB4D9">
            <w:pPr>
              <w:widowControl/>
              <w:snapToGrid w:val="0"/>
              <w:spacing w:before="100" w:beforeAutospacing="1" w:after="100" w:afterAutospacing="1" w:line="320" w:lineRule="atLeast"/>
              <w:jc w:val="left"/>
              <w:rPr>
                <w:rFonts w:ascii="Verdana" w:hAnsi="Verdana" w:cs="宋体"/>
                <w:color w:val="auto"/>
                <w:kern w:val="0"/>
                <w:szCs w:val="21"/>
              </w:rPr>
            </w:pPr>
            <w:r>
              <w:rPr>
                <w:rFonts w:hint="eastAsia" w:ascii="Verdana" w:hAnsi="Verdana" w:cs="宋体"/>
                <w:color w:val="auto"/>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53E31E6B">
            <w:pPr>
              <w:widowControl/>
              <w:snapToGrid w:val="0"/>
              <w:spacing w:before="100" w:beforeAutospacing="1" w:after="100" w:afterAutospacing="1" w:line="320" w:lineRule="atLeast"/>
              <w:jc w:val="left"/>
              <w:rPr>
                <w:rFonts w:ascii="Verdana" w:hAnsi="Verdana" w:cs="宋体"/>
                <w:color w:val="auto"/>
                <w:kern w:val="0"/>
                <w:szCs w:val="21"/>
              </w:rPr>
            </w:pPr>
            <w:r>
              <w:rPr>
                <w:rFonts w:hint="eastAsia" w:ascii="Verdana" w:hAnsi="Verdana" w:cs="宋体"/>
                <w:color w:val="auto"/>
                <w:kern w:val="0"/>
                <w:szCs w:val="21"/>
              </w:rPr>
              <w:t>（应按采购合同、谈判文件、竞标响应文件及验收方案等进行验收；并核对成交供应商在安装调试等方面是否违反合同约定或者服务规范要求、提供的质量保证证明材料是否齐全、应有的配件及附件是否达到合同约定等。可附件</w:t>
            </w:r>
            <w:r>
              <w:rPr>
                <w:rFonts w:ascii="Verdana" w:hAnsi="Verdana" w:cs="宋体"/>
                <w:color w:val="auto"/>
                <w:kern w:val="0"/>
                <w:szCs w:val="21"/>
              </w:rPr>
              <w:t>)</w:t>
            </w:r>
          </w:p>
        </w:tc>
      </w:tr>
      <w:tr w14:paraId="7B642F9D">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28CFBF">
            <w:pPr>
              <w:widowControl/>
              <w:spacing w:before="100" w:beforeAutospacing="1" w:after="100" w:afterAutospacing="1" w:line="320" w:lineRule="atLeast"/>
              <w:jc w:val="left"/>
              <w:rPr>
                <w:rFonts w:ascii="Verdana" w:hAnsi="Verdana" w:cs="宋体"/>
                <w:color w:val="auto"/>
                <w:kern w:val="0"/>
                <w:szCs w:val="21"/>
              </w:rPr>
            </w:pPr>
            <w:r>
              <w:rPr>
                <w:rFonts w:hint="eastAsia" w:ascii="Verdana" w:hAnsi="Verdana" w:cs="宋体"/>
                <w:color w:val="auto"/>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1BAA2146">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hint="eastAsia" w:ascii="Verdana" w:hAnsi="Verdana" w:cs="宋体"/>
                <w:color w:val="auto"/>
                <w:kern w:val="0"/>
                <w:szCs w:val="21"/>
              </w:rPr>
              <w:t>验收结论性意见：</w:t>
            </w:r>
          </w:p>
        </w:tc>
      </w:tr>
      <w:tr w14:paraId="4C1BE0D5">
        <w:tblPrEx>
          <w:tblCellMar>
            <w:top w:w="0" w:type="dxa"/>
            <w:left w:w="0" w:type="dxa"/>
            <w:bottom w:w="0" w:type="dxa"/>
            <w:right w:w="0" w:type="dxa"/>
          </w:tblCellMar>
        </w:tblPrEx>
        <w:trPr>
          <w:trHeight w:val="607" w:hRule="atLeast"/>
          <w:jc w:val="center"/>
        </w:trPr>
        <w:tc>
          <w:tcPr>
            <w:tcW w:w="600" w:type="dxa"/>
            <w:gridSpan w:val="2"/>
            <w:vMerge w:val="continue"/>
            <w:tcBorders>
              <w:top w:val="nil"/>
              <w:left w:val="single" w:color="auto" w:sz="8" w:space="0"/>
              <w:bottom w:val="single" w:color="auto" w:sz="8" w:space="0"/>
              <w:right w:val="single" w:color="auto" w:sz="8" w:space="0"/>
            </w:tcBorders>
            <w:vAlign w:val="center"/>
          </w:tcPr>
          <w:p w14:paraId="7B78EC5C">
            <w:pPr>
              <w:widowControl/>
              <w:jc w:val="left"/>
              <w:rPr>
                <w:rFonts w:ascii="Verdana" w:hAnsi="Verdana" w:cs="宋体"/>
                <w:color w:val="auto"/>
                <w:kern w:val="0"/>
                <w:szCs w:val="21"/>
              </w:rPr>
            </w:pPr>
          </w:p>
        </w:tc>
        <w:tc>
          <w:tcPr>
            <w:tcW w:w="6816" w:type="dxa"/>
            <w:gridSpan w:val="7"/>
            <w:tcBorders>
              <w:top w:val="nil"/>
              <w:left w:val="nil"/>
              <w:bottom w:val="single" w:color="auto" w:sz="8" w:space="0"/>
              <w:right w:val="single" w:color="auto" w:sz="8" w:space="0"/>
            </w:tcBorders>
            <w:vAlign w:val="center"/>
          </w:tcPr>
          <w:p w14:paraId="775BDAAC">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hint="eastAsia" w:ascii="Verdana" w:hAnsi="Verdana" w:cs="宋体"/>
                <w:color w:val="auto"/>
                <w:kern w:val="0"/>
                <w:szCs w:val="21"/>
              </w:rPr>
              <w:t>有异议的意见和说明理由：</w:t>
            </w:r>
          </w:p>
          <w:p w14:paraId="72F2D9C2">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hint="eastAsia" w:ascii="Verdana" w:hAnsi="Verdana" w:cs="宋体"/>
                <w:color w:val="auto"/>
                <w:kern w:val="0"/>
                <w:szCs w:val="21"/>
              </w:rPr>
              <w:t>签字：</w:t>
            </w:r>
          </w:p>
        </w:tc>
      </w:tr>
      <w:tr w14:paraId="4DF7D756">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AF5604">
            <w:pPr>
              <w:widowControl/>
              <w:spacing w:before="100" w:beforeAutospacing="1" w:after="100" w:afterAutospacing="1" w:line="320" w:lineRule="atLeast"/>
              <w:jc w:val="left"/>
              <w:rPr>
                <w:rFonts w:ascii="Verdana" w:hAnsi="Verdana" w:cs="宋体"/>
                <w:color w:val="auto"/>
                <w:kern w:val="0"/>
                <w:szCs w:val="21"/>
              </w:rPr>
            </w:pPr>
            <w:r>
              <w:rPr>
                <w:rFonts w:hint="eastAsia" w:ascii="Verdana" w:hAnsi="Verdana" w:cs="宋体"/>
                <w:color w:val="auto"/>
                <w:kern w:val="0"/>
                <w:szCs w:val="21"/>
              </w:rPr>
              <w:t>验收小组成员签字：</w:t>
            </w:r>
          </w:p>
        </w:tc>
      </w:tr>
      <w:tr w14:paraId="19D3B3CF">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BA93B0">
            <w:pPr>
              <w:widowControl/>
              <w:spacing w:before="100" w:beforeAutospacing="1" w:after="100" w:afterAutospacing="1" w:line="320" w:lineRule="atLeast"/>
              <w:jc w:val="left"/>
              <w:rPr>
                <w:rFonts w:ascii="Verdana" w:hAnsi="Verdana" w:cs="宋体"/>
                <w:color w:val="auto"/>
                <w:kern w:val="0"/>
                <w:szCs w:val="21"/>
              </w:rPr>
            </w:pPr>
            <w:r>
              <w:rPr>
                <w:rFonts w:hint="eastAsia" w:ascii="Verdana" w:hAnsi="Verdana" w:cs="宋体"/>
                <w:color w:val="auto"/>
                <w:kern w:val="0"/>
                <w:szCs w:val="21"/>
              </w:rPr>
              <w:t>监督人员或者其他相关人员签字：</w:t>
            </w:r>
          </w:p>
          <w:p w14:paraId="17D28CE4">
            <w:pPr>
              <w:widowControl/>
              <w:spacing w:before="100" w:beforeAutospacing="1" w:after="100" w:afterAutospacing="1" w:line="320" w:lineRule="atLeast"/>
              <w:ind w:firstLine="74"/>
              <w:jc w:val="left"/>
              <w:rPr>
                <w:rFonts w:ascii="Verdana" w:hAnsi="Verdana" w:cs="宋体"/>
                <w:color w:val="auto"/>
                <w:kern w:val="0"/>
                <w:szCs w:val="21"/>
              </w:rPr>
            </w:pPr>
            <w:r>
              <w:rPr>
                <w:rFonts w:hint="eastAsia" w:ascii="Verdana" w:hAnsi="Verdana" w:cs="宋体"/>
                <w:color w:val="auto"/>
                <w:kern w:val="0"/>
                <w:szCs w:val="21"/>
              </w:rPr>
              <w:t>或者受邀机构的意见（盖章）：</w:t>
            </w:r>
          </w:p>
        </w:tc>
      </w:tr>
      <w:tr w14:paraId="26D95A19">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31476140">
            <w:pPr>
              <w:widowControl/>
              <w:spacing w:before="100" w:beforeAutospacing="1" w:after="100" w:afterAutospacing="1" w:line="320" w:lineRule="atLeast"/>
              <w:jc w:val="left"/>
              <w:rPr>
                <w:rFonts w:ascii="Verdana" w:hAnsi="Verdana" w:cs="宋体"/>
                <w:color w:val="auto"/>
                <w:kern w:val="0"/>
                <w:szCs w:val="21"/>
              </w:rPr>
            </w:pPr>
            <w:r>
              <w:rPr>
                <w:rFonts w:hint="eastAsia" w:ascii="Verdana" w:hAnsi="Verdana" w:cs="宋体"/>
                <w:color w:val="auto"/>
                <w:kern w:val="0"/>
                <w:szCs w:val="21"/>
              </w:rPr>
              <w:t>成交供应商负责人签字或者盖章：</w:t>
            </w:r>
          </w:p>
          <w:p w14:paraId="2DD9D62B">
            <w:pPr>
              <w:widowControl/>
              <w:spacing w:before="100" w:beforeAutospacing="1" w:after="100" w:afterAutospacing="1" w:line="320" w:lineRule="atLeast"/>
              <w:jc w:val="left"/>
              <w:rPr>
                <w:rFonts w:ascii="Verdana" w:hAnsi="Verdana" w:cs="宋体"/>
                <w:color w:val="auto"/>
                <w:kern w:val="0"/>
                <w:szCs w:val="21"/>
              </w:rPr>
            </w:pPr>
          </w:p>
          <w:p w14:paraId="4D4C9681">
            <w:pPr>
              <w:widowControl/>
              <w:spacing w:before="100" w:beforeAutospacing="1" w:after="100" w:afterAutospacing="1" w:line="320" w:lineRule="atLeast"/>
              <w:jc w:val="left"/>
              <w:rPr>
                <w:rFonts w:ascii="Verdana" w:hAnsi="Verdana" w:cs="宋体"/>
                <w:color w:val="auto"/>
                <w:kern w:val="0"/>
                <w:szCs w:val="21"/>
              </w:rPr>
            </w:pPr>
            <w:r>
              <w:rPr>
                <w:rFonts w:hint="eastAsia" w:ascii="Verdana" w:hAnsi="Verdana" w:cs="宋体"/>
                <w:color w:val="auto"/>
                <w:kern w:val="0"/>
                <w:szCs w:val="21"/>
              </w:rPr>
              <w:t>联系电话：   年  月   日</w:t>
            </w:r>
          </w:p>
        </w:tc>
        <w:tc>
          <w:tcPr>
            <w:tcW w:w="4293" w:type="dxa"/>
            <w:gridSpan w:val="4"/>
            <w:tcBorders>
              <w:top w:val="nil"/>
              <w:left w:val="nil"/>
              <w:bottom w:val="single" w:color="auto" w:sz="8" w:space="0"/>
              <w:right w:val="single" w:color="auto" w:sz="8" w:space="0"/>
            </w:tcBorders>
            <w:vAlign w:val="center"/>
          </w:tcPr>
          <w:p w14:paraId="20836077">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hint="eastAsia" w:ascii="Verdana" w:hAnsi="Verdana" w:cs="宋体"/>
                <w:color w:val="auto"/>
                <w:kern w:val="0"/>
                <w:szCs w:val="21"/>
              </w:rPr>
              <w:t>采购人或者受托机构的意见（盖章）：</w:t>
            </w:r>
          </w:p>
          <w:p w14:paraId="2968A712">
            <w:pPr>
              <w:widowControl/>
              <w:spacing w:before="100" w:beforeAutospacing="1" w:after="100" w:afterAutospacing="1" w:line="320" w:lineRule="atLeast"/>
              <w:ind w:firstLine="210" w:firstLineChars="100"/>
              <w:jc w:val="left"/>
              <w:rPr>
                <w:rFonts w:ascii="Verdana" w:hAnsi="Verdana" w:cs="宋体"/>
                <w:color w:val="auto"/>
                <w:kern w:val="0"/>
                <w:szCs w:val="21"/>
              </w:rPr>
            </w:pPr>
          </w:p>
          <w:p w14:paraId="14AE8CCE">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hint="eastAsia" w:ascii="Verdana" w:hAnsi="Verdana" w:cs="宋体"/>
                <w:color w:val="auto"/>
                <w:kern w:val="0"/>
                <w:szCs w:val="21"/>
              </w:rPr>
              <w:t>联系电话：   年   月   日</w:t>
            </w:r>
          </w:p>
        </w:tc>
      </w:tr>
    </w:tbl>
    <w:p w14:paraId="49071811">
      <w:pPr>
        <w:pStyle w:val="17"/>
        <w:spacing w:line="360" w:lineRule="auto"/>
        <w:contextualSpacing/>
        <w:rPr>
          <w:rFonts w:hAnsi="宋体"/>
          <w:color w:val="auto"/>
          <w:sz w:val="21"/>
        </w:rPr>
      </w:pPr>
    </w:p>
    <w:p w14:paraId="34131782">
      <w:pPr>
        <w:pStyle w:val="17"/>
        <w:spacing w:line="360" w:lineRule="auto"/>
        <w:contextualSpacing/>
        <w:rPr>
          <w:rFonts w:ascii="黑体" w:hAnsi="黑体" w:eastAsia="黑体"/>
          <w:b/>
          <w:bCs/>
          <w:color w:val="auto"/>
          <w:sz w:val="28"/>
          <w:szCs w:val="28"/>
        </w:rPr>
      </w:pPr>
      <w:r>
        <w:rPr>
          <w:color w:val="auto"/>
        </w:rPr>
        <w:drawing>
          <wp:anchor distT="0" distB="0" distL="114300" distR="114300" simplePos="0" relativeHeight="251659264" behindDoc="1" locked="0" layoutInCell="1" allowOverlap="1">
            <wp:simplePos x="0" y="0"/>
            <wp:positionH relativeFrom="column">
              <wp:posOffset>-7620</wp:posOffset>
            </wp:positionH>
            <wp:positionV relativeFrom="paragraph">
              <wp:posOffset>345440</wp:posOffset>
            </wp:positionV>
            <wp:extent cx="5532120" cy="7833360"/>
            <wp:effectExtent l="0" t="0" r="11430" b="15240"/>
            <wp:wrapTight wrapText="bothSides">
              <wp:wrapPolygon>
                <wp:start x="-37" y="0"/>
                <wp:lineTo x="-37" y="21574"/>
                <wp:lineTo x="21600" y="21574"/>
                <wp:lineTo x="21600" y="0"/>
                <wp:lineTo x="-37" y="0"/>
              </wp:wrapPolygon>
            </wp:wrapTight>
            <wp:docPr id="1" name="图片 8" descr="2022071321352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20220713213524288"/>
                    <pic:cNvPicPr>
                      <a:picLocks noChangeAspect="1"/>
                    </pic:cNvPicPr>
                  </pic:nvPicPr>
                  <pic:blipFill>
                    <a:blip r:embed="rId9"/>
                    <a:stretch>
                      <a:fillRect/>
                    </a:stretch>
                  </pic:blipFill>
                  <pic:spPr>
                    <a:xfrm>
                      <a:off x="0" y="0"/>
                      <a:ext cx="5532120" cy="7833360"/>
                    </a:xfrm>
                    <a:prstGeom prst="rect">
                      <a:avLst/>
                    </a:prstGeom>
                    <a:noFill/>
                    <a:ln>
                      <a:noFill/>
                    </a:ln>
                  </pic:spPr>
                </pic:pic>
              </a:graphicData>
            </a:graphic>
          </wp:anchor>
        </w:drawing>
      </w:r>
      <w:r>
        <w:rPr>
          <w:rFonts w:hint="eastAsia" w:ascii="黑体" w:hAnsi="黑体" w:eastAsia="黑体"/>
          <w:b/>
          <w:color w:val="auto"/>
          <w:sz w:val="28"/>
          <w:szCs w:val="28"/>
        </w:rPr>
        <w:t>附件2：</w:t>
      </w:r>
    </w:p>
    <w:p w14:paraId="69FC3D35">
      <w:pPr>
        <w:pStyle w:val="17"/>
        <w:spacing w:line="400" w:lineRule="exact"/>
        <w:ind w:firstLine="420" w:firstLineChars="200"/>
        <w:textAlignment w:val="center"/>
        <w:rPr>
          <w:rFonts w:hAnsi="宋体" w:cs="宋体"/>
          <w:color w:val="auto"/>
          <w:kern w:val="2"/>
          <w:sz w:val="21"/>
        </w:rPr>
      </w:pPr>
    </w:p>
    <w:p w14:paraId="1BADDB18">
      <w:pPr>
        <w:pStyle w:val="17"/>
        <w:spacing w:line="360" w:lineRule="auto"/>
        <w:contextualSpacing/>
        <w:rPr>
          <w:rFonts w:hAnsi="宋体"/>
          <w:b/>
          <w:color w:val="auto"/>
          <w:sz w:val="32"/>
          <w:szCs w:val="32"/>
        </w:rPr>
      </w:pPr>
    </w:p>
    <w:p w14:paraId="1E47540E">
      <w:pPr>
        <w:pStyle w:val="2"/>
        <w:spacing w:line="240" w:lineRule="auto"/>
        <w:jc w:val="center"/>
        <w:rPr>
          <w:color w:val="auto"/>
        </w:rPr>
      </w:pPr>
      <w:bookmarkStart w:id="76" w:name="_Toc74322607"/>
      <w:r>
        <w:rPr>
          <w:rFonts w:hint="eastAsia"/>
          <w:color w:val="auto"/>
        </w:rPr>
        <w:t>第三章 采购需求</w:t>
      </w:r>
      <w:bookmarkEnd w:id="76"/>
    </w:p>
    <w:p w14:paraId="0FBF64EE">
      <w:pPr>
        <w:spacing w:line="440" w:lineRule="exact"/>
        <w:jc w:val="center"/>
        <w:rPr>
          <w:rFonts w:ascii="宋体" w:hAnsi="宋体"/>
          <w:b/>
          <w:color w:val="auto"/>
          <w:sz w:val="32"/>
          <w:szCs w:val="32"/>
        </w:rPr>
      </w:pPr>
      <w:r>
        <w:rPr>
          <w:rFonts w:hint="eastAsia" w:ascii="宋体" w:hAnsi="宋体"/>
          <w:b/>
          <w:color w:val="auto"/>
          <w:sz w:val="32"/>
          <w:szCs w:val="32"/>
        </w:rPr>
        <w:t>采购项目技术规格、参数及要求</w:t>
      </w:r>
    </w:p>
    <w:p w14:paraId="7B89CDBF">
      <w:pPr>
        <w:spacing w:line="380" w:lineRule="exact"/>
        <w:jc w:val="left"/>
        <w:rPr>
          <w:rFonts w:ascii="宋体" w:hAnsi="宋体" w:cs="宋体"/>
          <w:b/>
          <w:color w:val="auto"/>
          <w:szCs w:val="21"/>
        </w:rPr>
      </w:pPr>
      <w:r>
        <w:rPr>
          <w:rFonts w:hint="eastAsia" w:ascii="宋体" w:hAnsi="宋体" w:cs="宋体"/>
          <w:b/>
          <w:color w:val="auto"/>
          <w:szCs w:val="21"/>
        </w:rPr>
        <w:t>Ⅰ.说明：</w:t>
      </w:r>
    </w:p>
    <w:p w14:paraId="4B3856F7">
      <w:pPr>
        <w:spacing w:line="370" w:lineRule="exact"/>
        <w:ind w:firstLine="420" w:firstLineChars="200"/>
        <w:jc w:val="left"/>
        <w:rPr>
          <w:rFonts w:ascii="宋体" w:hAnsi="宋体" w:cs="宋体"/>
          <w:color w:val="auto"/>
          <w:szCs w:val="21"/>
        </w:rPr>
      </w:pPr>
      <w:r>
        <w:rPr>
          <w:rFonts w:hint="eastAsia" w:ascii="宋体" w:hAnsi="宋体"/>
          <w:color w:val="auto"/>
        </w:rPr>
        <w:t>1</w:t>
      </w:r>
      <w:r>
        <w:rPr>
          <w:rFonts w:hint="eastAsia"/>
          <w:color w:val="auto"/>
        </w:rPr>
        <w:t>. 为落实政府采购政策需满足的要求</w:t>
      </w:r>
    </w:p>
    <w:p w14:paraId="769029A4">
      <w:pPr>
        <w:spacing w:line="370" w:lineRule="exact"/>
        <w:ind w:firstLine="420" w:firstLineChars="200"/>
        <w:jc w:val="left"/>
        <w:rPr>
          <w:rFonts w:ascii="宋体" w:hAnsi="宋体" w:cs="宋体"/>
          <w:color w:val="auto"/>
          <w:szCs w:val="21"/>
        </w:rPr>
      </w:pPr>
      <w:r>
        <w:rPr>
          <w:rFonts w:hint="eastAsia" w:ascii="宋体" w:hAnsi="宋体" w:cs="宋体"/>
          <w:color w:val="auto"/>
          <w:szCs w:val="21"/>
        </w:rPr>
        <w:t>（1）本竞争性磋商采购文件所称中小企业必须符合《政府采购促进中小企业发展管理办法》（财库〔</w:t>
      </w:r>
      <w:r>
        <w:rPr>
          <w:rFonts w:ascii="宋体" w:hAnsi="宋体" w:cs="宋体"/>
          <w:color w:val="auto"/>
          <w:szCs w:val="21"/>
        </w:rPr>
        <w:t>2020</w:t>
      </w:r>
      <w:r>
        <w:rPr>
          <w:rFonts w:hint="eastAsia" w:ascii="宋体" w:hAnsi="宋体" w:cs="宋体"/>
          <w:color w:val="auto"/>
          <w:szCs w:val="21"/>
        </w:rPr>
        <w:t>〕</w:t>
      </w:r>
      <w:r>
        <w:rPr>
          <w:rFonts w:ascii="宋体" w:hAnsi="宋体" w:cs="宋体"/>
          <w:color w:val="auto"/>
          <w:szCs w:val="21"/>
        </w:rPr>
        <w:t>46</w:t>
      </w:r>
      <w:r>
        <w:rPr>
          <w:rFonts w:hint="eastAsia" w:ascii="宋体" w:hAnsi="宋体" w:cs="宋体"/>
          <w:color w:val="auto"/>
          <w:szCs w:val="21"/>
        </w:rPr>
        <w:t>号）及</w:t>
      </w:r>
      <w:r>
        <w:rPr>
          <w:rFonts w:hint="eastAsia" w:ascii="宋体" w:hAnsi="宋体"/>
          <w:bCs/>
          <w:color w:val="auto"/>
          <w:szCs w:val="21"/>
        </w:rPr>
        <w:t>《广西壮族自治区财政厅关于持续优化政府采购营商环境推动高质量发展的通知》（桂财采〔2024〕55号）</w:t>
      </w:r>
      <w:r>
        <w:rPr>
          <w:rFonts w:hint="eastAsia" w:ascii="宋体" w:hAnsi="宋体" w:cs="宋体"/>
          <w:color w:val="auto"/>
          <w:szCs w:val="21"/>
        </w:rPr>
        <w:t>的规定。供应商提供的货物全部由符合政策要求的小型或者微型企业生产，响应文件中提供《中小企业声明函》的，其最后报价给予1</w:t>
      </w:r>
      <w:r>
        <w:rPr>
          <w:rFonts w:ascii="宋体" w:hAnsi="宋体" w:cs="宋体"/>
          <w:color w:val="auto"/>
          <w:szCs w:val="21"/>
        </w:rPr>
        <w:t>0%</w:t>
      </w:r>
      <w:r>
        <w:rPr>
          <w:rFonts w:hint="eastAsia" w:ascii="宋体" w:hAnsi="宋体" w:cs="宋体"/>
          <w:color w:val="auto"/>
          <w:szCs w:val="21"/>
        </w:rPr>
        <w:t>的扣除。本项目非专门面向中小微企业采购。</w:t>
      </w:r>
    </w:p>
    <w:p w14:paraId="54B6D6C8">
      <w:pPr>
        <w:spacing w:line="370" w:lineRule="exact"/>
        <w:ind w:firstLine="424" w:firstLineChars="202"/>
        <w:jc w:val="left"/>
        <w:rPr>
          <w:rFonts w:ascii="宋体" w:hAnsi="宋体"/>
          <w:color w:val="auto"/>
          <w:szCs w:val="21"/>
        </w:rPr>
      </w:pPr>
      <w:r>
        <w:rPr>
          <w:rFonts w:hint="eastAsia" w:ascii="宋体" w:hAnsi="宋体" w:cs="宋体"/>
          <w:color w:val="auto"/>
          <w:szCs w:val="21"/>
        </w:rPr>
        <w:t>（2）根据财政部、司法部关于政府采购支持监狱企业发展有关问题的通知（财库[2014]68号），监狱企业视同小型、微型企业，享受预留份额等政府采购政策。</w:t>
      </w:r>
      <w:r>
        <w:rPr>
          <w:rFonts w:hint="eastAsia" w:ascii="宋体" w:hAnsi="宋体"/>
          <w:bCs/>
          <w:color w:val="auto"/>
          <w:szCs w:val="21"/>
        </w:rPr>
        <w:t>监狱企业属于小型、微型企业的，</w:t>
      </w:r>
      <w:r>
        <w:rPr>
          <w:rFonts w:hint="eastAsia" w:ascii="宋体" w:hAnsi="宋体"/>
          <w:color w:val="auto"/>
          <w:szCs w:val="21"/>
        </w:rPr>
        <w:t>不重复享受政策。</w:t>
      </w:r>
    </w:p>
    <w:p w14:paraId="0D0D0081">
      <w:pPr>
        <w:spacing w:line="370" w:lineRule="exact"/>
        <w:ind w:firstLine="424" w:firstLineChars="202"/>
        <w:jc w:val="left"/>
        <w:rPr>
          <w:rFonts w:ascii="宋体" w:hAnsi="宋体" w:cs="宋体"/>
          <w:color w:val="auto"/>
          <w:szCs w:val="21"/>
        </w:rPr>
      </w:pPr>
      <w:r>
        <w:rPr>
          <w:rFonts w:hint="eastAsia" w:ascii="宋体" w:hAnsi="宋体" w:cs="宋体"/>
          <w:color w:val="auto"/>
          <w:szCs w:val="21"/>
        </w:rPr>
        <w:t>（3）按照《关于促进残疾人就业政府采购政策的通知》（财库〔2017〕141号）的规定，残疾人福利性单位视同小型、微型企业，享受预留份额等促进中小企业发展的政府采购政策。残疾人福利性单位属于小型、微型企业的，不重复享受政策。</w:t>
      </w:r>
    </w:p>
    <w:p w14:paraId="7911ED3B">
      <w:pPr>
        <w:spacing w:line="37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）本项目为服务项目，相应执行政府采购政策。</w:t>
      </w:r>
    </w:p>
    <w:p w14:paraId="57358377">
      <w:pPr>
        <w:spacing w:line="37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color w:val="auto"/>
        </w:rPr>
        <w:t>供应商必须自行为其竞标产品侵犯他人的知识产权或者专利成果或其他合法权益的行为承担相应法律责任。</w:t>
      </w:r>
    </w:p>
    <w:p w14:paraId="272CCB07">
      <w:pPr>
        <w:spacing w:line="370" w:lineRule="exact"/>
        <w:ind w:firstLine="426" w:firstLineChars="202"/>
        <w:jc w:val="left"/>
        <w:rPr>
          <w:rFonts w:ascii="宋体" w:hAnsi="宋体" w:cs="宋体"/>
          <w:b/>
          <w:bCs/>
          <w:color w:val="auto"/>
          <w:szCs w:val="21"/>
        </w:rPr>
      </w:pPr>
      <w:r>
        <w:rPr>
          <w:rFonts w:hint="eastAsia" w:ascii="宋体" w:hAnsi="宋体" w:cs="宋体"/>
          <w:b/>
          <w:bCs/>
          <w:color w:val="auto"/>
          <w:szCs w:val="21"/>
        </w:rPr>
        <w:t>3.“实质性要求”是指采购需求中标注“★”的条款或者不能负偏离的条款或者已经指明不满足按响应文件按无效处理的条款，若有一项负偏离，响应文件按无效处理。供应商</w:t>
      </w:r>
      <w:r>
        <w:rPr>
          <w:rFonts w:ascii="宋体" w:hAnsi="宋体" w:cs="宋体"/>
          <w:b/>
          <w:bCs/>
          <w:color w:val="auto"/>
          <w:szCs w:val="21"/>
        </w:rPr>
        <w:t>对“技术（服务）要求”</w:t>
      </w:r>
      <w:r>
        <w:rPr>
          <w:rFonts w:hint="eastAsia" w:ascii="宋体" w:hAnsi="宋体" w:cs="宋体"/>
          <w:b/>
          <w:bCs/>
          <w:color w:val="auto"/>
          <w:szCs w:val="21"/>
        </w:rPr>
        <w:t>中未标注“★”</w:t>
      </w:r>
      <w:r>
        <w:rPr>
          <w:rFonts w:ascii="宋体" w:hAnsi="宋体" w:cs="宋体"/>
          <w:b/>
          <w:bCs/>
          <w:color w:val="auto"/>
          <w:szCs w:val="21"/>
        </w:rPr>
        <w:t>条款发生负偏离的</w:t>
      </w:r>
      <w:r>
        <w:rPr>
          <w:rFonts w:hint="eastAsia" w:ascii="宋体" w:hAnsi="宋体" w:cs="宋体"/>
          <w:b/>
          <w:bCs/>
          <w:color w:val="auto"/>
          <w:szCs w:val="21"/>
        </w:rPr>
        <w:t>项</w:t>
      </w:r>
      <w:r>
        <w:rPr>
          <w:rFonts w:ascii="宋体" w:hAnsi="宋体" w:cs="宋体"/>
          <w:b/>
          <w:bCs/>
          <w:color w:val="auto"/>
          <w:szCs w:val="21"/>
        </w:rPr>
        <w:t>数≥</w:t>
      </w:r>
      <w:r>
        <w:rPr>
          <w:rFonts w:hint="eastAsia" w:ascii="宋体" w:hAnsi="宋体" w:cs="宋体"/>
          <w:b/>
          <w:bCs/>
          <w:color w:val="auto"/>
          <w:szCs w:val="21"/>
        </w:rPr>
        <w:t xml:space="preserve"> 6</w:t>
      </w:r>
      <w:r>
        <w:rPr>
          <w:rFonts w:ascii="宋体" w:hAnsi="宋体" w:cs="宋体"/>
          <w:b/>
          <w:bCs/>
          <w:color w:val="auto"/>
          <w:szCs w:val="21"/>
        </w:rPr>
        <w:t>项的</w:t>
      </w:r>
      <w:r>
        <w:rPr>
          <w:rFonts w:hint="eastAsia" w:ascii="宋体" w:hAnsi="宋体" w:cs="宋体"/>
          <w:b/>
          <w:bCs/>
          <w:color w:val="auto"/>
          <w:szCs w:val="21"/>
        </w:rPr>
        <w:t>，</w:t>
      </w:r>
      <w:r>
        <w:rPr>
          <w:rFonts w:ascii="宋体" w:hAnsi="宋体" w:cs="宋体"/>
          <w:b/>
          <w:bCs/>
          <w:color w:val="auto"/>
          <w:szCs w:val="21"/>
        </w:rPr>
        <w:t>按</w:t>
      </w:r>
      <w:r>
        <w:rPr>
          <w:rFonts w:hint="eastAsia" w:ascii="宋体" w:hAnsi="宋体" w:cs="宋体"/>
          <w:b/>
          <w:bCs/>
          <w:color w:val="auto"/>
          <w:szCs w:val="21"/>
        </w:rPr>
        <w:t>响应文件</w:t>
      </w:r>
      <w:r>
        <w:rPr>
          <w:rFonts w:ascii="宋体" w:hAnsi="宋体" w:cs="宋体"/>
          <w:b/>
          <w:bCs/>
          <w:color w:val="auto"/>
          <w:szCs w:val="21"/>
        </w:rPr>
        <w:t>无效处理</w:t>
      </w:r>
      <w:r>
        <w:rPr>
          <w:rFonts w:hint="eastAsia" w:ascii="宋体" w:hAnsi="宋体" w:cs="宋体"/>
          <w:b/>
          <w:color w:val="auto"/>
          <w:szCs w:val="21"/>
        </w:rPr>
        <w:t>。</w:t>
      </w:r>
    </w:p>
    <w:p w14:paraId="106A3278">
      <w:pPr>
        <w:spacing w:line="370" w:lineRule="exact"/>
        <w:ind w:firstLine="426" w:firstLineChars="202"/>
        <w:jc w:val="left"/>
        <w:rPr>
          <w:rFonts w:ascii="宋体" w:hAnsi="宋体"/>
          <w:b/>
          <w:color w:val="auto"/>
          <w:szCs w:val="21"/>
        </w:rPr>
      </w:pPr>
      <w:r>
        <w:rPr>
          <w:rFonts w:hint="eastAsia" w:ascii="宋体" w:hAnsi="宋体"/>
          <w:b/>
          <w:bCs/>
          <w:color w:val="auto"/>
          <w:szCs w:val="21"/>
        </w:rPr>
        <w:t>4.</w:t>
      </w:r>
      <w:r>
        <w:rPr>
          <w:rFonts w:hint="eastAsia" w:ascii="宋体" w:hAnsi="宋体"/>
          <w:b/>
          <w:color w:val="auto"/>
          <w:szCs w:val="21"/>
        </w:rPr>
        <w:t>最高限价</w:t>
      </w:r>
      <w:r>
        <w:rPr>
          <w:rFonts w:hint="eastAsia" w:ascii="宋体" w:hAnsi="宋体"/>
          <w:b/>
          <w:bCs/>
          <w:color w:val="auto"/>
          <w:szCs w:val="21"/>
        </w:rPr>
        <w:t>：</w:t>
      </w:r>
      <w:r>
        <w:rPr>
          <w:rFonts w:hint="eastAsia" w:ascii="宋体" w:hAnsi="宋体"/>
          <w:b/>
          <w:color w:val="auto"/>
          <w:szCs w:val="21"/>
        </w:rPr>
        <w:t>本项目最高限价为人民币壹佰捌拾叁万元整（¥1830000.00），供应商磋商报价（包含首次报价、最后报价）超最高限价的，响应文件按无效处理</w:t>
      </w:r>
      <w:r>
        <w:rPr>
          <w:rFonts w:hint="eastAsia" w:ascii="宋体" w:hAnsi="宋体"/>
          <w:b/>
          <w:color w:val="auto"/>
          <w:szCs w:val="21"/>
          <w:lang w:eastAsia="zh-CN"/>
        </w:rPr>
        <w:t>。</w:t>
      </w:r>
    </w:p>
    <w:p w14:paraId="4ACA9DDC">
      <w:pPr>
        <w:spacing w:line="370" w:lineRule="exact"/>
        <w:ind w:firstLine="426" w:firstLineChars="202"/>
        <w:jc w:val="left"/>
        <w:rPr>
          <w:rFonts w:ascii="宋体" w:hAnsi="宋体"/>
          <w:b/>
          <w:color w:val="auto"/>
          <w:szCs w:val="21"/>
        </w:rPr>
      </w:pPr>
      <w:r>
        <w:rPr>
          <w:rFonts w:hint="eastAsia" w:ascii="宋体" w:hAnsi="宋体"/>
          <w:b/>
          <w:color w:val="auto"/>
          <w:szCs w:val="21"/>
        </w:rPr>
        <w:t>5.本项目标的所属行业：软件和信息技术服务业。</w:t>
      </w:r>
    </w:p>
    <w:p w14:paraId="4B89BE92">
      <w:pPr>
        <w:spacing w:line="360" w:lineRule="exact"/>
        <w:ind w:left="-2" w:leftChars="-1"/>
        <w:jc w:val="left"/>
        <w:rPr>
          <w:rFonts w:ascii="宋体" w:hAnsi="宋体"/>
          <w:b/>
          <w:color w:val="auto"/>
          <w:szCs w:val="21"/>
        </w:rPr>
      </w:pPr>
      <w:r>
        <w:rPr>
          <w:rFonts w:hint="eastAsia" w:ascii="宋体" w:hAnsi="宋体"/>
          <w:b/>
          <w:color w:val="auto"/>
          <w:szCs w:val="21"/>
        </w:rPr>
        <w:t>Ⅱ.采购需求一览表</w:t>
      </w:r>
    </w:p>
    <w:tbl>
      <w:tblPr>
        <w:tblStyle w:val="28"/>
        <w:tblW w:w="87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8"/>
        <w:gridCol w:w="361"/>
        <w:gridCol w:w="359"/>
        <w:gridCol w:w="6776"/>
      </w:tblGrid>
      <w:tr w14:paraId="4F6F0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8794" w:type="dxa"/>
            <w:gridSpan w:val="4"/>
            <w:vAlign w:val="center"/>
          </w:tcPr>
          <w:p w14:paraId="44707B95">
            <w:pPr>
              <w:tabs>
                <w:tab w:val="left" w:pos="180"/>
                <w:tab w:val="left" w:pos="1620"/>
              </w:tabs>
              <w:spacing w:line="320" w:lineRule="exact"/>
              <w:jc w:val="left"/>
              <w:rPr>
                <w:rFonts w:ascii="宋体" w:hAnsi="宋体" w:cs="宋体"/>
                <w:b/>
                <w:color w:val="auto"/>
                <w:szCs w:val="21"/>
              </w:rPr>
            </w:pPr>
            <w:bookmarkStart w:id="77" w:name="_Toc74322608"/>
            <w:r>
              <w:rPr>
                <w:rFonts w:hint="eastAsia" w:ascii="宋体" w:hAnsi="宋体" w:cs="宋体"/>
                <w:b/>
                <w:color w:val="auto"/>
                <w:szCs w:val="21"/>
              </w:rPr>
              <w:t>一、采购内容</w:t>
            </w:r>
          </w:p>
        </w:tc>
      </w:tr>
      <w:tr w14:paraId="3C568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298" w:type="dxa"/>
            <w:vAlign w:val="center"/>
          </w:tcPr>
          <w:p w14:paraId="2EFA3D86">
            <w:pPr>
              <w:tabs>
                <w:tab w:val="left" w:pos="180"/>
                <w:tab w:val="left" w:pos="1620"/>
              </w:tabs>
              <w:spacing w:line="320" w:lineRule="exact"/>
              <w:jc w:val="center"/>
              <w:rPr>
                <w:rFonts w:ascii="宋体" w:hAnsi="宋体" w:cs="宋体"/>
                <w:color w:val="auto"/>
                <w:szCs w:val="21"/>
              </w:rPr>
            </w:pPr>
            <w:r>
              <w:rPr>
                <w:rFonts w:hint="eastAsia" w:ascii="宋体" w:hAnsi="宋体" w:cs="宋体"/>
                <w:color w:val="auto"/>
                <w:szCs w:val="21"/>
              </w:rPr>
              <w:t>标的的名称</w:t>
            </w:r>
          </w:p>
        </w:tc>
        <w:tc>
          <w:tcPr>
            <w:tcW w:w="720" w:type="dxa"/>
            <w:gridSpan w:val="2"/>
            <w:vAlign w:val="center"/>
          </w:tcPr>
          <w:p w14:paraId="3229DA34">
            <w:pPr>
              <w:tabs>
                <w:tab w:val="left" w:pos="180"/>
                <w:tab w:val="left" w:pos="1620"/>
              </w:tabs>
              <w:spacing w:line="320" w:lineRule="exact"/>
              <w:jc w:val="center"/>
              <w:rPr>
                <w:rFonts w:ascii="宋体" w:hAnsi="宋体" w:cs="宋体"/>
                <w:color w:val="auto"/>
                <w:szCs w:val="21"/>
              </w:rPr>
            </w:pPr>
            <w:r>
              <w:rPr>
                <w:rFonts w:hint="eastAsia" w:ascii="宋体" w:hAnsi="宋体" w:cs="宋体"/>
                <w:color w:val="auto"/>
                <w:szCs w:val="21"/>
              </w:rPr>
              <w:t>数量单位</w:t>
            </w:r>
          </w:p>
        </w:tc>
        <w:tc>
          <w:tcPr>
            <w:tcW w:w="6776" w:type="dxa"/>
            <w:vAlign w:val="center"/>
          </w:tcPr>
          <w:p w14:paraId="6116D5F5">
            <w:pPr>
              <w:tabs>
                <w:tab w:val="left" w:pos="180"/>
                <w:tab w:val="left" w:pos="1620"/>
              </w:tabs>
              <w:spacing w:line="320" w:lineRule="exact"/>
              <w:jc w:val="center"/>
              <w:rPr>
                <w:rFonts w:ascii="宋体" w:hAnsi="宋体" w:cs="宋体"/>
                <w:color w:val="auto"/>
                <w:szCs w:val="21"/>
              </w:rPr>
            </w:pPr>
            <w:r>
              <w:rPr>
                <w:rFonts w:hint="eastAsia" w:ascii="宋体" w:hAnsi="宋体" w:cs="宋体"/>
                <w:color w:val="auto"/>
                <w:szCs w:val="21"/>
              </w:rPr>
              <w:t>技术（服务）要求</w:t>
            </w:r>
          </w:p>
        </w:tc>
      </w:tr>
      <w:tr w14:paraId="38528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298" w:type="dxa"/>
            <w:vAlign w:val="center"/>
          </w:tcPr>
          <w:p w14:paraId="34B928A0">
            <w:pPr>
              <w:tabs>
                <w:tab w:val="left" w:pos="180"/>
                <w:tab w:val="left" w:pos="1620"/>
              </w:tabs>
              <w:spacing w:line="400" w:lineRule="exact"/>
              <w:jc w:val="center"/>
              <w:rPr>
                <w:rFonts w:hint="eastAsia" w:ascii="宋体" w:hAnsi="宋体" w:cs="宋体"/>
                <w:color w:val="auto"/>
                <w:szCs w:val="21"/>
              </w:rPr>
            </w:pPr>
            <w:r>
              <w:rPr>
                <w:rFonts w:hint="eastAsia" w:ascii="宋体" w:hAnsi="宋体" w:cs="宋体"/>
                <w:color w:val="auto"/>
                <w:szCs w:val="21"/>
              </w:rPr>
              <w:t>直线加速器维保</w:t>
            </w:r>
          </w:p>
        </w:tc>
        <w:tc>
          <w:tcPr>
            <w:tcW w:w="720" w:type="dxa"/>
            <w:gridSpan w:val="2"/>
            <w:vAlign w:val="center"/>
          </w:tcPr>
          <w:p w14:paraId="23EA1487">
            <w:pPr>
              <w:tabs>
                <w:tab w:val="left" w:pos="180"/>
                <w:tab w:val="left" w:pos="1620"/>
              </w:tabs>
              <w:spacing w:line="400" w:lineRule="exact"/>
              <w:jc w:val="center"/>
              <w:rPr>
                <w:rFonts w:hint="eastAsia" w:ascii="宋体" w:hAnsi="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eastAsia="zh-CN"/>
              </w:rPr>
              <w:t>台</w:t>
            </w:r>
          </w:p>
        </w:tc>
        <w:tc>
          <w:tcPr>
            <w:tcW w:w="6776" w:type="dxa"/>
            <w:vAlign w:val="center"/>
          </w:tcPr>
          <w:p w14:paraId="7DE32901">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一、设备服务范围：</w:t>
            </w:r>
          </w:p>
          <w:p w14:paraId="32DA57BB">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1、瓦里安unique加速器系统(整机保，含人工和零件费)；</w:t>
            </w:r>
          </w:p>
          <w:p w14:paraId="5DFD0109">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2、网络ARIA软件维护（要求保软件和硬件）；</w:t>
            </w:r>
          </w:p>
          <w:p w14:paraId="3142B16F">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3、pinnacle计划系统的维护（要求保软件和硬件）；</w:t>
            </w:r>
          </w:p>
          <w:p w14:paraId="3EAFF89E">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4、稳压电源，水冷机，病人定位用激光灯，空气压缩机，监控系统，对讲系统等第三方设备；</w:t>
            </w:r>
          </w:p>
          <w:p w14:paraId="6F04C730">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5、现有pinnacle tps 备份系统保修。</w:t>
            </w:r>
          </w:p>
          <w:p w14:paraId="35DE2F5F">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二、服务要求</w:t>
            </w:r>
          </w:p>
          <w:p w14:paraId="2D2DEA3A">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（一）供应商服务能力及人员要求　　</w:t>
            </w:r>
          </w:p>
          <w:p w14:paraId="0CED3321">
            <w:pPr>
              <w:tabs>
                <w:tab w:val="left" w:pos="180"/>
                <w:tab w:val="left" w:pos="1620"/>
              </w:tabs>
              <w:spacing w:line="400" w:lineRule="exact"/>
              <w:jc w:val="left"/>
              <w:rPr>
                <w:rFonts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1、</w:t>
            </w:r>
            <w:r>
              <w:rPr>
                <w:rFonts w:hint="eastAsia" w:ascii="宋体" w:hAnsi="宋体" w:cs="宋体"/>
                <w:color w:val="auto"/>
                <w:szCs w:val="21"/>
                <w:lang w:eastAsia="zh-Hans"/>
              </w:rPr>
              <w:t>因</w:t>
            </w:r>
            <w:r>
              <w:rPr>
                <w:rFonts w:hint="eastAsia" w:ascii="宋体" w:hAnsi="宋体" w:cs="宋体"/>
                <w:color w:val="auto"/>
                <w:szCs w:val="21"/>
              </w:rPr>
              <w:t>直线加速器属于大型精密治疗设备，技术难度高，维修技术要求严格，直接关系病人安危，维修过程存在高强度连续工作的情况同时又是放射性相关工作，年龄较大人员可能在身体承受能力方面存在风险，影响维修及时性和安全性，为确保安全有效，故本项目配备的加速器维保工程师，年龄不得超过60周岁。</w:t>
            </w:r>
          </w:p>
          <w:p w14:paraId="1A2D3F5D">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2、供应商</w:t>
            </w:r>
            <w:r>
              <w:rPr>
                <w:rFonts w:hint="eastAsia" w:ascii="宋体" w:hAnsi="宋体" w:cs="宋体"/>
                <w:color w:val="auto"/>
                <w:szCs w:val="21"/>
                <w:lang w:eastAsia="zh-Hans"/>
              </w:rPr>
              <w:t>为本项目</w:t>
            </w:r>
            <w:r>
              <w:rPr>
                <w:rFonts w:hint="eastAsia" w:ascii="宋体" w:hAnsi="宋体" w:cs="宋体"/>
                <w:color w:val="auto"/>
                <w:szCs w:val="21"/>
              </w:rPr>
              <w:t>提供环保部门颁发的辐射安全许可证（范围需为使用Ⅱ类射线装置）；设备维修维保过程中涉及放射线维修的服务工程师须符合 《放射工作人员职业健康管理办法》相关要求（响应文件中提供≥ 13名由行政主管部门颁发的《核技术利用辐射安全与防护》考核合格证及其外照射个人剂量监测检测报告复印件、近两年放射职业健康体检记录，</w:t>
            </w:r>
            <w:r>
              <w:rPr>
                <w:rFonts w:hint="eastAsia" w:ascii="宋体" w:hAnsi="宋体" w:cs="宋体"/>
                <w:color w:val="auto"/>
                <w:kern w:val="0"/>
                <w:szCs w:val="21"/>
                <w:lang w:bidi="ar"/>
              </w:rPr>
              <w:t>并于响应文件中提供社保证明</w:t>
            </w:r>
            <w:r>
              <w:rPr>
                <w:rFonts w:hint="eastAsia" w:ascii="宋体" w:hAnsi="宋体" w:cs="宋体"/>
                <w:color w:val="auto"/>
                <w:szCs w:val="21"/>
              </w:rPr>
              <w:t>）。</w:t>
            </w:r>
          </w:p>
          <w:p w14:paraId="3DD7996C">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kern w:val="0"/>
                <w:szCs w:val="21"/>
                <w:lang w:bidi="ar"/>
              </w:rPr>
              <w:t>▲</w:t>
            </w:r>
            <w:r>
              <w:rPr>
                <w:rFonts w:hint="eastAsia" w:ascii="宋体" w:hAnsi="宋体" w:cs="宋体"/>
                <w:color w:val="auto"/>
                <w:szCs w:val="21"/>
              </w:rPr>
              <w:t>3、供应商为本项目配备不少于1名经</w:t>
            </w:r>
            <w:r>
              <w:rPr>
                <w:rFonts w:hint="eastAsia" w:ascii="宋体" w:hAnsi="宋体" w:cs="宋体"/>
                <w:color w:val="auto"/>
                <w:szCs w:val="21"/>
                <w:lang w:eastAsia="zh-Hans"/>
              </w:rPr>
              <w:t>瓦里安</w:t>
            </w:r>
            <w:r>
              <w:rPr>
                <w:rFonts w:hint="eastAsia" w:ascii="宋体" w:hAnsi="宋体" w:cs="宋体"/>
                <w:color w:val="auto"/>
                <w:szCs w:val="21"/>
              </w:rPr>
              <w:t>原厂硬件维修培训的专业维修人员，</w:t>
            </w:r>
            <w:r>
              <w:rPr>
                <w:rFonts w:hint="eastAsia" w:ascii="宋体" w:hAnsi="宋体" w:cs="宋体"/>
                <w:color w:val="auto"/>
                <w:kern w:val="0"/>
                <w:szCs w:val="21"/>
                <w:lang w:bidi="ar"/>
              </w:rPr>
              <w:t>并于响应文件中提供社保证明</w:t>
            </w:r>
            <w:r>
              <w:rPr>
                <w:rFonts w:hint="eastAsia" w:ascii="宋体" w:hAnsi="宋体" w:cs="宋体"/>
                <w:color w:val="auto"/>
                <w:szCs w:val="21"/>
              </w:rPr>
              <w:t>；</w:t>
            </w:r>
          </w:p>
          <w:p w14:paraId="6EF124FA">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kern w:val="0"/>
                <w:szCs w:val="21"/>
                <w:lang w:bidi="ar"/>
              </w:rPr>
              <w:t>▲</w:t>
            </w:r>
            <w:r>
              <w:rPr>
                <w:rFonts w:hint="eastAsia" w:ascii="宋体" w:hAnsi="宋体" w:cs="宋体"/>
                <w:color w:val="auto"/>
                <w:szCs w:val="21"/>
              </w:rPr>
              <w:t>4、供应商为本项目配备不少于1名经</w:t>
            </w:r>
            <w:r>
              <w:rPr>
                <w:rFonts w:hint="eastAsia" w:ascii="宋体" w:hAnsi="宋体" w:cs="宋体"/>
                <w:color w:val="auto"/>
                <w:szCs w:val="21"/>
                <w:lang w:eastAsia="zh-Hans"/>
              </w:rPr>
              <w:t>瓦里安原厂</w:t>
            </w:r>
            <w:r>
              <w:rPr>
                <w:rFonts w:hint="eastAsia" w:ascii="宋体" w:hAnsi="宋体" w:cs="宋体"/>
                <w:color w:val="auto"/>
                <w:szCs w:val="21"/>
              </w:rPr>
              <w:t>ARIA 软件维修培训的专业维修人员，</w:t>
            </w:r>
            <w:r>
              <w:rPr>
                <w:rFonts w:hint="eastAsia" w:ascii="宋体" w:hAnsi="宋体" w:cs="宋体"/>
                <w:color w:val="auto"/>
                <w:kern w:val="0"/>
                <w:szCs w:val="21"/>
                <w:lang w:bidi="ar"/>
              </w:rPr>
              <w:t>并于响应文件中提供社保证明</w:t>
            </w:r>
            <w:r>
              <w:rPr>
                <w:rFonts w:hint="eastAsia" w:ascii="宋体" w:hAnsi="宋体" w:cs="宋体"/>
                <w:color w:val="auto"/>
                <w:szCs w:val="21"/>
              </w:rPr>
              <w:t>；</w:t>
            </w:r>
          </w:p>
          <w:p w14:paraId="35110ED1">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▲5、供应商</w:t>
            </w:r>
            <w:r>
              <w:rPr>
                <w:rFonts w:hint="eastAsia" w:ascii="宋体" w:hAnsi="宋体" w:cs="宋体"/>
                <w:color w:val="auto"/>
                <w:szCs w:val="21"/>
                <w:lang w:eastAsia="zh-Hans"/>
              </w:rPr>
              <w:t>为本项目配备</w:t>
            </w:r>
            <w:r>
              <w:rPr>
                <w:rFonts w:hint="eastAsia" w:ascii="宋体" w:hAnsi="宋体" w:cs="宋体"/>
                <w:color w:val="auto"/>
                <w:szCs w:val="21"/>
              </w:rPr>
              <w:t>具有经飞利浦原厂培训的pinnacle维修工程师（并于响应文件中提供培训证书复印件以及社保证明材料）；</w:t>
            </w:r>
          </w:p>
          <w:p w14:paraId="77FD2211">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6、供应商为本项目配备不少于4名拥有高级工程师证书（需为医疗设备维修类别）的专业维修人员，</w:t>
            </w:r>
            <w:r>
              <w:rPr>
                <w:rFonts w:hint="eastAsia" w:ascii="宋体" w:hAnsi="宋体" w:cs="宋体"/>
                <w:color w:val="auto"/>
                <w:kern w:val="0"/>
                <w:szCs w:val="21"/>
                <w:lang w:bidi="ar"/>
              </w:rPr>
              <w:t>并于响应文件中提供社保证明</w:t>
            </w:r>
            <w:r>
              <w:rPr>
                <w:rFonts w:hint="eastAsia" w:ascii="宋体" w:hAnsi="宋体" w:cs="宋体"/>
                <w:color w:val="auto"/>
                <w:szCs w:val="21"/>
              </w:rPr>
              <w:t>。</w:t>
            </w:r>
          </w:p>
          <w:p w14:paraId="4E488C9B">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7、供应商应具有服务团队，投标所提供人员资质、公司资质均为供应商自有，不得将本项目授权、分包或转包。</w:t>
            </w:r>
          </w:p>
          <w:p w14:paraId="1756EF36">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（二）服务的具体要求</w:t>
            </w:r>
          </w:p>
          <w:p w14:paraId="6927FEFE">
            <w:pPr>
              <w:tabs>
                <w:tab w:val="left" w:pos="180"/>
                <w:tab w:val="left" w:pos="1620"/>
              </w:tabs>
              <w:spacing w:line="400" w:lineRule="exact"/>
              <w:jc w:val="left"/>
              <w:rPr>
                <w:rFonts w:ascii="宋体" w:hAnsi="宋体" w:cs="宋体"/>
                <w:color w:val="auto"/>
                <w:szCs w:val="21"/>
              </w:rPr>
            </w:pPr>
            <w:r>
              <w:rPr>
                <w:rFonts w:hint="eastAsia" w:ascii="宋体" w:hAnsi="宋体" w:cs="宋体"/>
                <w:b/>
                <w:bCs/>
                <w:color w:val="auto"/>
                <w:szCs w:val="21"/>
              </w:rPr>
              <w:t>★</w:t>
            </w:r>
            <w:r>
              <w:rPr>
                <w:rFonts w:hint="eastAsia" w:ascii="宋体" w:hAnsi="宋体" w:cs="宋体"/>
                <w:b/>
                <w:bCs/>
                <w:color w:val="auto"/>
                <w:szCs w:val="21"/>
                <w:lang w:val="en-US" w:eastAsia="zh-CN"/>
              </w:rPr>
              <w:t>1</w:t>
            </w:r>
            <w:r>
              <w:rPr>
                <w:rFonts w:hint="eastAsia" w:ascii="宋体" w:hAnsi="宋体" w:cs="宋体"/>
                <w:color w:val="auto"/>
                <w:szCs w:val="21"/>
              </w:rPr>
              <w:t>、成交人在合同期内保证设备96%的开机率（按365日计算，停机时间不能超过15天）。开机率低于96%的，每超过一天则保修期顺延两天，并从服务费中扣除5000元人民币/天作为赔偿。达不到开机率，严重影响临床工作，采购方有权终止合同并要求成交人赔偿损失。</w:t>
            </w:r>
          </w:p>
          <w:p w14:paraId="155C42D0">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、全天候服务电话：提供报修电话，以及维修服务网点、维修人员联系方式。在保修服务期内提供24小时技术电话支持（24小时×365天）。</w:t>
            </w:r>
          </w:p>
          <w:p w14:paraId="37DC4980">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响应要求：在保修服务期内不分节假日，接到现场报修电话后，立即响应。在12小时内派工程师到现场实施维修，维修时间不限节假日；超过12小时到达一天赔偿甲方5000元人民币。维修备件在确认后24小时内送达维修现场。超过24小时到达一天赔偿甲方5000元人民币。</w:t>
            </w:r>
          </w:p>
          <w:p w14:paraId="0F947D09">
            <w:pPr>
              <w:tabs>
                <w:tab w:val="left" w:pos="180"/>
                <w:tab w:val="left" w:pos="1620"/>
              </w:tabs>
              <w:spacing w:line="400" w:lineRule="exact"/>
              <w:jc w:val="left"/>
              <w:rPr>
                <w:rFonts w:ascii="宋体" w:hAnsi="宋体" w:cs="宋体"/>
                <w:color w:val="auto"/>
                <w:szCs w:val="21"/>
              </w:rPr>
            </w:pPr>
            <w:r>
              <w:rPr>
                <w:rFonts w:hint="eastAsia" w:ascii="宋体" w:hAnsi="宋体" w:cs="宋体"/>
                <w:b/>
                <w:bCs/>
                <w:color w:val="auto"/>
                <w:szCs w:val="21"/>
              </w:rPr>
              <w:t>★</w:t>
            </w:r>
            <w:r>
              <w:rPr>
                <w:rFonts w:hint="eastAsia" w:ascii="宋体" w:hAnsi="宋体" w:cs="宋体"/>
                <w:b/>
                <w:bCs/>
                <w:color w:val="auto"/>
                <w:szCs w:val="21"/>
                <w:lang w:val="en-US" w:eastAsia="zh-CN"/>
              </w:rPr>
              <w:t>4</w:t>
            </w:r>
            <w:r>
              <w:rPr>
                <w:rFonts w:hint="eastAsia" w:ascii="宋体" w:hAnsi="宋体" w:cs="宋体"/>
                <w:color w:val="auto"/>
                <w:szCs w:val="21"/>
              </w:rPr>
              <w:t>、设备故障排除后，性能指标与该机器的生产厂家提供性能指标相符，所更换的配件必须为全新配件且证件齐全，与机器匹配，确保机器治疗质量达到法定部门检测要求。所需配件由成交人提供，更换配件过程中所产生相关费用由成交人负责。</w:t>
            </w:r>
          </w:p>
          <w:p w14:paraId="4EB3163C">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、提供年检和QA支持，每年用三维水箱对加速器进行数据采集，对设备速流指标指标进行检测，保障设备质量指标。</w:t>
            </w:r>
          </w:p>
          <w:p w14:paraId="5950CCC0">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、成交人承诺为院方完成技术服务的负责人，是在相关医疗设备技术服务方面有长期实践经验的高级工程师。</w:t>
            </w:r>
          </w:p>
          <w:p w14:paraId="5FC5E859">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、根据医院设备情况制定周期性设备保养计划，每年提供四次专业保养服务，一般情况下时间安排如下：</w:t>
            </w:r>
          </w:p>
          <w:p w14:paraId="660C0A86">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（1）3月定期保养</w:t>
            </w:r>
          </w:p>
          <w:p w14:paraId="01889323">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（2）6月定期保养</w:t>
            </w:r>
          </w:p>
          <w:p w14:paraId="18E626B3">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（3）9月定期保养</w:t>
            </w:r>
          </w:p>
          <w:p w14:paraId="3BFF8014">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（4）12月定期保养</w:t>
            </w:r>
          </w:p>
          <w:p w14:paraId="2B7EF8DC">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、每次保养结束后，提供详细的保养清单（设备安全检查，性能检查），并对设备的潜在故障加以排除，为设备的安全可靠运行，提供建议。</w:t>
            </w:r>
          </w:p>
          <w:p w14:paraId="1F6F2D11">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、预维修：为设备提供预维修服务，时间以配合临床工作时间为主，可预约安排在非治疗时间。</w:t>
            </w:r>
          </w:p>
          <w:p w14:paraId="24D062EA">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、提供免费维修、零配件更换和维修劳务等各种服务。</w:t>
            </w:r>
          </w:p>
          <w:p w14:paraId="32BBEA7F">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、成交人应对设备提供每季度1次精细维护保养服务，含保养所需备件耗材。</w:t>
            </w:r>
          </w:p>
          <w:p w14:paraId="7FF9F27B">
            <w:pPr>
              <w:tabs>
                <w:tab w:val="left" w:pos="180"/>
                <w:tab w:val="left" w:pos="1620"/>
              </w:tabs>
              <w:spacing w:line="400" w:lineRule="exact"/>
              <w:jc w:val="left"/>
              <w:rPr>
                <w:rFonts w:ascii="宋体" w:hAnsi="宋体" w:cs="宋体"/>
                <w:color w:val="auto"/>
                <w:szCs w:val="21"/>
              </w:rPr>
            </w:pPr>
            <w:bookmarkStart w:id="78" w:name="_Toc462841741"/>
            <w:bookmarkEnd w:id="78"/>
            <w:bookmarkStart w:id="79" w:name="_Toc468429520"/>
            <w:r>
              <w:rPr>
                <w:rFonts w:hint="eastAsia" w:ascii="宋体" w:hAnsi="宋体" w:cs="宋体"/>
                <w:color w:val="auto"/>
                <w:szCs w:val="21"/>
              </w:rPr>
              <w:t>（三）备件方案</w:t>
            </w:r>
            <w:bookmarkEnd w:id="79"/>
          </w:p>
          <w:p w14:paraId="364C8A48">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1、服务期内提供加速器所有零部件免费维修和更换，同时，免费包含所有备件并免费提供维修或更换服务。确立零部件需求后，成交人将在24小时内送货。</w:t>
            </w:r>
          </w:p>
          <w:p w14:paraId="510B2C15">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2、成交人要承诺在保修期内，如遇到无能为力解决机器故障、未履行维修义务或履行义务未符合要求的，采购人有权聘请第三方（含生产厂家）维修解决，维修费用以及零配件更换费用等所有费用，均由成交人承担。</w:t>
            </w:r>
          </w:p>
          <w:p w14:paraId="14E624DF">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（四</w:t>
            </w:r>
            <w:bookmarkStart w:id="80" w:name="_Toc450993297"/>
            <w:bookmarkEnd w:id="80"/>
            <w:bookmarkStart w:id="81" w:name="_Toc452546148"/>
            <w:r>
              <w:rPr>
                <w:rFonts w:hint="eastAsia" w:ascii="宋体" w:hAnsi="宋体" w:cs="宋体"/>
                <w:color w:val="auto"/>
                <w:szCs w:val="21"/>
              </w:rPr>
              <w:t>）远程维修支持系统</w:t>
            </w:r>
            <w:bookmarkEnd w:id="81"/>
          </w:p>
          <w:p w14:paraId="4829DB15">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1、电话支持：通过工程师电话支持，解决小故障，使设备得到最快的修复；</w:t>
            </w:r>
          </w:p>
          <w:p w14:paraId="5FE7CC5F">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2、微信平台支持： 通过全国微信平台，进行故障深度讨论与会诊，以最佳方式排除故障；</w:t>
            </w:r>
          </w:p>
          <w:p w14:paraId="3A2AE907">
            <w:pPr>
              <w:tabs>
                <w:tab w:val="left" w:pos="180"/>
                <w:tab w:val="left" w:pos="1620"/>
              </w:tabs>
              <w:spacing w:line="400" w:lineRule="exact"/>
              <w:jc w:val="left"/>
              <w:rPr>
                <w:rFonts w:ascii="宋体" w:hAnsi="宋体" w:cs="宋体"/>
                <w:color w:val="auto"/>
                <w:szCs w:val="21"/>
              </w:rPr>
            </w:pPr>
            <w:r>
              <w:rPr>
                <w:rFonts w:hint="eastAsia" w:ascii="宋体" w:hAnsi="宋体" w:cs="宋体"/>
                <w:color w:val="auto"/>
                <w:szCs w:val="21"/>
              </w:rPr>
              <w:t>3、网络远程支持：通过互联网进行更深层次的维修支持。</w:t>
            </w:r>
          </w:p>
        </w:tc>
      </w:tr>
      <w:tr w14:paraId="1DEF6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794" w:type="dxa"/>
            <w:gridSpan w:val="4"/>
            <w:vAlign w:val="center"/>
          </w:tcPr>
          <w:p w14:paraId="4BEE1C76">
            <w:pPr>
              <w:spacing w:line="400" w:lineRule="exact"/>
              <w:jc w:val="left"/>
              <w:rPr>
                <w:rFonts w:ascii="宋体" w:hAnsi="宋体" w:cs="宋体"/>
                <w:b/>
                <w:color w:val="auto"/>
                <w:szCs w:val="21"/>
              </w:rPr>
            </w:pPr>
            <w:r>
              <w:rPr>
                <w:rFonts w:hint="eastAsia" w:ascii="宋体" w:hAnsi="宋体" w:cs="宋体"/>
                <w:b/>
                <w:bCs/>
                <w:color w:val="auto"/>
                <w:szCs w:val="21"/>
              </w:rPr>
              <w:t>★</w:t>
            </w:r>
            <w:r>
              <w:rPr>
                <w:rFonts w:hint="eastAsia" w:ascii="宋体" w:hAnsi="宋体" w:cs="宋体"/>
                <w:b/>
                <w:color w:val="auto"/>
                <w:szCs w:val="21"/>
              </w:rPr>
              <w:t>二、商务要求</w:t>
            </w:r>
          </w:p>
        </w:tc>
      </w:tr>
      <w:tr w14:paraId="6683B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659" w:type="dxa"/>
            <w:gridSpan w:val="2"/>
            <w:vAlign w:val="center"/>
          </w:tcPr>
          <w:p w14:paraId="3E6E5515">
            <w:pPr>
              <w:spacing w:line="360" w:lineRule="atLeast"/>
              <w:jc w:val="center"/>
              <w:rPr>
                <w:rFonts w:ascii="宋体" w:hAnsi="宋体" w:cs="宋体"/>
                <w:b/>
                <w:bCs/>
                <w:color w:val="auto"/>
                <w:szCs w:val="21"/>
              </w:rPr>
            </w:pPr>
            <w:r>
              <w:rPr>
                <w:rFonts w:hint="eastAsia" w:ascii="宋体" w:hAnsi="宋体" w:cs="宋体"/>
                <w:b/>
                <w:bCs/>
                <w:color w:val="auto"/>
                <w:szCs w:val="21"/>
              </w:rPr>
              <w:t>（一）服务期及地点</w:t>
            </w:r>
          </w:p>
        </w:tc>
        <w:tc>
          <w:tcPr>
            <w:tcW w:w="7135" w:type="dxa"/>
            <w:gridSpan w:val="2"/>
            <w:vAlign w:val="center"/>
          </w:tcPr>
          <w:p w14:paraId="3B9D6516">
            <w:pPr>
              <w:spacing w:line="360" w:lineRule="atLeast"/>
              <w:rPr>
                <w:rFonts w:ascii="宋体" w:hAnsi="宋体" w:cs="宋体"/>
                <w:b/>
                <w:bCs/>
                <w:color w:val="auto"/>
                <w:szCs w:val="21"/>
              </w:rPr>
            </w:pPr>
            <w:r>
              <w:rPr>
                <w:rFonts w:hint="eastAsia" w:ascii="宋体" w:hAnsi="宋体" w:cs="宋体"/>
                <w:b/>
                <w:bCs/>
                <w:color w:val="auto"/>
                <w:szCs w:val="21"/>
              </w:rPr>
              <w:t>1、服务期：自合同签订之日起3年。</w:t>
            </w:r>
          </w:p>
          <w:p w14:paraId="4D670FB8">
            <w:pPr>
              <w:spacing w:line="360" w:lineRule="atLeast"/>
              <w:rPr>
                <w:rFonts w:ascii="宋体" w:hAnsi="宋体" w:cs="宋体"/>
                <w:b/>
                <w:bCs/>
                <w:color w:val="auto"/>
                <w:szCs w:val="21"/>
              </w:rPr>
            </w:pPr>
            <w:r>
              <w:rPr>
                <w:rFonts w:hint="eastAsia" w:ascii="宋体" w:hAnsi="宋体" w:cs="宋体"/>
                <w:b/>
                <w:bCs/>
                <w:color w:val="auto"/>
                <w:szCs w:val="21"/>
              </w:rPr>
              <w:t>2、服务地点：广西桂林市甲方指定地点（桂林医学院附属医院）。</w:t>
            </w:r>
          </w:p>
        </w:tc>
      </w:tr>
      <w:tr w14:paraId="346CF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659" w:type="dxa"/>
            <w:gridSpan w:val="2"/>
            <w:vAlign w:val="center"/>
          </w:tcPr>
          <w:p w14:paraId="03B8D95A">
            <w:pPr>
              <w:spacing w:line="400" w:lineRule="exact"/>
              <w:jc w:val="center"/>
              <w:rPr>
                <w:rFonts w:ascii="宋体" w:hAnsi="宋体" w:cs="宋体"/>
                <w:b/>
                <w:bCs/>
                <w:color w:val="auto"/>
                <w:szCs w:val="21"/>
              </w:rPr>
            </w:pPr>
            <w:r>
              <w:rPr>
                <w:rFonts w:hint="eastAsia"/>
                <w:b/>
                <w:bCs/>
                <w:color w:val="auto"/>
                <w:szCs w:val="21"/>
              </w:rPr>
              <w:t>（二）付款方式及条件</w:t>
            </w:r>
          </w:p>
        </w:tc>
        <w:tc>
          <w:tcPr>
            <w:tcW w:w="7135" w:type="dxa"/>
            <w:gridSpan w:val="2"/>
            <w:vAlign w:val="center"/>
          </w:tcPr>
          <w:p w14:paraId="16CD5036">
            <w:pPr>
              <w:spacing w:line="360" w:lineRule="atLeast"/>
              <w:rPr>
                <w:rFonts w:ascii="宋体" w:hAnsi="宋体" w:cs="宋体"/>
                <w:b/>
                <w:bCs/>
                <w:color w:val="auto"/>
                <w:szCs w:val="21"/>
              </w:rPr>
            </w:pPr>
            <w:r>
              <w:rPr>
                <w:rFonts w:hint="eastAsia" w:ascii="宋体" w:hAnsi="宋体" w:cs="宋体"/>
                <w:b/>
                <w:bCs/>
                <w:color w:val="auto"/>
                <w:szCs w:val="21"/>
              </w:rPr>
              <w:t>双方在签订合同后，成交人在一个月内开具税务发票，采购人收到税务发票后转账支付合同款的10%，第一保修年结束后一个月内开具税务发票，成交人收到税务发票后转账支付合同款的30%，第二保修年结束后一个月内开具税务发票，采购人收到税务发票后转账支付合同款的30%，第三保修年结束并服务合格后一个月内开具税务发票，采购人收到税务发票后转账支付合同款的30%给成交人（无息）。</w:t>
            </w:r>
          </w:p>
        </w:tc>
      </w:tr>
      <w:tr w14:paraId="748A0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659" w:type="dxa"/>
            <w:gridSpan w:val="2"/>
            <w:vAlign w:val="center"/>
          </w:tcPr>
          <w:p w14:paraId="7E43BBA2">
            <w:pPr>
              <w:spacing w:line="360" w:lineRule="atLeast"/>
              <w:jc w:val="center"/>
              <w:rPr>
                <w:b/>
                <w:bCs/>
                <w:color w:val="auto"/>
                <w:szCs w:val="21"/>
              </w:rPr>
            </w:pPr>
            <w:r>
              <w:rPr>
                <w:rFonts w:hint="eastAsia" w:ascii="宋体" w:hAnsi="宋体" w:cs="宋体"/>
                <w:b/>
                <w:bCs/>
                <w:color w:val="auto"/>
                <w:szCs w:val="21"/>
              </w:rPr>
              <w:t>（三）磋商报价</w:t>
            </w:r>
          </w:p>
        </w:tc>
        <w:tc>
          <w:tcPr>
            <w:tcW w:w="7135" w:type="dxa"/>
            <w:gridSpan w:val="2"/>
            <w:vAlign w:val="center"/>
          </w:tcPr>
          <w:p w14:paraId="29D18F25">
            <w:pPr>
              <w:spacing w:line="360" w:lineRule="atLeast"/>
              <w:jc w:val="left"/>
              <w:rPr>
                <w:b/>
                <w:bCs/>
                <w:color w:val="auto"/>
              </w:rPr>
            </w:pPr>
            <w:r>
              <w:rPr>
                <w:rFonts w:hint="eastAsia" w:ascii="宋体" w:hAnsi="宋体"/>
                <w:b/>
                <w:bCs/>
                <w:color w:val="auto"/>
                <w:szCs w:val="21"/>
              </w:rPr>
              <w:t>磋商报价是履行合同的最终价格，供应商磋商报价应包含包含完成本服务项目所需的相关费用，包括但不限于服务内容、所涉及的备品备件、工具、人工费、工程师维修费、差旅费、更换备件费、运输费、材料、实施、调试、验收、技术培训及技术资料、软件升级等各种费用和售后服务、税金、招标代理服务费及其它所有成本费用的总和，对于本文件中未列明，而供应商认为必须的费用也需列入报价。在合同实施时，采购人将不予支付成交供应商没有列入的项目费用，并认为此项目的费用已包括在磋商报价中。</w:t>
            </w:r>
          </w:p>
        </w:tc>
      </w:tr>
      <w:tr w14:paraId="07A37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659" w:type="dxa"/>
            <w:gridSpan w:val="2"/>
            <w:vAlign w:val="center"/>
          </w:tcPr>
          <w:p w14:paraId="1448E794">
            <w:pPr>
              <w:spacing w:line="340" w:lineRule="exact"/>
              <w:jc w:val="center"/>
              <w:rPr>
                <w:rFonts w:ascii="宋体" w:hAnsi="宋体" w:cs="宋体"/>
                <w:b/>
                <w:color w:val="auto"/>
                <w:szCs w:val="21"/>
              </w:rPr>
            </w:pPr>
            <w:r>
              <w:rPr>
                <w:rFonts w:hint="eastAsia" w:ascii="宋体" w:hAnsi="宋体" w:cs="宋体"/>
                <w:b/>
                <w:color w:val="auto"/>
                <w:szCs w:val="21"/>
              </w:rPr>
              <w:t>（四）</w:t>
            </w:r>
            <w:bookmarkStart w:id="82" w:name="OLE_LINK10"/>
            <w:r>
              <w:rPr>
                <w:rFonts w:hint="eastAsia" w:ascii="宋体" w:hAnsi="宋体" w:cs="宋体"/>
                <w:b/>
                <w:color w:val="auto"/>
                <w:szCs w:val="21"/>
              </w:rPr>
              <w:t>合同签订时间</w:t>
            </w:r>
            <w:bookmarkEnd w:id="82"/>
          </w:p>
        </w:tc>
        <w:tc>
          <w:tcPr>
            <w:tcW w:w="7135" w:type="dxa"/>
            <w:gridSpan w:val="2"/>
            <w:vAlign w:val="center"/>
          </w:tcPr>
          <w:p w14:paraId="20FF27AB">
            <w:pPr>
              <w:spacing w:line="400" w:lineRule="exact"/>
              <w:rPr>
                <w:rFonts w:ascii="宋体" w:hAnsi="宋体" w:cs="宋体"/>
                <w:b/>
                <w:bCs/>
                <w:color w:val="auto"/>
                <w:szCs w:val="21"/>
              </w:rPr>
            </w:pPr>
            <w:r>
              <w:rPr>
                <w:rFonts w:hint="eastAsia" w:ascii="宋体" w:hAnsi="宋体" w:cs="宋体"/>
                <w:b/>
                <w:bCs/>
                <w:color w:val="auto"/>
                <w:szCs w:val="21"/>
              </w:rPr>
              <w:t>自成交通知书发出之日起</w:t>
            </w:r>
            <w:r>
              <w:rPr>
                <w:rFonts w:hint="eastAsia" w:ascii="宋体" w:hAnsi="宋体" w:cs="宋体"/>
                <w:b/>
                <w:bCs/>
                <w:color w:val="auto"/>
                <w:szCs w:val="21"/>
                <w:lang w:val="en-US" w:eastAsia="zh-CN"/>
              </w:rPr>
              <w:t>25</w:t>
            </w:r>
            <w:r>
              <w:rPr>
                <w:rFonts w:hint="eastAsia" w:ascii="宋体" w:hAnsi="宋体" w:cs="宋体"/>
                <w:b/>
                <w:bCs/>
                <w:color w:val="auto"/>
                <w:szCs w:val="21"/>
              </w:rPr>
              <w:t>日内。</w:t>
            </w:r>
          </w:p>
        </w:tc>
      </w:tr>
      <w:tr w14:paraId="223B2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659" w:type="dxa"/>
            <w:gridSpan w:val="2"/>
            <w:vAlign w:val="center"/>
          </w:tcPr>
          <w:p w14:paraId="6D00ECD6">
            <w:pPr>
              <w:spacing w:line="340" w:lineRule="exact"/>
              <w:jc w:val="center"/>
              <w:rPr>
                <w:rFonts w:ascii="宋体" w:hAnsi="宋体" w:cs="宋体"/>
                <w:b/>
                <w:color w:val="auto"/>
                <w:szCs w:val="21"/>
              </w:rPr>
            </w:pPr>
            <w:r>
              <w:rPr>
                <w:rFonts w:hint="eastAsia" w:ascii="宋体" w:hAnsi="宋体" w:cs="宋体"/>
                <w:b/>
                <w:color w:val="auto"/>
                <w:szCs w:val="21"/>
              </w:rPr>
              <w:t>（</w:t>
            </w:r>
            <w:r>
              <w:rPr>
                <w:rFonts w:hint="eastAsia" w:ascii="宋体" w:hAnsi="宋体" w:cs="宋体"/>
                <w:b/>
                <w:color w:val="auto"/>
                <w:szCs w:val="21"/>
                <w:lang w:eastAsia="zh-CN"/>
              </w:rPr>
              <w:t>五</w:t>
            </w:r>
            <w:r>
              <w:rPr>
                <w:rFonts w:hint="eastAsia" w:ascii="宋体" w:hAnsi="宋体" w:cs="宋体"/>
                <w:b/>
                <w:color w:val="auto"/>
                <w:szCs w:val="21"/>
              </w:rPr>
              <w:t>）保险</w:t>
            </w:r>
          </w:p>
        </w:tc>
        <w:tc>
          <w:tcPr>
            <w:tcW w:w="7135" w:type="dxa"/>
            <w:gridSpan w:val="2"/>
          </w:tcPr>
          <w:p w14:paraId="08EE0DB2">
            <w:pPr>
              <w:spacing w:line="400" w:lineRule="exact"/>
              <w:rPr>
                <w:rFonts w:ascii="宋体" w:hAnsi="宋体" w:cs="宋体"/>
                <w:color w:val="auto"/>
                <w:szCs w:val="21"/>
              </w:rPr>
            </w:pPr>
            <w:r>
              <w:rPr>
                <w:rFonts w:hint="eastAsia" w:ascii="宋体" w:hAnsi="宋体" w:cs="宋体"/>
                <w:b/>
                <w:bCs/>
                <w:color w:val="auto"/>
                <w:szCs w:val="21"/>
              </w:rPr>
              <w:t>本项目采购标的涉及的相关材料、设备、人员、运输等购买保险的，相关费用由供应商自行承担。</w:t>
            </w:r>
          </w:p>
        </w:tc>
      </w:tr>
      <w:tr w14:paraId="73217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659" w:type="dxa"/>
            <w:gridSpan w:val="2"/>
            <w:vAlign w:val="center"/>
          </w:tcPr>
          <w:p w14:paraId="6A87C68A">
            <w:pPr>
              <w:spacing w:line="340" w:lineRule="exact"/>
              <w:jc w:val="center"/>
              <w:rPr>
                <w:rFonts w:ascii="宋体" w:hAnsi="宋体" w:cs="宋体"/>
                <w:b/>
                <w:color w:val="auto"/>
                <w:szCs w:val="21"/>
              </w:rPr>
            </w:pPr>
            <w:r>
              <w:rPr>
                <w:rFonts w:hint="eastAsia" w:ascii="宋体" w:hAnsi="宋体" w:cs="宋体"/>
                <w:b/>
                <w:color w:val="auto"/>
                <w:szCs w:val="21"/>
              </w:rPr>
              <w:t>（</w:t>
            </w:r>
            <w:r>
              <w:rPr>
                <w:rFonts w:hint="eastAsia" w:ascii="宋体" w:hAnsi="宋体" w:cs="宋体"/>
                <w:b/>
                <w:color w:val="auto"/>
                <w:szCs w:val="21"/>
                <w:lang w:eastAsia="zh-CN"/>
              </w:rPr>
              <w:t>六</w:t>
            </w:r>
            <w:r>
              <w:rPr>
                <w:rFonts w:hint="eastAsia" w:ascii="宋体" w:hAnsi="宋体" w:cs="宋体"/>
                <w:b/>
                <w:color w:val="auto"/>
                <w:szCs w:val="21"/>
              </w:rPr>
              <w:t>）</w:t>
            </w:r>
            <w:bookmarkStart w:id="83" w:name="OLE_LINK17"/>
            <w:r>
              <w:rPr>
                <w:rFonts w:hint="eastAsia" w:ascii="宋体" w:hAnsi="宋体" w:cs="宋体"/>
                <w:b/>
                <w:color w:val="auto"/>
                <w:szCs w:val="21"/>
              </w:rPr>
              <w:t>验收</w:t>
            </w:r>
            <w:bookmarkEnd w:id="83"/>
            <w:r>
              <w:rPr>
                <w:rFonts w:hint="eastAsia" w:ascii="宋体" w:hAnsi="宋体" w:cs="宋体"/>
                <w:b/>
                <w:color w:val="auto"/>
                <w:szCs w:val="21"/>
              </w:rPr>
              <w:t>标准</w:t>
            </w:r>
          </w:p>
        </w:tc>
        <w:tc>
          <w:tcPr>
            <w:tcW w:w="7135" w:type="dxa"/>
            <w:gridSpan w:val="2"/>
          </w:tcPr>
          <w:p w14:paraId="35957B95">
            <w:pPr>
              <w:spacing w:line="400" w:lineRule="exact"/>
              <w:rPr>
                <w:rFonts w:ascii="宋体" w:hAnsi="宋体" w:cs="宋体"/>
                <w:b/>
                <w:bCs/>
                <w:color w:val="auto"/>
                <w:szCs w:val="21"/>
              </w:rPr>
            </w:pPr>
            <w:r>
              <w:rPr>
                <w:rFonts w:hint="eastAsia" w:ascii="宋体" w:hAnsi="宋体" w:cs="宋体"/>
                <w:b/>
                <w:bCs/>
                <w:color w:val="auto"/>
                <w:szCs w:val="21"/>
              </w:rPr>
              <w:t>1、本项目执行国家相关标准、行业标准、地方标准或者其他标准、规范。如具体采购需求与标准、规范不一致的，高于标准、规范的按具体采购需求执行；低于标准、规范的按标准、规范执行。供应商所提供的系统必须是全新、完好、无破损、未经使用的，在正常安装、使用和保养条件下，其使用寿命期内各项指标均达到质量要求。</w:t>
            </w:r>
          </w:p>
          <w:p w14:paraId="405DD4D0">
            <w:pPr>
              <w:spacing w:line="400" w:lineRule="exact"/>
              <w:rPr>
                <w:rFonts w:ascii="宋体" w:hAnsi="宋体" w:cs="宋体"/>
                <w:b/>
                <w:bCs/>
                <w:color w:val="auto"/>
                <w:szCs w:val="21"/>
              </w:rPr>
            </w:pPr>
            <w:r>
              <w:rPr>
                <w:rFonts w:hint="eastAsia" w:ascii="宋体" w:hAnsi="宋体" w:cs="宋体"/>
                <w:b/>
                <w:bCs/>
                <w:color w:val="auto"/>
                <w:szCs w:val="21"/>
              </w:rPr>
              <w:t>2、产品到货后，采购人现场根据竞争性磋商文件要求及响应文件承诺逐条对应进行核验（含测试或试运行演示），核验不合格的，采购人有权不予验收，同时报相关监督管理部门，由此造成采购人经济损失的由成交供应商负责承担全部赔偿责任。</w:t>
            </w:r>
          </w:p>
          <w:p w14:paraId="587A62CA">
            <w:pPr>
              <w:spacing w:line="400" w:lineRule="exact"/>
              <w:rPr>
                <w:rFonts w:ascii="宋体" w:hAnsi="宋体" w:cs="宋体"/>
                <w:b/>
                <w:bCs/>
                <w:color w:val="auto"/>
                <w:szCs w:val="21"/>
              </w:rPr>
            </w:pPr>
            <w:r>
              <w:rPr>
                <w:rFonts w:hint="eastAsia" w:ascii="宋体" w:hAnsi="宋体" w:cs="宋体"/>
                <w:b/>
                <w:bCs/>
                <w:color w:val="auto"/>
                <w:szCs w:val="21"/>
              </w:rPr>
              <w:t>3、因产品质量问题发生争议的，应邀请国家认可的质量检测机构对产品质量进行鉴定。</w:t>
            </w:r>
          </w:p>
          <w:p w14:paraId="5F4E45A9">
            <w:pPr>
              <w:spacing w:line="400" w:lineRule="exact"/>
              <w:rPr>
                <w:rFonts w:ascii="宋体" w:hAnsi="宋体" w:cs="宋体"/>
                <w:color w:val="auto"/>
                <w:szCs w:val="21"/>
              </w:rPr>
            </w:pPr>
            <w:r>
              <w:rPr>
                <w:rFonts w:hint="eastAsia" w:ascii="宋体" w:hAnsi="宋体" w:cs="宋体"/>
                <w:b/>
                <w:bCs/>
                <w:color w:val="auto"/>
                <w:szCs w:val="21"/>
              </w:rPr>
              <w:t>4、相关检验检测和验收费用全部由成交供应商承担。</w:t>
            </w:r>
          </w:p>
        </w:tc>
      </w:tr>
      <w:tr w14:paraId="7C4F4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8794" w:type="dxa"/>
            <w:gridSpan w:val="4"/>
            <w:vAlign w:val="center"/>
          </w:tcPr>
          <w:p w14:paraId="6446ACE6">
            <w:pPr>
              <w:spacing w:line="400" w:lineRule="exact"/>
              <w:rPr>
                <w:rFonts w:ascii="宋体" w:hAnsi="宋体" w:cs="宋体"/>
                <w:b/>
                <w:color w:val="auto"/>
                <w:szCs w:val="21"/>
              </w:rPr>
            </w:pPr>
            <w:r>
              <w:rPr>
                <w:rFonts w:hint="eastAsia" w:ascii="宋体" w:hAnsi="宋体" w:cs="宋体"/>
                <w:b/>
                <w:color w:val="auto"/>
                <w:szCs w:val="21"/>
              </w:rPr>
              <w:t>三、与实现项目目标相关的要求</w:t>
            </w:r>
          </w:p>
        </w:tc>
      </w:tr>
      <w:tr w14:paraId="62330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59" w:type="dxa"/>
            <w:gridSpan w:val="2"/>
            <w:vAlign w:val="center"/>
          </w:tcPr>
          <w:p w14:paraId="117055F5">
            <w:pPr>
              <w:adjustRightInd w:val="0"/>
              <w:snapToGrid w:val="0"/>
              <w:spacing w:line="320" w:lineRule="exact"/>
              <w:jc w:val="center"/>
              <w:rPr>
                <w:rFonts w:ascii="宋体" w:hAnsi="宋体" w:cs="宋体"/>
                <w:color w:val="auto"/>
                <w:szCs w:val="21"/>
              </w:rPr>
            </w:pPr>
            <w:r>
              <w:rPr>
                <w:rFonts w:hint="eastAsia" w:ascii="宋体" w:hAnsi="宋体" w:cs="宋体"/>
                <w:color w:val="auto"/>
                <w:szCs w:val="21"/>
              </w:rPr>
              <w:t>（一）</w:t>
            </w:r>
            <w:r>
              <w:rPr>
                <w:rFonts w:hint="eastAsia" w:ascii="宋体" w:hAnsi="宋体"/>
                <w:bCs/>
                <w:color w:val="auto"/>
                <w:kern w:val="0"/>
                <w:szCs w:val="21"/>
              </w:rPr>
              <w:t>项目实施方案</w:t>
            </w:r>
          </w:p>
        </w:tc>
        <w:tc>
          <w:tcPr>
            <w:tcW w:w="7135" w:type="dxa"/>
            <w:gridSpan w:val="2"/>
            <w:vAlign w:val="center"/>
          </w:tcPr>
          <w:p w14:paraId="3344F616">
            <w:pPr>
              <w:spacing w:line="400" w:lineRule="exact"/>
              <w:jc w:val="left"/>
              <w:rPr>
                <w:rFonts w:ascii="宋体" w:hAnsi="宋体" w:cs="宋体"/>
                <w:color w:val="auto"/>
                <w:szCs w:val="21"/>
              </w:rPr>
            </w:pPr>
            <w:r>
              <w:rPr>
                <w:rFonts w:hint="eastAsia" w:ascii="宋体" w:hAnsi="宋体" w:cs="宋体"/>
                <w:color w:val="auto"/>
                <w:szCs w:val="21"/>
              </w:rPr>
              <w:t>供应商根据项目要求和自身情况，可于响应文件中提供</w:t>
            </w:r>
            <w:r>
              <w:rPr>
                <w:rFonts w:hint="eastAsia" w:ascii="宋体" w:hAnsi="宋体"/>
                <w:bCs/>
                <w:color w:val="auto"/>
                <w:kern w:val="0"/>
                <w:szCs w:val="21"/>
              </w:rPr>
              <w:t>项目实施方案（包含但不限于：①</w:t>
            </w:r>
            <w:r>
              <w:rPr>
                <w:rFonts w:hint="eastAsia" w:hAnsi="宋体" w:cs="宋体"/>
                <w:color w:val="auto"/>
              </w:rPr>
              <w:t>维保实施方案</w:t>
            </w:r>
            <w:r>
              <w:rPr>
                <w:rFonts w:hint="eastAsia" w:ascii="宋体" w:hAnsi="宋体"/>
                <w:bCs/>
                <w:color w:val="auto"/>
                <w:kern w:val="0"/>
                <w:szCs w:val="21"/>
              </w:rPr>
              <w:t>；②</w:t>
            </w:r>
            <w:r>
              <w:rPr>
                <w:rFonts w:hint="eastAsia" w:hAnsi="宋体" w:cs="宋体"/>
                <w:color w:val="auto"/>
              </w:rPr>
              <w:t>服务计划</w:t>
            </w:r>
            <w:r>
              <w:rPr>
                <w:rFonts w:hint="eastAsia" w:ascii="宋体" w:hAnsi="宋体"/>
                <w:bCs/>
                <w:color w:val="auto"/>
                <w:kern w:val="0"/>
                <w:szCs w:val="21"/>
              </w:rPr>
              <w:t>；③</w:t>
            </w:r>
            <w:r>
              <w:rPr>
                <w:rFonts w:hint="eastAsia" w:hAnsi="宋体" w:cs="宋体"/>
                <w:color w:val="auto"/>
              </w:rPr>
              <w:t>各项服务流程</w:t>
            </w:r>
            <w:r>
              <w:rPr>
                <w:rFonts w:hint="eastAsia" w:ascii="宋体" w:hAnsi="宋体"/>
                <w:bCs/>
                <w:color w:val="auto"/>
                <w:kern w:val="0"/>
                <w:szCs w:val="21"/>
              </w:rPr>
              <w:t>；④应急处理措施等）</w:t>
            </w:r>
            <w:r>
              <w:rPr>
                <w:rFonts w:hint="eastAsia" w:ascii="宋体" w:hAnsi="宋体" w:cs="宋体"/>
                <w:color w:val="auto"/>
                <w:szCs w:val="21"/>
              </w:rPr>
              <w:t>。</w:t>
            </w:r>
          </w:p>
          <w:p w14:paraId="62EBC361">
            <w:pPr>
              <w:spacing w:line="400" w:lineRule="exact"/>
              <w:jc w:val="left"/>
              <w:rPr>
                <w:rFonts w:ascii="宋体" w:hAnsi="宋体" w:cs="宋体"/>
                <w:color w:val="auto"/>
                <w:szCs w:val="21"/>
              </w:rPr>
            </w:pPr>
            <w:r>
              <w:rPr>
                <w:rFonts w:hint="eastAsia" w:ascii="宋体" w:hAnsi="宋体" w:cs="宋体"/>
                <w:b/>
                <w:bCs/>
                <w:color w:val="auto"/>
                <w:szCs w:val="21"/>
              </w:rPr>
              <w:t>注：上述项目实施方案评分详见“第四章</w:t>
            </w:r>
            <w:r>
              <w:rPr>
                <w:rFonts w:hint="eastAsia" w:ascii="宋体" w:hAnsi="宋体" w:cs="宋体"/>
                <w:b/>
                <w:color w:val="auto"/>
                <w:szCs w:val="21"/>
              </w:rPr>
              <w:t xml:space="preserve"> </w:t>
            </w:r>
            <w:r>
              <w:rPr>
                <w:rFonts w:hint="eastAsia" w:ascii="宋体" w:hAnsi="宋体" w:cs="宋体"/>
                <w:b/>
                <w:bCs/>
                <w:color w:val="auto"/>
                <w:szCs w:val="21"/>
              </w:rPr>
              <w:t>评标办法及评标标准”。</w:t>
            </w:r>
          </w:p>
        </w:tc>
      </w:tr>
      <w:tr w14:paraId="38B91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659" w:type="dxa"/>
            <w:gridSpan w:val="2"/>
            <w:vAlign w:val="center"/>
          </w:tcPr>
          <w:p w14:paraId="30C67ACE">
            <w:pPr>
              <w:adjustRightInd w:val="0"/>
              <w:snapToGrid w:val="0"/>
              <w:spacing w:line="320" w:lineRule="exact"/>
              <w:jc w:val="center"/>
              <w:rPr>
                <w:rFonts w:ascii="宋体" w:hAnsi="宋体" w:cs="宋体"/>
                <w:color w:val="auto"/>
                <w:szCs w:val="21"/>
              </w:rPr>
            </w:pPr>
            <w:r>
              <w:rPr>
                <w:rFonts w:hint="eastAsia" w:ascii="宋体" w:hAnsi="宋体" w:cs="宋体"/>
                <w:color w:val="auto"/>
                <w:szCs w:val="21"/>
              </w:rPr>
              <w:t>（二）</w:t>
            </w:r>
            <w:r>
              <w:rPr>
                <w:rFonts w:hint="eastAsia" w:ascii="宋体" w:hAnsi="宋体"/>
                <w:color w:val="auto"/>
                <w:szCs w:val="21"/>
              </w:rPr>
              <w:t>拟投入维护保养实施人员方案</w:t>
            </w:r>
          </w:p>
        </w:tc>
        <w:tc>
          <w:tcPr>
            <w:tcW w:w="7135" w:type="dxa"/>
            <w:gridSpan w:val="2"/>
            <w:vAlign w:val="center"/>
          </w:tcPr>
          <w:p w14:paraId="761AA6E2">
            <w:pPr>
              <w:spacing w:line="400" w:lineRule="exact"/>
              <w:jc w:val="left"/>
              <w:rPr>
                <w:rFonts w:ascii="宋体" w:hAnsi="宋体" w:cs="宋体"/>
                <w:color w:val="auto"/>
                <w:szCs w:val="21"/>
              </w:rPr>
            </w:pPr>
            <w:r>
              <w:rPr>
                <w:rFonts w:hint="eastAsia" w:ascii="宋体" w:hAnsi="宋体" w:cs="宋体"/>
                <w:color w:val="auto"/>
                <w:szCs w:val="21"/>
              </w:rPr>
              <w:t>供应商根据项目要求和自身情况，可于响应文件中提供</w:t>
            </w:r>
            <w:r>
              <w:rPr>
                <w:rFonts w:hint="eastAsia" w:ascii="宋体" w:hAnsi="宋体"/>
                <w:color w:val="auto"/>
                <w:szCs w:val="21"/>
              </w:rPr>
              <w:t>拟投入维护保养实施人员方案（包含但不限于：①实施人员管理组织架构；②人员分工；③应急维护人员调配方案等）</w:t>
            </w:r>
            <w:r>
              <w:rPr>
                <w:rFonts w:hint="eastAsia" w:ascii="宋体" w:hAnsi="宋体" w:cs="宋体"/>
                <w:color w:val="auto"/>
                <w:szCs w:val="21"/>
              </w:rPr>
              <w:t>。</w:t>
            </w:r>
          </w:p>
          <w:p w14:paraId="4564C947">
            <w:pPr>
              <w:spacing w:line="400" w:lineRule="exact"/>
              <w:jc w:val="left"/>
              <w:rPr>
                <w:rFonts w:ascii="宋体" w:hAnsi="宋体" w:cs="宋体"/>
                <w:b/>
                <w:bCs/>
                <w:color w:val="auto"/>
                <w:szCs w:val="21"/>
              </w:rPr>
            </w:pPr>
            <w:r>
              <w:rPr>
                <w:rFonts w:hint="eastAsia" w:ascii="宋体" w:hAnsi="宋体" w:cs="宋体"/>
                <w:b/>
                <w:bCs/>
                <w:color w:val="auto"/>
                <w:szCs w:val="21"/>
              </w:rPr>
              <w:t>注：上述项目实施方案评分详见“第四章</w:t>
            </w:r>
            <w:r>
              <w:rPr>
                <w:rFonts w:hint="eastAsia" w:ascii="宋体" w:hAnsi="宋体" w:cs="宋体"/>
                <w:b/>
                <w:color w:val="auto"/>
                <w:szCs w:val="21"/>
              </w:rPr>
              <w:t xml:space="preserve"> </w:t>
            </w:r>
            <w:r>
              <w:rPr>
                <w:rFonts w:hint="eastAsia" w:ascii="宋体" w:hAnsi="宋体" w:cs="宋体"/>
                <w:b/>
                <w:bCs/>
                <w:color w:val="auto"/>
                <w:szCs w:val="21"/>
              </w:rPr>
              <w:t>评标办法及评标标准”。</w:t>
            </w:r>
          </w:p>
        </w:tc>
      </w:tr>
      <w:tr w14:paraId="4825E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659" w:type="dxa"/>
            <w:gridSpan w:val="2"/>
            <w:vAlign w:val="center"/>
          </w:tcPr>
          <w:p w14:paraId="7083A214">
            <w:pPr>
              <w:adjustRightInd w:val="0"/>
              <w:snapToGrid w:val="0"/>
              <w:spacing w:line="320" w:lineRule="exact"/>
              <w:jc w:val="center"/>
              <w:rPr>
                <w:rFonts w:ascii="宋体" w:hAnsi="宋体" w:cs="宋体"/>
                <w:color w:val="auto"/>
                <w:szCs w:val="21"/>
              </w:rPr>
            </w:pPr>
            <w:r>
              <w:rPr>
                <w:rFonts w:hint="eastAsia" w:ascii="宋体" w:hAnsi="宋体" w:cs="宋体"/>
                <w:color w:val="auto"/>
                <w:szCs w:val="21"/>
              </w:rPr>
              <w:t>（三）培训方案</w:t>
            </w:r>
          </w:p>
        </w:tc>
        <w:tc>
          <w:tcPr>
            <w:tcW w:w="7135" w:type="dxa"/>
            <w:gridSpan w:val="2"/>
            <w:vAlign w:val="center"/>
          </w:tcPr>
          <w:p w14:paraId="66BDD958">
            <w:pPr>
              <w:spacing w:line="400" w:lineRule="exact"/>
              <w:jc w:val="left"/>
              <w:rPr>
                <w:rFonts w:ascii="宋体" w:hAnsi="宋体" w:cs="宋体"/>
                <w:color w:val="auto"/>
                <w:szCs w:val="21"/>
              </w:rPr>
            </w:pPr>
            <w:r>
              <w:rPr>
                <w:rFonts w:hint="eastAsia" w:ascii="宋体" w:hAnsi="宋体" w:cs="宋体"/>
                <w:color w:val="auto"/>
                <w:szCs w:val="21"/>
              </w:rPr>
              <w:t>供应商根据项目要求和自身情况，可于响应文件中提供培训方案</w:t>
            </w:r>
            <w:r>
              <w:rPr>
                <w:rFonts w:hint="eastAsia" w:ascii="宋体" w:hAnsi="宋体"/>
                <w:color w:val="auto"/>
                <w:szCs w:val="21"/>
              </w:rPr>
              <w:t>【包含但不限于：①</w:t>
            </w:r>
            <w:r>
              <w:rPr>
                <w:rFonts w:hint="eastAsia" w:hAnsi="宋体" w:cs="宋体"/>
                <w:bCs/>
                <w:color w:val="auto"/>
              </w:rPr>
              <w:t>师资人员安排</w:t>
            </w:r>
            <w:r>
              <w:rPr>
                <w:rFonts w:hint="eastAsia" w:ascii="宋体" w:hAnsi="宋体"/>
                <w:color w:val="auto"/>
                <w:szCs w:val="21"/>
              </w:rPr>
              <w:t>；②</w:t>
            </w:r>
            <w:r>
              <w:rPr>
                <w:rFonts w:hint="eastAsia" w:hAnsi="宋体" w:cs="宋体"/>
                <w:bCs/>
                <w:color w:val="auto"/>
              </w:rPr>
              <w:t>培训内容安排（包括设备功能理论及设备应用培训计划、设备常见问题的基本维修及保养、操作培训计划）</w:t>
            </w:r>
            <w:r>
              <w:rPr>
                <w:rFonts w:hint="eastAsia" w:ascii="宋体" w:hAnsi="宋体"/>
                <w:color w:val="auto"/>
                <w:szCs w:val="21"/>
              </w:rPr>
              <w:t>】</w:t>
            </w:r>
            <w:r>
              <w:rPr>
                <w:rFonts w:hint="eastAsia" w:ascii="宋体" w:hAnsi="宋体" w:cs="宋体"/>
                <w:color w:val="auto"/>
                <w:szCs w:val="21"/>
              </w:rPr>
              <w:t>。</w:t>
            </w:r>
          </w:p>
          <w:p w14:paraId="7C7EE5B3">
            <w:pPr>
              <w:spacing w:line="400" w:lineRule="exact"/>
              <w:jc w:val="left"/>
              <w:rPr>
                <w:rFonts w:ascii="宋体" w:hAnsi="宋体" w:cs="宋体"/>
                <w:color w:val="auto"/>
                <w:szCs w:val="21"/>
              </w:rPr>
            </w:pPr>
            <w:r>
              <w:rPr>
                <w:rFonts w:hint="eastAsia" w:ascii="宋体" w:hAnsi="宋体" w:cs="宋体"/>
                <w:b/>
                <w:bCs/>
                <w:color w:val="auto"/>
                <w:szCs w:val="21"/>
              </w:rPr>
              <w:t>注：上述后续服务及培训方案评分详见“第四章 评标办法及评标标准”。</w:t>
            </w:r>
          </w:p>
        </w:tc>
      </w:tr>
      <w:tr w14:paraId="04884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659" w:type="dxa"/>
            <w:gridSpan w:val="2"/>
            <w:vAlign w:val="center"/>
          </w:tcPr>
          <w:p w14:paraId="58113AC7">
            <w:pPr>
              <w:adjustRightInd w:val="0"/>
              <w:snapToGrid w:val="0"/>
              <w:spacing w:line="320" w:lineRule="exact"/>
              <w:jc w:val="center"/>
              <w:rPr>
                <w:rFonts w:ascii="宋体" w:hAnsi="宋体" w:cs="宋体"/>
                <w:b/>
                <w:i/>
                <w:color w:val="auto"/>
                <w:szCs w:val="21"/>
              </w:rPr>
            </w:pPr>
            <w:r>
              <w:rPr>
                <w:rFonts w:hint="eastAsia" w:ascii="宋体" w:hAnsi="宋体" w:cs="宋体"/>
                <w:bCs/>
                <w:color w:val="auto"/>
                <w:szCs w:val="21"/>
              </w:rPr>
              <w:t>（四）履约能力要求</w:t>
            </w:r>
          </w:p>
        </w:tc>
        <w:tc>
          <w:tcPr>
            <w:tcW w:w="7135" w:type="dxa"/>
            <w:gridSpan w:val="2"/>
            <w:vAlign w:val="center"/>
          </w:tcPr>
          <w:p w14:paraId="2591F083">
            <w:pPr>
              <w:spacing w:line="400" w:lineRule="exact"/>
              <w:rPr>
                <w:rFonts w:ascii="宋体" w:hAnsi="宋体" w:cs="宋体"/>
                <w:b/>
                <w:bCs/>
                <w:color w:val="auto"/>
                <w:szCs w:val="21"/>
              </w:rPr>
            </w:pPr>
            <w:r>
              <w:rPr>
                <w:rFonts w:hint="eastAsia" w:ascii="宋体" w:hAnsi="宋体" w:cs="宋体"/>
                <w:color w:val="auto"/>
                <w:szCs w:val="21"/>
              </w:rPr>
              <w:t>供应商提供自2021年1月1日以来具有完成同类项目的业绩。</w:t>
            </w:r>
          </w:p>
          <w:p w14:paraId="1B1B0815">
            <w:pPr>
              <w:spacing w:line="400" w:lineRule="exact"/>
              <w:rPr>
                <w:rFonts w:ascii="宋体" w:hAnsi="宋体" w:cs="宋体"/>
                <w:b/>
                <w:i/>
                <w:color w:val="auto"/>
                <w:szCs w:val="21"/>
              </w:rPr>
            </w:pPr>
            <w:r>
              <w:rPr>
                <w:rFonts w:hint="eastAsia" w:ascii="宋体" w:hAnsi="宋体" w:cs="宋体"/>
                <w:b/>
                <w:bCs/>
                <w:color w:val="auto"/>
                <w:szCs w:val="21"/>
              </w:rPr>
              <w:t>注：上述履约能力加分详见“第四章  评标办法及评标标准”。</w:t>
            </w:r>
          </w:p>
        </w:tc>
      </w:tr>
    </w:tbl>
    <w:p w14:paraId="16DF4D81">
      <w:pPr>
        <w:pStyle w:val="2"/>
        <w:spacing w:before="0" w:after="0" w:line="600" w:lineRule="exact"/>
        <w:jc w:val="center"/>
        <w:rPr>
          <w:color w:val="auto"/>
        </w:rPr>
      </w:pPr>
    </w:p>
    <w:p w14:paraId="15138A8C">
      <w:pPr>
        <w:pStyle w:val="2"/>
        <w:keepNext w:val="0"/>
        <w:wordWrap w:val="0"/>
        <w:spacing w:before="0" w:after="0" w:line="600" w:lineRule="exact"/>
        <w:jc w:val="center"/>
        <w:rPr>
          <w:color w:val="auto"/>
        </w:rPr>
      </w:pPr>
    </w:p>
    <w:p w14:paraId="55AB36A0">
      <w:pPr>
        <w:rPr>
          <w:color w:val="auto"/>
        </w:rPr>
      </w:pPr>
    </w:p>
    <w:p w14:paraId="185A7C96">
      <w:pPr>
        <w:rPr>
          <w:color w:val="auto"/>
        </w:rPr>
      </w:pPr>
    </w:p>
    <w:p w14:paraId="6E84BCCE">
      <w:pPr>
        <w:rPr>
          <w:color w:val="auto"/>
        </w:rPr>
      </w:pPr>
    </w:p>
    <w:p w14:paraId="636E1F6E">
      <w:pPr>
        <w:rPr>
          <w:color w:val="auto"/>
        </w:rPr>
      </w:pPr>
    </w:p>
    <w:p w14:paraId="6F680963">
      <w:pPr>
        <w:rPr>
          <w:color w:val="auto"/>
        </w:rPr>
      </w:pPr>
    </w:p>
    <w:p w14:paraId="0268C402">
      <w:pPr>
        <w:rPr>
          <w:color w:val="auto"/>
        </w:rPr>
      </w:pPr>
    </w:p>
    <w:p w14:paraId="4EA11733">
      <w:pPr>
        <w:rPr>
          <w:color w:val="auto"/>
        </w:rPr>
      </w:pPr>
    </w:p>
    <w:p w14:paraId="2C6F06C0">
      <w:pPr>
        <w:rPr>
          <w:color w:val="auto"/>
        </w:rPr>
      </w:pPr>
    </w:p>
    <w:p w14:paraId="07295288">
      <w:pPr>
        <w:rPr>
          <w:color w:val="auto"/>
        </w:rPr>
      </w:pPr>
    </w:p>
    <w:p w14:paraId="24ABF011">
      <w:pPr>
        <w:rPr>
          <w:color w:val="auto"/>
        </w:rPr>
      </w:pPr>
    </w:p>
    <w:p w14:paraId="15D36117">
      <w:pPr>
        <w:rPr>
          <w:color w:val="auto"/>
        </w:rPr>
      </w:pPr>
    </w:p>
    <w:p w14:paraId="14143231">
      <w:pPr>
        <w:rPr>
          <w:color w:val="auto"/>
        </w:rPr>
      </w:pPr>
    </w:p>
    <w:p w14:paraId="3EE2ADE7">
      <w:pPr>
        <w:rPr>
          <w:color w:val="auto"/>
        </w:rPr>
      </w:pPr>
    </w:p>
    <w:p w14:paraId="155F4D6D">
      <w:pPr>
        <w:rPr>
          <w:color w:val="auto"/>
        </w:rPr>
      </w:pPr>
    </w:p>
    <w:p w14:paraId="4C0005E6">
      <w:pPr>
        <w:rPr>
          <w:color w:val="auto"/>
        </w:rPr>
      </w:pPr>
    </w:p>
    <w:p w14:paraId="60B4FE47">
      <w:pPr>
        <w:rPr>
          <w:color w:val="auto"/>
        </w:rPr>
      </w:pPr>
    </w:p>
    <w:p w14:paraId="01F157D7">
      <w:pPr>
        <w:rPr>
          <w:color w:val="auto"/>
        </w:rPr>
      </w:pPr>
    </w:p>
    <w:p w14:paraId="0380615E">
      <w:pPr>
        <w:rPr>
          <w:color w:val="auto"/>
        </w:rPr>
      </w:pPr>
    </w:p>
    <w:p w14:paraId="59CCBE01">
      <w:pPr>
        <w:rPr>
          <w:color w:val="auto"/>
        </w:rPr>
      </w:pPr>
    </w:p>
    <w:p w14:paraId="6CADEFFF">
      <w:pPr>
        <w:rPr>
          <w:color w:val="auto"/>
        </w:rPr>
      </w:pPr>
    </w:p>
    <w:p w14:paraId="7DE9B7C3">
      <w:pPr>
        <w:rPr>
          <w:color w:val="auto"/>
        </w:rPr>
      </w:pPr>
    </w:p>
    <w:p w14:paraId="138A5A28">
      <w:pPr>
        <w:rPr>
          <w:color w:val="auto"/>
        </w:rPr>
      </w:pPr>
    </w:p>
    <w:p w14:paraId="4560835D">
      <w:pPr>
        <w:rPr>
          <w:color w:val="auto"/>
        </w:rPr>
      </w:pPr>
    </w:p>
    <w:p w14:paraId="4CFCF37D">
      <w:pPr>
        <w:rPr>
          <w:color w:val="auto"/>
        </w:rPr>
      </w:pPr>
    </w:p>
    <w:p w14:paraId="270B2EFE">
      <w:pPr>
        <w:rPr>
          <w:color w:val="auto"/>
        </w:rPr>
      </w:pPr>
    </w:p>
    <w:p w14:paraId="7065B875">
      <w:pPr>
        <w:rPr>
          <w:color w:val="auto"/>
        </w:rPr>
      </w:pPr>
    </w:p>
    <w:p w14:paraId="78E42187">
      <w:pPr>
        <w:rPr>
          <w:color w:val="auto"/>
        </w:rPr>
      </w:pPr>
    </w:p>
    <w:p w14:paraId="00F5B183">
      <w:pPr>
        <w:rPr>
          <w:color w:val="auto"/>
        </w:rPr>
      </w:pPr>
    </w:p>
    <w:p w14:paraId="6B79DD63">
      <w:pPr>
        <w:rPr>
          <w:color w:val="auto"/>
        </w:rPr>
      </w:pPr>
    </w:p>
    <w:p w14:paraId="6B985FEF">
      <w:pPr>
        <w:rPr>
          <w:color w:val="auto"/>
        </w:rPr>
      </w:pPr>
    </w:p>
    <w:p w14:paraId="34E8990A">
      <w:pPr>
        <w:rPr>
          <w:color w:val="auto"/>
        </w:rPr>
      </w:pPr>
    </w:p>
    <w:p w14:paraId="4E7C5B91">
      <w:pPr>
        <w:rPr>
          <w:color w:val="auto"/>
        </w:rPr>
      </w:pPr>
    </w:p>
    <w:p w14:paraId="3FAC5116">
      <w:pPr>
        <w:rPr>
          <w:color w:val="auto"/>
        </w:rPr>
      </w:pPr>
    </w:p>
    <w:p w14:paraId="3C2FA8CF">
      <w:pPr>
        <w:pStyle w:val="2"/>
        <w:keepNext w:val="0"/>
        <w:wordWrap w:val="0"/>
        <w:spacing w:before="0" w:after="0" w:line="600" w:lineRule="exact"/>
        <w:jc w:val="center"/>
        <w:rPr>
          <w:color w:val="auto"/>
        </w:rPr>
      </w:pPr>
      <w:r>
        <w:rPr>
          <w:rFonts w:hint="eastAsia"/>
          <w:color w:val="auto"/>
        </w:rPr>
        <w:t>第四章  评审程序、评审方法和评审标准</w:t>
      </w:r>
      <w:bookmarkEnd w:id="77"/>
    </w:p>
    <w:p w14:paraId="08ED6876">
      <w:pPr>
        <w:spacing w:line="360" w:lineRule="auto"/>
        <w:jc w:val="center"/>
        <w:rPr>
          <w:rFonts w:ascii="宋体" w:hAnsi="宋体"/>
          <w:b/>
          <w:color w:val="auto"/>
          <w:sz w:val="32"/>
          <w:szCs w:val="32"/>
        </w:rPr>
      </w:pPr>
      <w:r>
        <w:rPr>
          <w:rFonts w:hint="eastAsia" w:ascii="宋体" w:hAnsi="宋体"/>
          <w:b/>
          <w:color w:val="auto"/>
          <w:sz w:val="32"/>
          <w:szCs w:val="32"/>
        </w:rPr>
        <w:t>一、评审程序和评审方法</w:t>
      </w:r>
    </w:p>
    <w:p w14:paraId="531B8D97">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.资格审查</w:t>
      </w:r>
    </w:p>
    <w:p w14:paraId="1B89D08C">
      <w:pPr>
        <w:snapToGrid w:val="0"/>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.1</w:t>
      </w:r>
      <w:r>
        <w:rPr>
          <w:rFonts w:hint="eastAsia" w:ascii="宋体" w:hAnsi="宋体"/>
          <w:color w:val="auto"/>
          <w:szCs w:val="21"/>
        </w:rPr>
        <w:t>响应文件开启后，磋商小组依法对供应商的资格证明文件进行审查。</w:t>
      </w:r>
    </w:p>
    <w:p w14:paraId="0DD6951B">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注：</w:t>
      </w:r>
      <w:r>
        <w:rPr>
          <w:rFonts w:hint="eastAsia"/>
          <w:color w:val="auto"/>
        </w:rPr>
        <w:t>磋商小组</w:t>
      </w:r>
      <w:r>
        <w:rPr>
          <w:rFonts w:hint="eastAsia" w:ascii="宋体" w:hAnsi="宋体" w:cs="宋体"/>
          <w:color w:val="auto"/>
          <w:szCs w:val="21"/>
        </w:rPr>
        <w:t>在资格审查结束前，对供应商进行信用查询。</w:t>
      </w:r>
    </w:p>
    <w:p w14:paraId="643D1E84">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（1）查询渠道：</w:t>
      </w:r>
      <w:r>
        <w:rPr>
          <w:rFonts w:hint="eastAsia" w:ascii="宋体" w:hAnsi="宋体"/>
          <w:color w:val="auto"/>
          <w:szCs w:val="21"/>
        </w:rPr>
        <w:t>广西政府采购云平台</w:t>
      </w:r>
      <w:r>
        <w:rPr>
          <w:rFonts w:hint="eastAsia" w:ascii="宋体" w:hAnsi="宋体" w:cs="宋体"/>
          <w:color w:val="auto"/>
          <w:szCs w:val="21"/>
        </w:rPr>
        <w:t>“信用中国”网站(www.creditchina.gov.cn)、中国政府采购网(www.ccgp.gov.cn)链接入口。</w:t>
      </w:r>
    </w:p>
    <w:p w14:paraId="169F9EDA">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（2）信用查询截止时点：资格审查结束前。</w:t>
      </w:r>
    </w:p>
    <w:p w14:paraId="04DA3729">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（3）查询记录和证据留存方式：在查询网站中直接查询，截图另存为电子文档作为评审资料保存。</w:t>
      </w:r>
    </w:p>
    <w:p w14:paraId="3A6E552D">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（4）信用信息使用规则：对在“信用中国”网站（www.creditchina.gov.cn） 、中国政府采购网（www.ccgp.gov.cn）被列入失信被执行人、</w:t>
      </w:r>
      <w:r>
        <w:rPr>
          <w:rFonts w:hint="eastAsia" w:ascii="宋体" w:hAnsi="宋体" w:cs="宋体"/>
          <w:color w:val="auto"/>
          <w:kern w:val="0"/>
          <w:szCs w:val="21"/>
        </w:rPr>
        <w:t>重大税收违法失信主体</w:t>
      </w:r>
      <w:r>
        <w:rPr>
          <w:rFonts w:hint="eastAsia" w:ascii="宋体" w:hAnsi="宋体" w:cs="宋体"/>
          <w:color w:val="auto"/>
          <w:szCs w:val="21"/>
        </w:rPr>
        <w:t>、政府采购严重违法失信行为记录名单及其他不符合《中华人民共和国政府采购法》第二十二条规定条件的供应商，资格审查不通过，不得参与政府采购活动。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rPr>
        <w:t>两个以上的自然人、法人或者其他组织组成一个联合体，以一个供应商的身份共同参加政府采购活动的，应当对所有联合体成员进行信用记录查询，联合体成员存在不良信用记录（被列入失信被执行人、</w:t>
      </w:r>
      <w:r>
        <w:rPr>
          <w:rFonts w:hint="eastAsia" w:ascii="宋体" w:hAnsi="宋体" w:cs="宋体"/>
          <w:color w:val="auto"/>
          <w:kern w:val="0"/>
          <w:szCs w:val="21"/>
        </w:rPr>
        <w:t>重大税收违法失信主体</w:t>
      </w:r>
      <w:r>
        <w:rPr>
          <w:rFonts w:hint="eastAsia" w:ascii="宋体" w:hAnsi="宋体"/>
          <w:color w:val="auto"/>
          <w:szCs w:val="21"/>
        </w:rPr>
        <w:t>、政府采购严重违法失信行为记录名单及其他不符合《中华人民共和国政府采购法》第二十二条规定条件的供应商）的，视同联合体存在不良信用记录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rPr>
        <w:t>。</w:t>
      </w:r>
    </w:p>
    <w:p w14:paraId="215613DF">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.2资格审查标准为本磋商文件中载明对供应商资格要求的条件。资格审查采用合格制，凡符合磋商文件规定的供应商资格要求的响应文件均通过资格审查。</w:t>
      </w:r>
    </w:p>
    <w:p w14:paraId="3384FFA3">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.3供应商有下列情形之一的，资格审查不通过，其响应文件按无效响应处理：</w:t>
      </w:r>
    </w:p>
    <w:p w14:paraId="57575485">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14:paraId="2BA84410">
      <w:pPr>
        <w:spacing w:line="360" w:lineRule="auto"/>
        <w:ind w:firstLine="420" w:firstLineChars="200"/>
        <w:rPr>
          <w:rFonts w:ascii="宋体" w:hAnsi="宋体" w:cs="宋体"/>
          <w:color w:val="auto"/>
          <w:szCs w:val="21"/>
        </w:rPr>
      </w:pPr>
      <w:r>
        <w:rPr>
          <w:rFonts w:hint="eastAsia" w:ascii="宋体" w:hAnsi="宋体" w:cs="宋体"/>
          <w:color w:val="auto"/>
          <w:szCs w:val="21"/>
        </w:rPr>
        <w:t>（2）未按磋商文件规定的方式获取本磋商文件的供应商；</w:t>
      </w:r>
    </w:p>
    <w:p w14:paraId="1C4CA055">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）响应文件的资格证明文件缺少任一项“供应商须知前附表”资格证明文件规定的“必须提供”的文件资料的；</w:t>
      </w:r>
    </w:p>
    <w:p w14:paraId="50169146">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）响应文件中的资格证明文件出现任一项不符合“供应商须知前附表”资格证明文件规定的“必须提供”的文件资料要求或者无效的；</w:t>
      </w:r>
    </w:p>
    <w:p w14:paraId="003504E0">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2941DE43">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.4通过资格审查的合格供应商不足3家的，不得进入符合性审查环节，</w:t>
      </w:r>
      <w:r>
        <w:rPr>
          <w:rFonts w:hint="eastAsia" w:ascii="宋体" w:hAnsi="宋体"/>
          <w:color w:val="auto"/>
          <w:szCs w:val="21"/>
        </w:rPr>
        <w:t>采购人或者采购代理机构应当重新开展采购活动。</w:t>
      </w:r>
    </w:p>
    <w:p w14:paraId="6F777828">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.符合性审查</w:t>
      </w:r>
    </w:p>
    <w:p w14:paraId="478C6524">
      <w:pPr>
        <w:spacing w:line="360" w:lineRule="auto"/>
        <w:ind w:firstLine="420" w:firstLineChars="200"/>
        <w:rPr>
          <w:rFonts w:ascii="宋体" w:hAnsi="宋体" w:cs="宋体"/>
          <w:color w:val="auto"/>
          <w:szCs w:val="21"/>
        </w:rPr>
      </w:pPr>
      <w:bookmarkStart w:id="84" w:name="_Hlk42528882"/>
      <w:r>
        <w:rPr>
          <w:rFonts w:ascii="宋体" w:hAnsi="宋体" w:cs="宋体"/>
          <w:color w:val="auto"/>
          <w:szCs w:val="21"/>
        </w:rPr>
        <w:t>2.1</w:t>
      </w:r>
      <w:r>
        <w:rPr>
          <w:rFonts w:hint="eastAsia" w:ascii="宋体" w:hAnsi="宋体" w:cs="宋体"/>
          <w:color w:val="auto"/>
          <w:szCs w:val="21"/>
        </w:rPr>
        <w:t>由磋商小组对</w:t>
      </w:r>
      <w:r>
        <w:rPr>
          <w:rFonts w:hint="eastAsia" w:ascii="宋体" w:hAnsi="宋体"/>
          <w:color w:val="auto"/>
          <w:szCs w:val="21"/>
        </w:rPr>
        <w:t>通过资格审查的合格供应商</w:t>
      </w:r>
      <w:r>
        <w:rPr>
          <w:rFonts w:hint="eastAsia" w:ascii="宋体" w:hAnsi="宋体" w:cs="宋体"/>
          <w:color w:val="auto"/>
          <w:szCs w:val="21"/>
        </w:rPr>
        <w:t>的响应文件的</w:t>
      </w:r>
      <w:r>
        <w:rPr>
          <w:rFonts w:hint="eastAsia" w:ascii="宋体" w:hAnsi="宋体" w:cs="宋体"/>
          <w:color w:val="auto"/>
          <w:szCs w:val="21"/>
          <w:lang w:eastAsia="zh-CN"/>
        </w:rPr>
        <w:t>磋商报价</w:t>
      </w:r>
      <w:r>
        <w:rPr>
          <w:rFonts w:hint="eastAsia" w:ascii="宋体" w:hAnsi="宋体" w:cs="宋体"/>
          <w:color w:val="auto"/>
          <w:szCs w:val="21"/>
        </w:rPr>
        <w:t>、商务、技术等实质性要求进行符合性审查，以确定其是否满足磋商文件的实质性要求。</w:t>
      </w:r>
    </w:p>
    <w:bookmarkEnd w:id="84"/>
    <w:p w14:paraId="36EDB44C">
      <w:pPr>
        <w:spacing w:line="360" w:lineRule="auto"/>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62E1E89">
      <w:pPr>
        <w:spacing w:line="360" w:lineRule="auto"/>
        <w:ind w:firstLine="420" w:firstLineChars="200"/>
        <w:rPr>
          <w:rFonts w:ascii="宋体" w:hAnsi="宋体" w:cs="宋体"/>
          <w:color w:val="auto"/>
          <w:spacing w:val="-6"/>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公章或电子签章</w:t>
      </w:r>
      <w:r>
        <w:rPr>
          <w:rFonts w:hint="eastAsia" w:ascii="宋体" w:hAnsi="宋体" w:cs="宋体"/>
          <w:color w:val="auto"/>
          <w:spacing w:val="-6"/>
          <w:szCs w:val="21"/>
        </w:rPr>
        <w:t>。</w:t>
      </w:r>
    </w:p>
    <w:p w14:paraId="22BAC175">
      <w:pPr>
        <w:spacing w:line="360" w:lineRule="auto"/>
        <w:ind w:firstLine="420" w:firstLineChars="200"/>
        <w:rPr>
          <w:rFonts w:ascii="宋体" w:hAnsi="宋体" w:cs="宋体"/>
          <w:color w:val="auto"/>
          <w:spacing w:val="-6"/>
          <w:szCs w:val="21"/>
        </w:rPr>
      </w:pPr>
      <w:r>
        <w:rPr>
          <w:rFonts w:hint="eastAsia" w:ascii="宋体" w:hAnsi="宋体" w:cs="Courier New"/>
          <w:color w:val="auto"/>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16B2443">
      <w:pPr>
        <w:spacing w:line="360" w:lineRule="auto"/>
        <w:ind w:firstLine="396" w:firstLineChars="200"/>
        <w:rPr>
          <w:rFonts w:ascii="宋体" w:hAnsi="宋体" w:cs="宋体"/>
          <w:color w:val="auto"/>
          <w:szCs w:val="21"/>
        </w:rPr>
      </w:pPr>
      <w:r>
        <w:rPr>
          <w:rFonts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14:paraId="3CF02F6B">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14:paraId="2AB7BC69">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14:paraId="7815D0A7">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14:paraId="2E3DF5AF">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44B84F00">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14:paraId="31B5FCE4">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14:paraId="56111685">
      <w:pPr>
        <w:spacing w:line="360" w:lineRule="auto"/>
        <w:ind w:firstLine="420" w:firstLineChars="200"/>
        <w:rPr>
          <w:rFonts w:ascii="宋体" w:hAnsi="宋体" w:cs="宋体"/>
          <w:color w:val="auto"/>
          <w:szCs w:val="21"/>
        </w:rPr>
      </w:pPr>
      <w:r>
        <w:rPr>
          <w:rFonts w:hint="eastAsia" w:ascii="宋体" w:hAnsi="宋体" w:cs="宋体"/>
          <w:color w:val="auto"/>
          <w:szCs w:val="21"/>
        </w:rPr>
        <w:t>在评审时，如发现下列情形之一的，将被视为响应文件无效处理：</w:t>
      </w:r>
    </w:p>
    <w:p w14:paraId="398C68CC">
      <w:pPr>
        <w:spacing w:line="360" w:lineRule="auto"/>
        <w:ind w:firstLine="420" w:firstLineChars="200"/>
        <w:rPr>
          <w:rFonts w:ascii="宋体" w:hAnsi="宋体" w:cs="宋体"/>
          <w:color w:val="auto"/>
          <w:szCs w:val="21"/>
        </w:rPr>
      </w:pPr>
      <w:r>
        <w:rPr>
          <w:rFonts w:hint="eastAsia" w:ascii="宋体" w:hAnsi="宋体" w:cs="宋体"/>
          <w:color w:val="auto"/>
          <w:szCs w:val="21"/>
        </w:rPr>
        <w:t>（1）商务技术评审</w:t>
      </w:r>
    </w:p>
    <w:p w14:paraId="6BC17BE6">
      <w:pPr>
        <w:spacing w:line="360" w:lineRule="auto"/>
        <w:ind w:firstLine="420" w:firstLineChars="200"/>
        <w:rPr>
          <w:rFonts w:ascii="宋体" w:hAnsi="宋体" w:cs="宋体"/>
          <w:color w:val="auto"/>
          <w:szCs w:val="21"/>
        </w:rPr>
      </w:pPr>
      <w:r>
        <w:rPr>
          <w:rFonts w:hint="eastAsia" w:ascii="宋体" w:hAnsi="宋体" w:cs="宋体"/>
          <w:color w:val="auto"/>
          <w:szCs w:val="21"/>
        </w:rPr>
        <w:t>1）响应文件未按磋商文件要求签署、盖章；</w:t>
      </w:r>
    </w:p>
    <w:p w14:paraId="6901CE18">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2）委托代理人未能出具有效身份证或者出具的身份证与授权委托书中的信息不符的； </w:t>
      </w:r>
    </w:p>
    <w:p w14:paraId="6FA72FD4">
      <w:pPr>
        <w:spacing w:line="360" w:lineRule="auto"/>
        <w:ind w:firstLine="420" w:firstLineChars="200"/>
        <w:rPr>
          <w:rFonts w:ascii="宋体" w:hAnsi="宋体" w:cs="宋体"/>
          <w:color w:val="auto"/>
          <w:szCs w:val="21"/>
        </w:rPr>
      </w:pPr>
      <w:r>
        <w:rPr>
          <w:rFonts w:hint="eastAsia" w:ascii="宋体" w:hAnsi="宋体" w:cs="宋体"/>
          <w:color w:val="auto"/>
          <w:szCs w:val="21"/>
        </w:rPr>
        <w:t>3）提交的磋商保证金无效的或者未按照磋商文件的规定提交磋商保证金；</w:t>
      </w:r>
    </w:p>
    <w:p w14:paraId="30F8735F">
      <w:pPr>
        <w:spacing w:line="360" w:lineRule="auto"/>
        <w:ind w:firstLine="420" w:firstLineChars="200"/>
        <w:rPr>
          <w:rFonts w:ascii="宋体" w:hAnsi="宋体" w:cs="宋体"/>
          <w:color w:val="auto"/>
          <w:szCs w:val="21"/>
        </w:rPr>
      </w:pPr>
      <w:r>
        <w:rPr>
          <w:rFonts w:hint="eastAsia" w:ascii="宋体" w:hAnsi="宋体" w:cs="宋体"/>
          <w:color w:val="auto"/>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861A852">
      <w:pPr>
        <w:spacing w:line="360" w:lineRule="auto"/>
        <w:ind w:firstLine="420" w:firstLineChars="200"/>
        <w:rPr>
          <w:rFonts w:ascii="宋体" w:hAnsi="宋体" w:cs="宋体"/>
          <w:color w:val="auto"/>
          <w:szCs w:val="21"/>
        </w:rPr>
      </w:pPr>
      <w:r>
        <w:rPr>
          <w:rFonts w:hint="eastAsia" w:ascii="宋体" w:hAnsi="宋体" w:cs="宋体"/>
          <w:color w:val="auto"/>
          <w:szCs w:val="21"/>
        </w:rPr>
        <w:t>5）商务要求允许负偏离的条款数超过“供应商须知前附表”规定项数的；</w:t>
      </w:r>
    </w:p>
    <w:p w14:paraId="3C4ED731">
      <w:pPr>
        <w:spacing w:line="360" w:lineRule="auto"/>
        <w:ind w:firstLine="420" w:firstLineChars="200"/>
        <w:rPr>
          <w:rFonts w:ascii="宋体" w:hAnsi="宋体" w:cs="宋体"/>
          <w:color w:val="auto"/>
          <w:szCs w:val="21"/>
        </w:rPr>
      </w:pPr>
      <w:r>
        <w:rPr>
          <w:rFonts w:hint="eastAsia" w:ascii="宋体" w:hAnsi="宋体" w:cs="宋体"/>
          <w:color w:val="auto"/>
          <w:szCs w:val="21"/>
        </w:rPr>
        <w:t>6）未对竞标有效期作出响应或者响应文件承诺的竞标有效期不满足磋商文件要求；</w:t>
      </w:r>
    </w:p>
    <w:p w14:paraId="202451B3">
      <w:pPr>
        <w:spacing w:line="360" w:lineRule="auto"/>
        <w:ind w:firstLine="420" w:firstLineChars="200"/>
        <w:rPr>
          <w:rFonts w:ascii="宋体" w:hAnsi="宋体" w:cs="宋体"/>
          <w:color w:val="auto"/>
          <w:szCs w:val="21"/>
        </w:rPr>
      </w:pPr>
      <w:r>
        <w:rPr>
          <w:rFonts w:hint="eastAsia" w:ascii="宋体" w:hAnsi="宋体" w:cs="宋体"/>
          <w:color w:val="auto"/>
          <w:szCs w:val="21"/>
        </w:rPr>
        <w:t>7）响应文件的实质性内容未使用中文表述、使用计量单位不符合磋商文件要求；</w:t>
      </w:r>
    </w:p>
    <w:p w14:paraId="6505314D">
      <w:pPr>
        <w:spacing w:line="360" w:lineRule="auto"/>
        <w:ind w:firstLine="420" w:firstLineChars="200"/>
        <w:rPr>
          <w:rFonts w:ascii="宋体" w:hAnsi="宋体" w:cs="宋体"/>
          <w:color w:val="auto"/>
          <w:szCs w:val="21"/>
        </w:rPr>
      </w:pPr>
      <w:r>
        <w:rPr>
          <w:rFonts w:hint="eastAsia" w:ascii="宋体" w:hAnsi="宋体" w:cs="宋体"/>
          <w:color w:val="auto"/>
          <w:szCs w:val="21"/>
        </w:rPr>
        <w:t>8）响应文件中的文件资料因填写不齐全或者内容虚假或者出现其他情形而导致被磋商小组认定无效；</w:t>
      </w:r>
    </w:p>
    <w:p w14:paraId="1B4755D7">
      <w:pPr>
        <w:spacing w:line="360" w:lineRule="auto"/>
        <w:ind w:firstLine="420" w:firstLineChars="200"/>
        <w:rPr>
          <w:rFonts w:ascii="宋体" w:hAnsi="宋体" w:cs="宋体"/>
          <w:color w:val="auto"/>
          <w:szCs w:val="21"/>
        </w:rPr>
      </w:pPr>
      <w:r>
        <w:rPr>
          <w:rFonts w:hint="eastAsia" w:ascii="宋体" w:hAnsi="宋体" w:cs="宋体"/>
          <w:color w:val="auto"/>
          <w:szCs w:val="21"/>
        </w:rPr>
        <w:t>9）响应文件含有采购人不能接受的附加条件；</w:t>
      </w:r>
    </w:p>
    <w:p w14:paraId="4196E477">
      <w:pPr>
        <w:spacing w:line="360" w:lineRule="auto"/>
        <w:ind w:firstLine="420" w:firstLineChars="200"/>
        <w:rPr>
          <w:rFonts w:ascii="宋体" w:hAnsi="宋体" w:cs="宋体"/>
          <w:color w:val="auto"/>
          <w:szCs w:val="21"/>
        </w:rPr>
      </w:pPr>
      <w:r>
        <w:rPr>
          <w:rFonts w:hint="eastAsia" w:ascii="宋体" w:hAnsi="宋体" w:cs="宋体"/>
          <w:color w:val="auto"/>
          <w:szCs w:val="21"/>
        </w:rPr>
        <w:t>10）属于“供应商须知正文”第7.</w:t>
      </w:r>
      <w:r>
        <w:rPr>
          <w:rFonts w:ascii="宋体" w:hAnsi="宋体" w:cs="宋体"/>
          <w:color w:val="auto"/>
          <w:szCs w:val="21"/>
        </w:rPr>
        <w:t>5</w:t>
      </w:r>
      <w:r>
        <w:rPr>
          <w:rFonts w:hint="eastAsia" w:ascii="宋体" w:hAnsi="宋体" w:cs="宋体"/>
          <w:color w:val="auto"/>
          <w:szCs w:val="21"/>
        </w:rPr>
        <w:t>条情形；</w:t>
      </w:r>
    </w:p>
    <w:p w14:paraId="235BFF5B">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1）技术（服务）要求允许负偏离的条款数超过“供应商须知前附表”规定项数；</w:t>
      </w:r>
    </w:p>
    <w:p w14:paraId="06C7377F">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2）虚假竞标，或者出现其他情形而导致被磋商小组认定无效；</w:t>
      </w:r>
    </w:p>
    <w:p w14:paraId="1E03B31B">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w:t>
      </w:r>
      <w:bookmarkStart w:id="85" w:name="_Hlk71704147"/>
      <w:r>
        <w:rPr>
          <w:rFonts w:hint="eastAsia" w:ascii="宋体" w:hAnsi="宋体" w:cs="宋体"/>
          <w:color w:val="auto"/>
          <w:szCs w:val="21"/>
        </w:rPr>
        <w:t>磋商文件未载明允许提供备选（替代）竞标方案或明确不允许提供备选（替代）竞标方案时，供应商提供了备选（替代）竞标方案的；</w:t>
      </w:r>
      <w:bookmarkEnd w:id="85"/>
    </w:p>
    <w:p w14:paraId="45A1D0A0">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4</w:t>
      </w:r>
      <w:r>
        <w:rPr>
          <w:rFonts w:hint="eastAsia" w:ascii="宋体" w:hAnsi="宋体" w:cs="宋体"/>
          <w:color w:val="auto"/>
          <w:szCs w:val="21"/>
        </w:rPr>
        <w:t>）</w:t>
      </w:r>
      <w:r>
        <w:rPr>
          <w:rFonts w:hint="eastAsia" w:ascii="宋体" w:hAnsi="宋体"/>
          <w:color w:val="auto"/>
          <w:szCs w:val="21"/>
        </w:rPr>
        <w:t>竞争性磋商文件明确不允许分包，响应文件拟分包的；</w:t>
      </w:r>
    </w:p>
    <w:p w14:paraId="2EEDC296">
      <w:pPr>
        <w:spacing w:line="360" w:lineRule="auto"/>
        <w:ind w:firstLine="420" w:firstLineChars="200"/>
        <w:rPr>
          <w:rFonts w:ascii="宋体" w:hAnsi="宋体" w:cs="宋体"/>
          <w:color w:val="auto"/>
          <w:szCs w:val="21"/>
        </w:rPr>
      </w:pPr>
      <w:r>
        <w:rPr>
          <w:rFonts w:ascii="宋体" w:hAnsi="宋体" w:cs="宋体"/>
          <w:color w:val="auto"/>
          <w:szCs w:val="21"/>
        </w:rPr>
        <w:t>15</w:t>
      </w:r>
      <w:r>
        <w:rPr>
          <w:rFonts w:hint="eastAsia" w:ascii="宋体" w:hAnsi="宋体" w:cs="宋体"/>
          <w:color w:val="auto"/>
          <w:szCs w:val="21"/>
        </w:rPr>
        <w:t>）未响应磋商文件实质性要求；</w:t>
      </w:r>
    </w:p>
    <w:p w14:paraId="6566BD58">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6</w:t>
      </w:r>
      <w:r>
        <w:rPr>
          <w:rFonts w:hint="eastAsia" w:ascii="宋体" w:hAnsi="宋体" w:cs="宋体"/>
          <w:color w:val="auto"/>
          <w:szCs w:val="21"/>
        </w:rPr>
        <w:t>）法律、法规和磋商文件规定的其他无效情形。</w:t>
      </w:r>
    </w:p>
    <w:p w14:paraId="29F54ED2">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）报价评审</w:t>
      </w:r>
    </w:p>
    <w:p w14:paraId="38DBC6F7">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响应文件未提供“供应商须知前附表” 报价文件中规定的“</w:t>
      </w:r>
      <w:r>
        <w:rPr>
          <w:rFonts w:hint="eastAsia" w:ascii="宋体" w:hAnsi="宋体" w:cs="宋体"/>
          <w:color w:val="auto"/>
          <w:szCs w:val="21"/>
          <w:lang w:eastAsia="zh-CN"/>
        </w:rPr>
        <w:t>磋商报价</w:t>
      </w:r>
      <w:r>
        <w:rPr>
          <w:rFonts w:hint="eastAsia" w:ascii="宋体" w:hAnsi="宋体" w:cs="宋体"/>
          <w:color w:val="auto"/>
          <w:szCs w:val="21"/>
        </w:rPr>
        <w:t>表”；</w:t>
      </w:r>
    </w:p>
    <w:p w14:paraId="78D5EEBD">
      <w:pPr>
        <w:spacing w:line="360" w:lineRule="auto"/>
        <w:ind w:firstLine="420" w:firstLineChars="200"/>
        <w:rPr>
          <w:rFonts w:ascii="宋体" w:hAnsi="宋体" w:cs="宋体"/>
          <w:color w:val="auto"/>
          <w:szCs w:val="21"/>
        </w:rPr>
      </w:pPr>
      <w:r>
        <w:rPr>
          <w:rFonts w:hint="eastAsia" w:ascii="宋体" w:hAnsi="宋体" w:cs="宋体"/>
          <w:color w:val="auto"/>
          <w:szCs w:val="21"/>
        </w:rPr>
        <w:t>2）未采用人民币报价或者未按照磋商文件标明的币种报价；</w:t>
      </w:r>
    </w:p>
    <w:p w14:paraId="3E2CB8DD">
      <w:pPr>
        <w:spacing w:line="360" w:lineRule="auto"/>
        <w:ind w:firstLine="420" w:firstLineChars="200"/>
        <w:rPr>
          <w:rFonts w:ascii="宋体" w:hAnsi="宋体" w:cs="宋体"/>
          <w:color w:val="auto"/>
          <w:szCs w:val="21"/>
        </w:rPr>
      </w:pPr>
      <w:r>
        <w:rPr>
          <w:rFonts w:hint="eastAsia" w:ascii="宋体" w:hAnsi="宋体" w:cs="宋体"/>
          <w:color w:val="auto"/>
          <w:szCs w:val="21"/>
        </w:rPr>
        <w:t>3）供应商未就所竞产品进行报价或者存在漏项报价；供应商未就所竞产品的单项内容作唯一报价；供应商未就所竞产品的全部内容作完整唯一总价报价；供应商响应文件中存在有选择、有条件报价的（磋商文件允许有备选方案或者其他约定的除外）；</w:t>
      </w:r>
    </w:p>
    <w:p w14:paraId="684A5F5C">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eastAsia="zh-CN"/>
        </w:rPr>
        <w:t>磋商报价</w:t>
      </w:r>
      <w:r>
        <w:rPr>
          <w:rFonts w:hint="eastAsia" w:ascii="宋体" w:hAnsi="宋体" w:cs="宋体"/>
          <w:color w:val="auto"/>
          <w:szCs w:val="21"/>
        </w:rPr>
        <w:t>（包含首次报价、最后报价）超过所竞标项目规定的采购预算金额或者最高限价的（如本项目公布了最高限价）；</w:t>
      </w:r>
      <w:bookmarkStart w:id="86" w:name="_Hlk42596405"/>
      <w:r>
        <w:rPr>
          <w:rFonts w:hint="eastAsia" w:ascii="宋体" w:hAnsi="宋体" w:cs="宋体"/>
          <w:color w:val="auto"/>
          <w:szCs w:val="21"/>
          <w:lang w:eastAsia="zh-CN"/>
        </w:rPr>
        <w:t>磋商报价</w:t>
      </w:r>
      <w:r>
        <w:rPr>
          <w:rFonts w:hint="eastAsia" w:ascii="宋体" w:hAnsi="宋体" w:cs="宋体"/>
          <w:color w:val="auto"/>
          <w:szCs w:val="21"/>
        </w:rPr>
        <w:t>（包含首次报价、最后报价）</w:t>
      </w:r>
      <w:bookmarkEnd w:id="86"/>
      <w:bookmarkStart w:id="87" w:name="_Hlk42596276"/>
      <w:r>
        <w:rPr>
          <w:rFonts w:hint="eastAsia" w:ascii="宋体" w:hAnsi="宋体" w:cs="宋体"/>
          <w:color w:val="auto"/>
          <w:szCs w:val="21"/>
        </w:rPr>
        <w:t>超过磋商文件分项采购预算金额或者最高限价的</w:t>
      </w:r>
      <w:bookmarkEnd w:id="87"/>
      <w:r>
        <w:rPr>
          <w:rFonts w:hint="eastAsia" w:ascii="宋体" w:hAnsi="宋体" w:cs="宋体"/>
          <w:color w:val="auto"/>
          <w:szCs w:val="21"/>
        </w:rPr>
        <w:t>（如本项目公布了最高限价）；</w:t>
      </w:r>
    </w:p>
    <w:p w14:paraId="7BE91519">
      <w:pPr>
        <w:spacing w:line="360" w:lineRule="auto"/>
        <w:ind w:firstLine="420" w:firstLineChars="200"/>
        <w:rPr>
          <w:rFonts w:ascii="宋体" w:hAnsi="宋体" w:cs="宋体"/>
          <w:color w:val="auto"/>
          <w:szCs w:val="21"/>
        </w:rPr>
      </w:pPr>
      <w:r>
        <w:rPr>
          <w:rFonts w:hint="eastAsia" w:ascii="宋体" w:hAnsi="宋体" w:cs="宋体"/>
          <w:color w:val="auto"/>
          <w:szCs w:val="21"/>
        </w:rPr>
        <w:t>5）修正后的报价，供应商不确认的；或者经供应商确认修正后的</w:t>
      </w:r>
      <w:r>
        <w:rPr>
          <w:rFonts w:hint="eastAsia" w:ascii="宋体" w:hAnsi="宋体" w:cs="宋体"/>
          <w:color w:val="auto"/>
          <w:szCs w:val="21"/>
          <w:lang w:eastAsia="zh-CN"/>
        </w:rPr>
        <w:t>磋商报价</w:t>
      </w:r>
      <w:r>
        <w:rPr>
          <w:rFonts w:hint="eastAsia" w:ascii="宋体" w:hAnsi="宋体" w:cs="宋体"/>
          <w:color w:val="auto"/>
          <w:szCs w:val="21"/>
        </w:rPr>
        <w:t>（包含首次报价、最后报价）超过所竞标项目规定的采购预算金额或者最高限价（如本项目公布了最高限价）；或者经供应商确认修正后</w:t>
      </w:r>
      <w:r>
        <w:rPr>
          <w:rFonts w:hint="eastAsia" w:ascii="宋体" w:hAnsi="宋体" w:cs="宋体"/>
          <w:color w:val="auto"/>
          <w:szCs w:val="21"/>
          <w:lang w:eastAsia="zh-CN"/>
        </w:rPr>
        <w:t>磋商报价</w:t>
      </w:r>
      <w:r>
        <w:rPr>
          <w:rFonts w:hint="eastAsia" w:ascii="宋体" w:hAnsi="宋体" w:cs="宋体"/>
          <w:color w:val="auto"/>
          <w:szCs w:val="21"/>
        </w:rPr>
        <w:t>（包含首次报价、最后报价）超过磋商文件分项采购预算金额或者最高限价的（如本项目公布了最高限价）。</w:t>
      </w:r>
    </w:p>
    <w:p w14:paraId="0ECA43ED">
      <w:pPr>
        <w:spacing w:line="360" w:lineRule="auto"/>
        <w:ind w:firstLine="420" w:firstLineChars="200"/>
        <w:rPr>
          <w:rFonts w:ascii="宋体" w:hAnsi="宋体" w:cs="宋体"/>
          <w:color w:val="auto"/>
          <w:szCs w:val="21"/>
        </w:rPr>
      </w:pPr>
      <w:r>
        <w:rPr>
          <w:rFonts w:hint="eastAsia" w:ascii="宋体" w:hAnsi="宋体" w:cs="宋体"/>
          <w:color w:val="auto"/>
          <w:szCs w:val="21"/>
        </w:rPr>
        <w:t>6）</w:t>
      </w:r>
      <w:r>
        <w:rPr>
          <w:rFonts w:hint="eastAsia" w:ascii="宋体" w:hAnsi="宋体"/>
          <w:color w:val="auto"/>
          <w:szCs w:val="21"/>
        </w:rPr>
        <w:t>响应文件响应的标的数量及单位与竞争性磋商采购文件要求实质性不一致的。</w:t>
      </w:r>
    </w:p>
    <w:p w14:paraId="0C8B0B7C">
      <w:pPr>
        <w:spacing w:line="360" w:lineRule="auto"/>
        <w:ind w:firstLine="420" w:firstLineChars="200"/>
        <w:rPr>
          <w:rFonts w:ascii="宋体" w:hAnsi="宋体" w:cs="宋体"/>
          <w:color w:val="auto"/>
          <w:szCs w:val="21"/>
        </w:rPr>
      </w:pPr>
      <w:r>
        <w:rPr>
          <w:rFonts w:ascii="宋体" w:hAnsi="宋体" w:cs="宋体"/>
          <w:color w:val="auto"/>
          <w:szCs w:val="21"/>
        </w:rPr>
        <w:t>2.6</w:t>
      </w:r>
      <w:r>
        <w:rPr>
          <w:rFonts w:hint="eastAsia" w:ascii="宋体" w:hAnsi="宋体" w:cs="宋体"/>
          <w:color w:val="auto"/>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9BE68AF">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olor w:val="auto"/>
          <w:szCs w:val="21"/>
        </w:rPr>
        <w:t>通过符合性审查的合格供应商不足3家的，不得进入磋商环节，采购人或者采购代理机构应当重新开展采购活动。</w:t>
      </w:r>
    </w:p>
    <w:p w14:paraId="62209806">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.磋商程序</w:t>
      </w:r>
    </w:p>
    <w:p w14:paraId="1023C692">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.1</w:t>
      </w:r>
      <w:r>
        <w:rPr>
          <w:rFonts w:hint="eastAsia" w:ascii="宋体" w:hAnsi="宋体" w:cs="宋体"/>
          <w:color w:val="auto"/>
          <w:kern w:val="0"/>
          <w:szCs w:val="21"/>
        </w:rPr>
        <w:t>磋商小组</w:t>
      </w:r>
      <w:r>
        <w:rPr>
          <w:rFonts w:hint="eastAsia" w:ascii="宋体" w:hAnsi="宋体" w:cs="宋体"/>
          <w:color w:val="auto"/>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07763FD">
      <w:pPr>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FF4B315">
      <w:pPr>
        <w:spacing w:line="360" w:lineRule="auto"/>
        <w:ind w:firstLine="420" w:firstLineChars="200"/>
        <w:rPr>
          <w:rFonts w:ascii="宋体" w:hAnsi="宋体" w:cs="宋体"/>
          <w:color w:val="auto"/>
          <w:szCs w:val="21"/>
        </w:rPr>
      </w:pPr>
      <w:r>
        <w:rPr>
          <w:rFonts w:ascii="宋体" w:hAnsi="宋体" w:cs="宋体"/>
          <w:color w:val="auto"/>
          <w:szCs w:val="21"/>
        </w:rPr>
        <w:t>3.3</w:t>
      </w:r>
      <w:r>
        <w:rPr>
          <w:rFonts w:hint="eastAsia" w:ascii="宋体" w:hAnsi="宋体" w:cs="宋体"/>
          <w:color w:val="auto"/>
          <w:szCs w:val="21"/>
        </w:rPr>
        <w:t>对磋商文件作出的实质性变动是磋商文件的有效组成部分，由磋商小组及时以电子澄清函形式同时通知所有参加磋商的供应商。</w:t>
      </w:r>
    </w:p>
    <w:p w14:paraId="6DAB7706">
      <w:pPr>
        <w:spacing w:line="360" w:lineRule="auto"/>
        <w:ind w:firstLine="420" w:firstLineChars="200"/>
        <w:rPr>
          <w:rFonts w:ascii="宋体" w:hAns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供应商必须按照磋商文件的变动情况和磋商小组的要求以回函的形式重新提交响应文件，并加盖公章或电子签章。参加磋商的供应商未在规定时间内重新提交响应文件的，视同退出磋商，其响应文件按无效处理。</w:t>
      </w:r>
    </w:p>
    <w:p w14:paraId="2ED11CF5">
      <w:pPr>
        <w:spacing w:line="360" w:lineRule="auto"/>
        <w:ind w:firstLine="420" w:firstLineChars="200"/>
        <w:rPr>
          <w:rFonts w:ascii="宋体" w:hAnsi="宋体" w:cs="宋体"/>
          <w:color w:val="auto"/>
          <w:szCs w:val="21"/>
        </w:rPr>
      </w:pPr>
      <w:r>
        <w:rPr>
          <w:rFonts w:ascii="宋体" w:hAnsi="宋体" w:cs="宋体"/>
          <w:color w:val="auto"/>
          <w:szCs w:val="21"/>
        </w:rPr>
        <w:t>3.5</w:t>
      </w:r>
      <w:r>
        <w:rPr>
          <w:rFonts w:hint="eastAsia" w:ascii="宋体" w:hAnsi="宋体" w:cs="宋体"/>
          <w:color w:val="auto"/>
          <w:szCs w:val="21"/>
        </w:rPr>
        <w:t>磋商中，</w:t>
      </w:r>
      <w:r>
        <w:rPr>
          <w:rFonts w:hint="eastAsia" w:ascii="宋体" w:hAnsi="宋体" w:cs="宋体"/>
          <w:color w:val="auto"/>
          <w:spacing w:val="-6"/>
          <w:szCs w:val="21"/>
        </w:rPr>
        <w:t>磋商的任何一方不得透露与磋商有关的其他供应商的技术资料、价格和其他信息。</w:t>
      </w:r>
    </w:p>
    <w:p w14:paraId="56401E8F">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3.6</w:t>
      </w:r>
      <w:r>
        <w:rPr>
          <w:rFonts w:hint="eastAsia" w:ascii="宋体" w:hAnsi="宋体" w:cs="宋体"/>
          <w:color w:val="auto"/>
          <w:szCs w:val="21"/>
        </w:rPr>
        <w:t>采购代理机构对磋商过程和重要磋商内容进行记录。</w:t>
      </w:r>
    </w:p>
    <w:p w14:paraId="7AB0E43C">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3.7</w:t>
      </w:r>
      <w:r>
        <w:rPr>
          <w:rFonts w:hint="eastAsia" w:ascii="宋体" w:hAnsi="宋体"/>
          <w:color w:val="auto"/>
          <w:szCs w:val="21"/>
        </w:rPr>
        <w:t>对磋商过程提交的响应文件进行有效性、完整性和响应程度审查，通过审查的合格供应商不足3家的，采购人或者采购代理机构应当重新开展采购活动。</w:t>
      </w:r>
    </w:p>
    <w:p w14:paraId="61F9436A">
      <w:pPr>
        <w:spacing w:line="360" w:lineRule="auto"/>
        <w:ind w:firstLine="482" w:firstLineChars="200"/>
        <w:rPr>
          <w:rFonts w:ascii="宋体" w:hAnsi="宋体" w:cs="宋体"/>
          <w:color w:val="auto"/>
          <w:szCs w:val="21"/>
        </w:rPr>
      </w:pPr>
      <w:r>
        <w:rPr>
          <w:rFonts w:ascii="黑体" w:hAnsi="黑体" w:eastAsia="黑体" w:cs="宋体"/>
          <w:b/>
          <w:bCs/>
          <w:color w:val="auto"/>
          <w:sz w:val="24"/>
        </w:rPr>
        <w:t>4.</w:t>
      </w:r>
      <w:r>
        <w:rPr>
          <w:rFonts w:hint="eastAsia" w:ascii="黑体" w:hAnsi="黑体" w:eastAsia="黑体" w:cs="宋体"/>
          <w:b/>
          <w:bCs/>
          <w:color w:val="auto"/>
          <w:sz w:val="24"/>
        </w:rPr>
        <w:t>最后报价</w:t>
      </w:r>
    </w:p>
    <w:p w14:paraId="79BEE9A8">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磋商文件能够详细列明采购标的的技术、服务要求的，磋商结束后，磋商小组应当要求所有继续参加磋商的供应商在规定时间内在</w:t>
      </w:r>
      <w:r>
        <w:rPr>
          <w:rFonts w:hint="eastAsia" w:ascii="宋体" w:hAnsi="宋体"/>
          <w:color w:val="auto"/>
          <w:szCs w:val="21"/>
        </w:rPr>
        <w:t>广西政府采购云平台</w:t>
      </w:r>
      <w:r>
        <w:rPr>
          <w:rFonts w:hint="eastAsia" w:ascii="宋体" w:hAnsi="宋体" w:cs="宋体"/>
          <w:color w:val="auto"/>
          <w:szCs w:val="21"/>
        </w:rPr>
        <w:t>开标大厅提交最后报价，除本章第</w:t>
      </w:r>
      <w:r>
        <w:rPr>
          <w:rFonts w:ascii="宋体" w:hAnsi="宋体" w:cs="宋体"/>
          <w:color w:val="auto"/>
          <w:szCs w:val="21"/>
        </w:rPr>
        <w:t>4.3</w:t>
      </w:r>
      <w:r>
        <w:rPr>
          <w:rFonts w:hint="eastAsia" w:ascii="宋体" w:hAnsi="宋体" w:cs="宋体"/>
          <w:color w:val="auto"/>
          <w:szCs w:val="21"/>
        </w:rPr>
        <w:t>条外，提交最后报价的供应商不得少于3家，否则必须重新采购。</w:t>
      </w:r>
    </w:p>
    <w:p w14:paraId="46E92036">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ascii="宋体" w:hAnsi="宋体"/>
          <w:color w:val="auto"/>
          <w:szCs w:val="21"/>
        </w:rPr>
        <w:t>广西政府采购云平台</w:t>
      </w:r>
      <w:r>
        <w:rPr>
          <w:rFonts w:hint="eastAsia" w:ascii="宋体" w:hAnsi="宋体" w:cs="宋体"/>
          <w:color w:val="auto"/>
          <w:szCs w:val="21"/>
        </w:rPr>
        <w:t>开标大厅提交最后报价。</w:t>
      </w:r>
    </w:p>
    <w:p w14:paraId="7371B329">
      <w:pPr>
        <w:spacing w:line="360" w:lineRule="auto"/>
        <w:ind w:firstLine="420" w:firstLineChars="200"/>
        <w:rPr>
          <w:rFonts w:ascii="宋体" w:hAnsi="宋体" w:cs="宋体"/>
          <w:color w:val="auto"/>
          <w:szCs w:val="21"/>
        </w:rPr>
      </w:pPr>
      <w:r>
        <w:rPr>
          <w:rFonts w:ascii="宋体" w:hAnsi="宋体" w:cs="宋体"/>
          <w:color w:val="auto"/>
          <w:szCs w:val="21"/>
        </w:rPr>
        <w:t>4.3</w:t>
      </w:r>
      <w:r>
        <w:rPr>
          <w:rFonts w:hint="eastAsia" w:ascii="宋体" w:hAnsi="宋体" w:cs="宋体"/>
          <w:color w:val="auto"/>
          <w:szCs w:val="21"/>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A905FE9">
      <w:pPr>
        <w:spacing w:line="360" w:lineRule="auto"/>
        <w:ind w:firstLine="420" w:firstLineChars="200"/>
        <w:rPr>
          <w:rFonts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已经提交响应文件的供应商，在提交最后报价之前，可以根据磋商情况退出磋商，退出磋商的供应商的响应文件按无效响应处理。采购人、采购代理机构将退还退出磋商的供应商的保证金。</w:t>
      </w:r>
    </w:p>
    <w:p w14:paraId="7A2EEC91">
      <w:pPr>
        <w:spacing w:line="360" w:lineRule="auto"/>
        <w:ind w:firstLine="420" w:firstLineChars="20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供应商未在规定时间内提交最后报价的，视同退出磋商，其响应文件按无效处理。</w:t>
      </w:r>
    </w:p>
    <w:p w14:paraId="6C3ABA7D">
      <w:pPr>
        <w:spacing w:line="360" w:lineRule="auto"/>
        <w:ind w:firstLine="420" w:firstLineChars="200"/>
        <w:rPr>
          <w:rFonts w:ascii="宋体" w:hAnsi="宋体" w:cs="宋体"/>
          <w:color w:val="auto"/>
          <w:szCs w:val="21"/>
        </w:rPr>
      </w:pPr>
      <w:r>
        <w:rPr>
          <w:rFonts w:ascii="宋体" w:hAnsi="宋体" w:cs="宋体"/>
          <w:color w:val="auto"/>
          <w:szCs w:val="21"/>
        </w:rPr>
        <w:t>4.6</w:t>
      </w:r>
      <w:r>
        <w:rPr>
          <w:rFonts w:hint="eastAsia" w:ascii="宋体" w:hAnsi="宋体" w:cs="宋体"/>
          <w:color w:val="auto"/>
          <w:szCs w:val="21"/>
        </w:rPr>
        <w:t>最后报价统一开启后，磋商小组对最后报价进行有效性、完整性和响应程度的审查。</w:t>
      </w:r>
    </w:p>
    <w:p w14:paraId="323207AE">
      <w:pPr>
        <w:spacing w:line="360" w:lineRule="auto"/>
        <w:ind w:firstLine="420" w:firstLineChars="200"/>
        <w:rPr>
          <w:rFonts w:ascii="宋体" w:hAnsi="宋体" w:cs="宋体"/>
          <w:color w:val="auto"/>
          <w:szCs w:val="21"/>
        </w:rPr>
      </w:pPr>
      <w:r>
        <w:rPr>
          <w:rFonts w:ascii="宋体" w:hAnsi="宋体" w:cs="宋体"/>
          <w:color w:val="auto"/>
          <w:szCs w:val="21"/>
        </w:rPr>
        <w:t>4.7</w:t>
      </w:r>
      <w:r>
        <w:rPr>
          <w:rFonts w:hint="eastAsia" w:ascii="宋体" w:hAnsi="宋体" w:cs="宋体"/>
          <w:color w:val="auto"/>
          <w:szCs w:val="21"/>
        </w:rPr>
        <w:t>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14:paraId="2F094BD4">
      <w:pPr>
        <w:spacing w:line="360" w:lineRule="auto"/>
        <w:ind w:firstLine="420" w:firstLineChars="200"/>
        <w:rPr>
          <w:rFonts w:ascii="宋体" w:hAnsi="宋体" w:cs="宋体"/>
          <w:color w:val="auto"/>
          <w:szCs w:val="21"/>
        </w:rPr>
      </w:pPr>
      <w:r>
        <w:rPr>
          <w:rFonts w:ascii="宋体" w:hAnsi="宋体" w:cs="宋体"/>
          <w:color w:val="auto"/>
          <w:szCs w:val="21"/>
        </w:rPr>
        <w:t>4.8</w:t>
      </w:r>
      <w:r>
        <w:rPr>
          <w:rFonts w:hint="eastAsia" w:ascii="宋体" w:hAnsi="宋体" w:cs="宋体"/>
          <w:color w:val="auto"/>
          <w:szCs w:val="21"/>
        </w:rPr>
        <w:t>修正后的报价出现下列情形的，按无效响应处理：</w:t>
      </w:r>
    </w:p>
    <w:p w14:paraId="257A7376">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（1）供应商不确认的（全流程电子化评标采取在线确认）；</w:t>
      </w:r>
    </w:p>
    <w:p w14:paraId="20D1700D">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w:t>
      </w:r>
      <w:r>
        <w:rPr>
          <w:rFonts w:hint="eastAsia" w:ascii="宋体" w:hAnsi="宋体" w:cs="宋体"/>
          <w:color w:val="auto"/>
          <w:szCs w:val="21"/>
          <w:lang w:eastAsia="zh-CN"/>
        </w:rPr>
        <w:t>磋商报价</w:t>
      </w:r>
      <w:r>
        <w:rPr>
          <w:rFonts w:hint="eastAsia" w:ascii="宋体" w:hAnsi="宋体" w:cs="宋体"/>
          <w:color w:val="auto"/>
          <w:szCs w:val="21"/>
        </w:rPr>
        <w:t>（包含首次报价、最后报价）超过所竞标项目规定的采购预算金额或者最高限价的（如本项目公布了最高限价）；</w:t>
      </w:r>
    </w:p>
    <w:p w14:paraId="33F0C97A">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w:t>
      </w:r>
      <w:r>
        <w:rPr>
          <w:rFonts w:hint="eastAsia" w:ascii="宋体" w:hAnsi="宋体" w:cs="宋体"/>
          <w:color w:val="auto"/>
          <w:szCs w:val="21"/>
          <w:lang w:eastAsia="zh-CN"/>
        </w:rPr>
        <w:t>磋商报价</w:t>
      </w:r>
      <w:r>
        <w:rPr>
          <w:rFonts w:hint="eastAsia" w:ascii="宋体" w:hAnsi="宋体" w:cs="宋体"/>
          <w:color w:val="auto"/>
          <w:szCs w:val="21"/>
        </w:rPr>
        <w:t>（包含首次报价、最后报价）超过分项采购预算金额或者最高限价的（如本项目公布了最高限价）。</w:t>
      </w:r>
    </w:p>
    <w:p w14:paraId="5FD5E9B5">
      <w:pPr>
        <w:spacing w:line="360" w:lineRule="auto"/>
        <w:ind w:firstLine="420" w:firstLineChars="200"/>
        <w:rPr>
          <w:rFonts w:ascii="宋体" w:hAnsi="宋体" w:cs="宋体"/>
          <w:color w:val="auto"/>
          <w:szCs w:val="21"/>
        </w:rPr>
      </w:pPr>
      <w:r>
        <w:rPr>
          <w:rFonts w:ascii="宋体" w:hAnsi="宋体" w:cs="宋体"/>
          <w:color w:val="auto"/>
          <w:szCs w:val="21"/>
        </w:rPr>
        <w:t>4.9</w:t>
      </w:r>
      <w:r>
        <w:rPr>
          <w:rFonts w:hint="eastAsia" w:ascii="宋体" w:hAnsi="宋体" w:cs="宋体"/>
          <w:color w:val="auto"/>
          <w:szCs w:val="21"/>
        </w:rPr>
        <w:t>经供应商确认修正后的最后报价作为评审及签订合同的依据。</w:t>
      </w:r>
    </w:p>
    <w:p w14:paraId="23537659">
      <w:pPr>
        <w:spacing w:line="360" w:lineRule="auto"/>
        <w:ind w:firstLine="420" w:firstLineChars="200"/>
        <w:rPr>
          <w:rFonts w:ascii="宋体" w:hAnsi="宋体" w:cs="宋体"/>
          <w:color w:val="auto"/>
          <w:szCs w:val="21"/>
        </w:rPr>
      </w:pPr>
      <w:r>
        <w:rPr>
          <w:rFonts w:hint="eastAsia" w:ascii="宋体" w:hAnsi="宋体" w:cs="宋体"/>
          <w:color w:val="auto"/>
          <w:szCs w:val="21"/>
        </w:rPr>
        <w:t>4.10供应商出现最后报价按无效响应处理或者响应文件按无效处理时</w:t>
      </w:r>
      <w:r>
        <w:rPr>
          <w:rFonts w:hint="eastAsia" w:ascii="宋体" w:hAnsi="宋体"/>
          <w:color w:val="auto"/>
          <w:sz w:val="22"/>
          <w:szCs w:val="22"/>
        </w:rPr>
        <w:t>，磋商小组应当告知有关供应商</w:t>
      </w:r>
      <w:r>
        <w:rPr>
          <w:rFonts w:hint="eastAsia" w:ascii="宋体" w:hAnsi="宋体" w:cs="宋体"/>
          <w:color w:val="auto"/>
          <w:szCs w:val="21"/>
        </w:rPr>
        <w:t>。</w:t>
      </w:r>
    </w:p>
    <w:p w14:paraId="29F04643">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1最后报价结束后，磋商小组不得再与供应商进行任何形式的商谈。</w:t>
      </w:r>
    </w:p>
    <w:p w14:paraId="3D28DDD7">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比较与评价</w:t>
      </w:r>
    </w:p>
    <w:p w14:paraId="486CDE39">
      <w:pPr>
        <w:spacing w:line="360" w:lineRule="auto"/>
        <w:ind w:firstLine="420" w:firstLineChars="200"/>
        <w:rPr>
          <w:rFonts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14:paraId="5F6DBBDB">
      <w:pPr>
        <w:spacing w:line="360" w:lineRule="auto"/>
        <w:ind w:firstLine="420" w:firstLineChars="200"/>
        <w:rPr>
          <w:rFonts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14:paraId="12348F95">
      <w:pPr>
        <w:spacing w:line="360" w:lineRule="auto"/>
        <w:ind w:firstLine="420" w:firstLineChars="200"/>
        <w:rPr>
          <w:rFonts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14:paraId="0B1473D6">
      <w:pPr>
        <w:spacing w:line="360" w:lineRule="auto"/>
        <w:ind w:firstLine="420" w:firstLineChars="200"/>
        <w:rPr>
          <w:rFonts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14:paraId="399FEBEA">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14:paraId="250BD777">
      <w:pPr>
        <w:spacing w:line="360" w:lineRule="auto"/>
        <w:ind w:firstLine="420" w:firstLineChars="20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评审价为供应商的最后报价进行政策性扣除后的价格，评审价只是作为评审时使用。最终成交供应商的成交金额等于最后报价（如有修正，以确认修正后的最后报价为准）。</w:t>
      </w:r>
    </w:p>
    <w:p w14:paraId="23F9B205">
      <w:pPr>
        <w:spacing w:line="360" w:lineRule="auto"/>
        <w:ind w:firstLine="420" w:firstLineChars="200"/>
        <w:rPr>
          <w:rFonts w:ascii="宋体" w:hAnsi="宋体"/>
          <w:color w:val="auto"/>
          <w:kern w:val="0"/>
          <w:szCs w:val="21"/>
        </w:rPr>
      </w:pPr>
      <w:r>
        <w:rPr>
          <w:rFonts w:ascii="宋体" w:hAnsi="宋体" w:cs="宋体"/>
          <w:color w:val="auto"/>
          <w:szCs w:val="21"/>
        </w:rPr>
        <w:t>5.5</w:t>
      </w:r>
      <w:r>
        <w:rPr>
          <w:rFonts w:hint="eastAsia" w:ascii="宋体" w:hAnsi="宋体" w:cs="宋体"/>
          <w:color w:val="auto"/>
          <w:szCs w:val="21"/>
        </w:rPr>
        <w:t>由磋商小组根据综合评分情况，按照评审得分由高到低顺序推荐3名以上成交候选供应商，并编写评</w:t>
      </w:r>
      <w:r>
        <w:rPr>
          <w:rFonts w:hint="eastAsia" w:ascii="宋体" w:hAnsi="宋体"/>
          <w:color w:val="auto"/>
          <w:kern w:val="0"/>
          <w:szCs w:val="21"/>
        </w:rPr>
        <w:t>审报告。符合本章第</w:t>
      </w:r>
      <w:r>
        <w:rPr>
          <w:rFonts w:ascii="宋体" w:hAnsi="宋体"/>
          <w:color w:val="auto"/>
          <w:kern w:val="0"/>
          <w:szCs w:val="21"/>
        </w:rPr>
        <w:t>4.3</w:t>
      </w:r>
      <w:r>
        <w:rPr>
          <w:rFonts w:hint="eastAsia" w:ascii="宋体" w:hAnsi="宋体"/>
          <w:color w:val="auto"/>
          <w:kern w:val="0"/>
          <w:szCs w:val="21"/>
        </w:rPr>
        <w:t>条情形的，可以推荐2家成交候选供应商。评审得分相同的，按照最后报价由低到高的顺序推荐。评审得分且最后报价相同的，按照技术指标优劣顺序推荐。</w:t>
      </w:r>
    </w:p>
    <w:p w14:paraId="37BA1CF5">
      <w:pPr>
        <w:spacing w:line="360" w:lineRule="auto"/>
        <w:ind w:firstLine="420" w:firstLineChars="200"/>
        <w:rPr>
          <w:rFonts w:ascii="宋体" w:hAnsi="宋体" w:cs="宋体"/>
          <w:color w:val="auto"/>
          <w:szCs w:val="21"/>
        </w:rPr>
      </w:pPr>
      <w:r>
        <w:rPr>
          <w:rFonts w:ascii="宋体" w:hAnsi="宋体"/>
          <w:color w:val="auto"/>
          <w:kern w:val="0"/>
          <w:szCs w:val="21"/>
        </w:rPr>
        <w:t>5.6</w:t>
      </w:r>
      <w:r>
        <w:rPr>
          <w:rFonts w:hint="eastAsia" w:ascii="宋体" w:hAnsi="宋体"/>
          <w:color w:val="auto"/>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491DF94">
      <w:pPr>
        <w:spacing w:line="360" w:lineRule="auto"/>
        <w:jc w:val="center"/>
        <w:rPr>
          <w:rFonts w:ascii="宋体" w:hAnsi="宋体"/>
          <w:b/>
          <w:color w:val="auto"/>
          <w:sz w:val="32"/>
          <w:szCs w:val="32"/>
        </w:rPr>
      </w:pPr>
    </w:p>
    <w:p w14:paraId="52B66946">
      <w:pPr>
        <w:spacing w:line="360" w:lineRule="auto"/>
        <w:jc w:val="center"/>
        <w:rPr>
          <w:rFonts w:ascii="宋体" w:hAnsi="宋体"/>
          <w:b/>
          <w:color w:val="auto"/>
          <w:sz w:val="32"/>
          <w:szCs w:val="32"/>
        </w:rPr>
      </w:pPr>
    </w:p>
    <w:p w14:paraId="7BE862FF">
      <w:pPr>
        <w:spacing w:line="360" w:lineRule="auto"/>
        <w:jc w:val="center"/>
        <w:rPr>
          <w:rFonts w:ascii="宋体" w:hAnsi="宋体"/>
          <w:b/>
          <w:color w:val="auto"/>
          <w:sz w:val="32"/>
          <w:szCs w:val="32"/>
        </w:rPr>
      </w:pPr>
    </w:p>
    <w:p w14:paraId="276476FD">
      <w:pPr>
        <w:spacing w:line="360" w:lineRule="auto"/>
        <w:jc w:val="center"/>
        <w:rPr>
          <w:rFonts w:ascii="宋体" w:hAnsi="宋体"/>
          <w:b/>
          <w:color w:val="auto"/>
          <w:sz w:val="32"/>
          <w:szCs w:val="32"/>
        </w:rPr>
      </w:pPr>
    </w:p>
    <w:p w14:paraId="60E4B659">
      <w:pPr>
        <w:spacing w:line="360" w:lineRule="auto"/>
        <w:jc w:val="center"/>
        <w:rPr>
          <w:rFonts w:ascii="宋体" w:hAnsi="宋体"/>
          <w:b/>
          <w:color w:val="auto"/>
          <w:sz w:val="32"/>
          <w:szCs w:val="32"/>
        </w:rPr>
      </w:pPr>
    </w:p>
    <w:p w14:paraId="52D3693B">
      <w:pPr>
        <w:spacing w:line="360" w:lineRule="auto"/>
        <w:jc w:val="center"/>
        <w:rPr>
          <w:rFonts w:ascii="宋体" w:hAnsi="宋体"/>
          <w:b/>
          <w:color w:val="auto"/>
          <w:sz w:val="32"/>
          <w:szCs w:val="32"/>
        </w:rPr>
      </w:pPr>
    </w:p>
    <w:p w14:paraId="53F73281">
      <w:pPr>
        <w:spacing w:line="360" w:lineRule="auto"/>
        <w:jc w:val="center"/>
        <w:rPr>
          <w:rFonts w:ascii="宋体" w:hAnsi="宋体"/>
          <w:b/>
          <w:color w:val="auto"/>
          <w:sz w:val="32"/>
          <w:szCs w:val="32"/>
        </w:rPr>
      </w:pPr>
    </w:p>
    <w:p w14:paraId="20F6242C">
      <w:pPr>
        <w:spacing w:line="360" w:lineRule="auto"/>
        <w:jc w:val="center"/>
        <w:rPr>
          <w:rFonts w:ascii="宋体" w:hAnsi="宋体"/>
          <w:b/>
          <w:color w:val="auto"/>
          <w:sz w:val="32"/>
          <w:szCs w:val="32"/>
        </w:rPr>
      </w:pPr>
    </w:p>
    <w:p w14:paraId="5A066CA7">
      <w:pPr>
        <w:spacing w:line="360" w:lineRule="auto"/>
        <w:jc w:val="center"/>
        <w:rPr>
          <w:rFonts w:ascii="宋体" w:hAnsi="宋体"/>
          <w:b/>
          <w:color w:val="auto"/>
          <w:sz w:val="32"/>
          <w:szCs w:val="32"/>
        </w:rPr>
      </w:pPr>
      <w:r>
        <w:rPr>
          <w:rFonts w:hint="eastAsia" w:ascii="宋体" w:hAnsi="宋体"/>
          <w:b/>
          <w:color w:val="auto"/>
          <w:sz w:val="32"/>
          <w:szCs w:val="32"/>
        </w:rPr>
        <w:t>二、评审标准</w:t>
      </w:r>
    </w:p>
    <w:p w14:paraId="366763A3">
      <w:pPr>
        <w:spacing w:line="380" w:lineRule="exact"/>
        <w:ind w:firstLine="420" w:firstLineChars="200"/>
        <w:rPr>
          <w:rFonts w:ascii="宋体" w:hAnsi="宋体"/>
          <w:bCs/>
          <w:color w:val="auto"/>
          <w:szCs w:val="21"/>
        </w:rPr>
      </w:pPr>
      <w:r>
        <w:rPr>
          <w:rFonts w:hint="eastAsia" w:ascii="宋体" w:hAnsi="宋体"/>
          <w:bCs/>
          <w:color w:val="auto"/>
          <w:szCs w:val="21"/>
        </w:rPr>
        <w:t>6</w:t>
      </w:r>
      <w:r>
        <w:rPr>
          <w:rFonts w:ascii="宋体" w:hAnsi="宋体"/>
          <w:bCs/>
          <w:color w:val="auto"/>
          <w:szCs w:val="21"/>
        </w:rPr>
        <w:t>.</w:t>
      </w:r>
      <w:r>
        <w:rPr>
          <w:rFonts w:hint="eastAsia" w:ascii="宋体" w:hAnsi="宋体"/>
          <w:bCs/>
          <w:color w:val="auto"/>
          <w:szCs w:val="21"/>
        </w:rPr>
        <w:t>评审依据：磋商小组将以磋商响应文件为评审依据，对供应商的报价、技术、商务等方面内容按百分制打分。（计分方法按四舍五入取至百分位）</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50"/>
        <w:gridCol w:w="6934"/>
      </w:tblGrid>
      <w:tr w14:paraId="1013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1" w:type="dxa"/>
            <w:vAlign w:val="center"/>
          </w:tcPr>
          <w:p w14:paraId="0F74AB68">
            <w:pPr>
              <w:widowControl/>
              <w:spacing w:line="380" w:lineRule="exact"/>
              <w:jc w:val="center"/>
              <w:rPr>
                <w:rFonts w:ascii="宋体" w:hAnsi="宋体" w:cs="Tahoma"/>
                <w:b/>
                <w:bCs/>
                <w:color w:val="auto"/>
                <w:kern w:val="0"/>
                <w:szCs w:val="21"/>
              </w:rPr>
            </w:pPr>
            <w:r>
              <w:rPr>
                <w:rFonts w:hint="eastAsia" w:ascii="宋体" w:hAnsi="宋体" w:cs="Tahoma"/>
                <w:b/>
                <w:bCs/>
                <w:color w:val="auto"/>
                <w:kern w:val="0"/>
                <w:szCs w:val="21"/>
              </w:rPr>
              <w:t>序号</w:t>
            </w:r>
          </w:p>
        </w:tc>
        <w:tc>
          <w:tcPr>
            <w:tcW w:w="1250" w:type="dxa"/>
            <w:vAlign w:val="center"/>
          </w:tcPr>
          <w:p w14:paraId="0AD92657">
            <w:pPr>
              <w:widowControl/>
              <w:spacing w:line="380" w:lineRule="exact"/>
              <w:jc w:val="center"/>
              <w:rPr>
                <w:rFonts w:ascii="宋体" w:hAnsi="宋体" w:cs="Tahoma"/>
                <w:b/>
                <w:bCs/>
                <w:color w:val="auto"/>
                <w:kern w:val="0"/>
                <w:szCs w:val="21"/>
              </w:rPr>
            </w:pPr>
            <w:r>
              <w:rPr>
                <w:rFonts w:hint="eastAsia" w:ascii="宋体" w:hAnsi="宋体" w:cs="Tahoma"/>
                <w:b/>
                <w:bCs/>
                <w:color w:val="auto"/>
                <w:kern w:val="0"/>
                <w:szCs w:val="21"/>
              </w:rPr>
              <w:t>评审因素</w:t>
            </w:r>
          </w:p>
        </w:tc>
        <w:tc>
          <w:tcPr>
            <w:tcW w:w="6934" w:type="dxa"/>
            <w:vAlign w:val="center"/>
          </w:tcPr>
          <w:p w14:paraId="76E48856">
            <w:pPr>
              <w:widowControl/>
              <w:spacing w:line="380" w:lineRule="exact"/>
              <w:jc w:val="center"/>
              <w:rPr>
                <w:rFonts w:ascii="宋体" w:hAnsi="宋体" w:cs="Tahoma"/>
                <w:b/>
                <w:bCs/>
                <w:color w:val="auto"/>
                <w:kern w:val="0"/>
                <w:szCs w:val="21"/>
              </w:rPr>
            </w:pPr>
            <w:r>
              <w:rPr>
                <w:rFonts w:hint="eastAsia" w:ascii="宋体" w:hAnsi="宋体" w:cs="Tahoma"/>
                <w:b/>
                <w:bCs/>
                <w:color w:val="auto"/>
                <w:kern w:val="0"/>
                <w:szCs w:val="21"/>
              </w:rPr>
              <w:t>评审因素具体内容</w:t>
            </w:r>
          </w:p>
        </w:tc>
      </w:tr>
      <w:tr w14:paraId="3C5D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1" w:type="dxa"/>
            <w:vAlign w:val="center"/>
          </w:tcPr>
          <w:p w14:paraId="792685FB">
            <w:pPr>
              <w:widowControl/>
              <w:spacing w:line="380" w:lineRule="exact"/>
              <w:jc w:val="center"/>
              <w:rPr>
                <w:rFonts w:ascii="宋体" w:hAnsi="宋体" w:cs="Tahoma"/>
                <w:color w:val="auto"/>
                <w:kern w:val="0"/>
                <w:szCs w:val="21"/>
              </w:rPr>
            </w:pPr>
            <w:r>
              <w:rPr>
                <w:rFonts w:hint="eastAsia" w:ascii="宋体" w:hAnsi="宋体" w:cs="Tahoma"/>
                <w:color w:val="auto"/>
                <w:kern w:val="0"/>
                <w:szCs w:val="21"/>
              </w:rPr>
              <w:t>（1）</w:t>
            </w:r>
          </w:p>
        </w:tc>
        <w:tc>
          <w:tcPr>
            <w:tcW w:w="1250" w:type="dxa"/>
            <w:vAlign w:val="center"/>
          </w:tcPr>
          <w:p w14:paraId="47180619">
            <w:pPr>
              <w:widowControl/>
              <w:spacing w:line="380" w:lineRule="exact"/>
              <w:jc w:val="center"/>
              <w:rPr>
                <w:rFonts w:ascii="宋体" w:hAnsi="宋体" w:cs="Tahoma"/>
                <w:color w:val="auto"/>
                <w:kern w:val="0"/>
                <w:szCs w:val="21"/>
              </w:rPr>
            </w:pPr>
            <w:r>
              <w:rPr>
                <w:rFonts w:hint="eastAsia" w:ascii="宋体" w:hAnsi="宋体" w:cs="Tahoma"/>
                <w:color w:val="auto"/>
                <w:kern w:val="0"/>
                <w:szCs w:val="21"/>
              </w:rPr>
              <w:t>价格分</w:t>
            </w:r>
            <w:r>
              <w:rPr>
                <w:rFonts w:hint="eastAsia" w:ascii="宋体" w:hAnsi="宋体"/>
                <w:color w:val="auto"/>
                <w:szCs w:val="21"/>
              </w:rPr>
              <w:t>（满分20分）</w:t>
            </w:r>
          </w:p>
        </w:tc>
        <w:tc>
          <w:tcPr>
            <w:tcW w:w="6934" w:type="dxa"/>
          </w:tcPr>
          <w:p w14:paraId="06E16875">
            <w:pPr>
              <w:widowControl/>
              <w:wordWrap w:val="0"/>
              <w:spacing w:line="380" w:lineRule="exact"/>
              <w:ind w:firstLine="420" w:firstLineChars="200"/>
              <w:jc w:val="left"/>
              <w:rPr>
                <w:rFonts w:ascii="宋体" w:hAnsi="宋体" w:cs="Tahoma"/>
                <w:color w:val="auto"/>
                <w:kern w:val="0"/>
                <w:szCs w:val="21"/>
              </w:rPr>
            </w:pPr>
            <w:r>
              <w:rPr>
                <w:rFonts w:hint="eastAsia" w:ascii="宋体" w:hAnsi="宋体" w:cs="Courier New"/>
                <w:color w:val="auto"/>
                <w:szCs w:val="21"/>
              </w:rPr>
              <w:t>（</w:t>
            </w:r>
            <w:r>
              <w:rPr>
                <w:rFonts w:hint="eastAsia" w:ascii="宋体" w:hAnsi="宋体" w:cs="Tahoma"/>
                <w:color w:val="auto"/>
                <w:kern w:val="0"/>
                <w:szCs w:val="21"/>
              </w:rPr>
              <w:t>1）评审价为供应商的最后报价进行政策性扣除后的价格，评审价只是作为评审时使用。最终成交供应商的成交金额等于最后报价（如有修正，以确认修正后的最后报价为准）。</w:t>
            </w:r>
          </w:p>
          <w:p w14:paraId="363B1E74">
            <w:pPr>
              <w:widowControl/>
              <w:wordWrap w:val="0"/>
              <w:spacing w:line="380" w:lineRule="exact"/>
              <w:ind w:firstLine="420" w:firstLineChars="200"/>
              <w:jc w:val="left"/>
              <w:rPr>
                <w:rFonts w:ascii="宋体" w:hAnsi="宋体" w:cs="Tahoma"/>
                <w:color w:val="auto"/>
                <w:kern w:val="0"/>
                <w:szCs w:val="21"/>
              </w:rPr>
            </w:pPr>
            <w:r>
              <w:rPr>
                <w:rFonts w:hint="eastAsia" w:ascii="宋体" w:hAnsi="宋体" w:cs="Tahoma"/>
                <w:color w:val="auto"/>
                <w:kern w:val="0"/>
                <w:szCs w:val="21"/>
              </w:rPr>
              <w:t>（2）政府采购政策性扣除计算方法</w:t>
            </w:r>
          </w:p>
          <w:p w14:paraId="711AF486">
            <w:pPr>
              <w:widowControl/>
              <w:wordWrap w:val="0"/>
              <w:spacing w:line="380" w:lineRule="exact"/>
              <w:ind w:firstLine="420" w:firstLineChars="200"/>
              <w:jc w:val="left"/>
              <w:rPr>
                <w:rFonts w:ascii="宋体" w:hAnsi="宋体" w:cs="Tahoma"/>
                <w:color w:val="auto"/>
                <w:kern w:val="0"/>
                <w:szCs w:val="21"/>
              </w:rPr>
            </w:pPr>
            <w:r>
              <w:rPr>
                <w:rFonts w:hint="eastAsia" w:ascii="宋体" w:hAnsi="宋体" w:cs="Tahoma"/>
                <w:color w:val="auto"/>
                <w:kern w:val="0"/>
                <w:szCs w:val="21"/>
              </w:rPr>
              <w:t>根据《政府采购促进中小企业发展管理办法》（财库〔2020〕46号）及</w:t>
            </w:r>
            <w:r>
              <w:rPr>
                <w:rFonts w:hint="eastAsia" w:ascii="宋体" w:hAnsi="宋体"/>
                <w:bCs/>
                <w:color w:val="auto"/>
                <w:szCs w:val="21"/>
              </w:rPr>
              <w:t>《广西壮族自治区财政厅关于持续优化政府采购营商环境推动高质量发展的通知》（桂财采〔2024〕55号）</w:t>
            </w:r>
            <w:r>
              <w:rPr>
                <w:rFonts w:hint="eastAsia" w:ascii="宋体" w:hAnsi="宋体" w:cs="Tahoma"/>
                <w:color w:val="auto"/>
                <w:kern w:val="0"/>
                <w:szCs w:val="21"/>
              </w:rPr>
              <w:t>的规定，供应商在其响应文件中提供《中小企业声明函》，且其承接本项目全部服务且为符合政策要求的小微企业，对供应商的</w:t>
            </w:r>
            <w:r>
              <w:rPr>
                <w:rFonts w:hint="eastAsia" w:ascii="宋体" w:hAnsi="宋体" w:cs="Tahoma"/>
                <w:color w:val="auto"/>
                <w:kern w:val="0"/>
                <w:szCs w:val="21"/>
                <w:lang w:eastAsia="zh-CN"/>
              </w:rPr>
              <w:t>磋商报价</w:t>
            </w:r>
            <w:r>
              <w:rPr>
                <w:rFonts w:hint="eastAsia" w:ascii="宋体" w:hAnsi="宋体" w:cs="Tahoma"/>
                <w:color w:val="auto"/>
                <w:kern w:val="0"/>
                <w:szCs w:val="21"/>
              </w:rPr>
              <w:t>给予10%的扣除，扣除后的价格为评审价，即评审价=最后报价×（1-10%）。</w:t>
            </w:r>
          </w:p>
          <w:p w14:paraId="68C229E8">
            <w:pPr>
              <w:widowControl/>
              <w:wordWrap w:val="0"/>
              <w:spacing w:line="380" w:lineRule="exact"/>
              <w:ind w:firstLine="420" w:firstLineChars="200"/>
              <w:jc w:val="left"/>
              <w:rPr>
                <w:rFonts w:ascii="宋体" w:hAnsi="宋体" w:cs="Tahoma"/>
                <w:color w:val="auto"/>
                <w:kern w:val="0"/>
                <w:szCs w:val="21"/>
              </w:rPr>
            </w:pPr>
            <w:r>
              <w:rPr>
                <w:rFonts w:hint="eastAsia" w:ascii="宋体" w:hAnsi="宋体" w:cs="Tahoma"/>
                <w:color w:val="auto"/>
                <w:kern w:val="0"/>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01046FA8">
            <w:pPr>
              <w:widowControl/>
              <w:wordWrap w:val="0"/>
              <w:spacing w:line="380" w:lineRule="exact"/>
              <w:ind w:firstLine="420" w:firstLineChars="200"/>
              <w:jc w:val="left"/>
              <w:rPr>
                <w:rFonts w:ascii="宋体" w:hAnsi="宋体" w:cs="Tahoma"/>
                <w:color w:val="auto"/>
                <w:kern w:val="0"/>
                <w:szCs w:val="21"/>
              </w:rPr>
            </w:pPr>
            <w:r>
              <w:rPr>
                <w:rFonts w:hint="eastAsia" w:ascii="宋体" w:hAnsi="宋体" w:cs="Tahoma"/>
                <w:color w:val="auto"/>
                <w:kern w:val="0"/>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DD608EF">
            <w:pPr>
              <w:widowControl/>
              <w:wordWrap w:val="0"/>
              <w:spacing w:line="380" w:lineRule="exact"/>
              <w:ind w:firstLine="420" w:firstLineChars="200"/>
              <w:jc w:val="left"/>
              <w:rPr>
                <w:rFonts w:ascii="宋体" w:hAnsi="宋体" w:cs="Tahoma"/>
                <w:color w:val="auto"/>
                <w:kern w:val="0"/>
                <w:szCs w:val="21"/>
              </w:rPr>
            </w:pPr>
            <w:r>
              <w:rPr>
                <w:rFonts w:hint="eastAsia" w:ascii="宋体" w:hAnsi="宋体" w:cs="Tahoma"/>
                <w:color w:val="auto"/>
                <w:kern w:val="0"/>
                <w:szCs w:val="21"/>
              </w:rPr>
              <w:t>（5）以进入比较与评价环节的最低的评审价为基准价，基准价得分为20分。</w:t>
            </w:r>
          </w:p>
          <w:p w14:paraId="2D583888">
            <w:pPr>
              <w:widowControl/>
              <w:wordWrap w:val="0"/>
              <w:spacing w:line="380" w:lineRule="exact"/>
              <w:ind w:firstLine="420" w:firstLineChars="200"/>
              <w:jc w:val="left"/>
              <w:rPr>
                <w:color w:val="auto"/>
                <w:szCs w:val="21"/>
              </w:rPr>
            </w:pPr>
            <w:r>
              <w:rPr>
                <w:rFonts w:hint="eastAsia" w:ascii="宋体" w:hAnsi="宋体" w:cs="Tahoma"/>
                <w:color w:val="auto"/>
                <w:kern w:val="0"/>
                <w:szCs w:val="21"/>
              </w:rPr>
              <w:t>（6）价格分计算公式：报价得分=（基准价/最后报价）×20分</w:t>
            </w:r>
          </w:p>
        </w:tc>
      </w:tr>
      <w:tr w14:paraId="0CCC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1" w:type="dxa"/>
            <w:vAlign w:val="center"/>
          </w:tcPr>
          <w:p w14:paraId="1EBB36CA">
            <w:pPr>
              <w:adjustRightInd w:val="0"/>
              <w:spacing w:line="380" w:lineRule="exact"/>
              <w:ind w:left="-105" w:leftChars="-50" w:right="-105" w:rightChars="-50"/>
              <w:jc w:val="center"/>
              <w:textAlignment w:val="baseline"/>
              <w:rPr>
                <w:rFonts w:ascii="宋体" w:hAnsi="宋体"/>
                <w:bCs/>
                <w:color w:val="auto"/>
                <w:kern w:val="0"/>
                <w:szCs w:val="21"/>
              </w:rPr>
            </w:pPr>
            <w:r>
              <w:rPr>
                <w:rFonts w:hint="eastAsia" w:ascii="宋体" w:hAnsi="宋体" w:cs="Tahoma"/>
                <w:color w:val="auto"/>
                <w:kern w:val="0"/>
                <w:szCs w:val="21"/>
              </w:rPr>
              <w:t>（2）</w:t>
            </w:r>
          </w:p>
        </w:tc>
        <w:tc>
          <w:tcPr>
            <w:tcW w:w="1250" w:type="dxa"/>
            <w:vAlign w:val="center"/>
          </w:tcPr>
          <w:p w14:paraId="6D8286B9">
            <w:pPr>
              <w:adjustRightInd w:val="0"/>
              <w:spacing w:line="380" w:lineRule="exact"/>
              <w:jc w:val="center"/>
              <w:textAlignment w:val="baseline"/>
              <w:rPr>
                <w:rFonts w:ascii="宋体" w:hAnsi="宋体"/>
                <w:bCs/>
                <w:color w:val="auto"/>
                <w:kern w:val="0"/>
                <w:szCs w:val="21"/>
              </w:rPr>
            </w:pPr>
            <w:r>
              <w:rPr>
                <w:rFonts w:hint="eastAsia" w:ascii="宋体" w:hAnsi="宋体"/>
                <w:bCs/>
                <w:color w:val="auto"/>
                <w:kern w:val="0"/>
                <w:szCs w:val="21"/>
              </w:rPr>
              <w:t>技术分</w:t>
            </w:r>
            <w:r>
              <w:rPr>
                <w:rFonts w:hint="eastAsia" w:ascii="宋体" w:hAnsi="宋体"/>
                <w:color w:val="auto"/>
                <w:szCs w:val="21"/>
              </w:rPr>
              <w:t>（满分30分）</w:t>
            </w:r>
          </w:p>
        </w:tc>
        <w:tc>
          <w:tcPr>
            <w:tcW w:w="6934" w:type="dxa"/>
            <w:vAlign w:val="center"/>
          </w:tcPr>
          <w:p w14:paraId="460257CE">
            <w:pPr>
              <w:widowControl/>
              <w:wordWrap w:val="0"/>
              <w:spacing w:line="380" w:lineRule="exact"/>
              <w:jc w:val="left"/>
              <w:rPr>
                <w:rFonts w:ascii="宋体" w:hAnsi="宋体" w:cs="Tahoma"/>
                <w:color w:val="auto"/>
                <w:kern w:val="0"/>
                <w:szCs w:val="21"/>
              </w:rPr>
            </w:pPr>
            <w:r>
              <w:rPr>
                <w:rFonts w:hint="eastAsia" w:ascii="宋体" w:hAnsi="宋体"/>
                <w:bCs/>
                <w:color w:val="auto"/>
                <w:kern w:val="0"/>
                <w:szCs w:val="21"/>
              </w:rPr>
              <w:t>评委</w:t>
            </w:r>
            <w:r>
              <w:rPr>
                <w:rFonts w:hint="eastAsia" w:ascii="宋体" w:hAnsi="宋体" w:cs="Tahoma"/>
                <w:color w:val="auto"/>
                <w:kern w:val="0"/>
                <w:szCs w:val="21"/>
              </w:rPr>
              <w:t>根据竞争性磋商文件要求，对满足竞争性磋商文件全部实质性要求进入详评的各供应商响应文件对“技术（服务）要求”的响应情况进行独立评审，并按如下计分方式确定得分：</w:t>
            </w:r>
          </w:p>
          <w:p w14:paraId="2DEDA9CC">
            <w:pPr>
              <w:widowControl/>
              <w:wordWrap w:val="0"/>
              <w:spacing w:line="380" w:lineRule="exact"/>
              <w:ind w:firstLine="420" w:firstLineChars="200"/>
              <w:jc w:val="left"/>
              <w:rPr>
                <w:rFonts w:ascii="宋体" w:hAnsi="宋体" w:cs="Tahoma"/>
                <w:color w:val="auto"/>
                <w:kern w:val="0"/>
                <w:szCs w:val="21"/>
              </w:rPr>
            </w:pPr>
            <w:r>
              <w:rPr>
                <w:rFonts w:hint="eastAsia" w:ascii="宋体" w:hAnsi="宋体" w:cs="Tahoma"/>
                <w:color w:val="auto"/>
                <w:kern w:val="0"/>
                <w:szCs w:val="21"/>
              </w:rPr>
              <w:t>经评委独立评审，供应商响应文件满足竞争性磋商文件全部实质性要求的，得基本分30分；供应商对本项目“技术（服务）要求”中标注“</w:t>
            </w:r>
            <w:r>
              <w:rPr>
                <w:rFonts w:hint="eastAsia" w:hAnsi="宋体"/>
                <w:color w:val="auto"/>
              </w:rPr>
              <w:t>▲</w:t>
            </w:r>
            <w:r>
              <w:rPr>
                <w:rFonts w:hint="eastAsia" w:ascii="宋体" w:hAnsi="宋体" w:cs="Tahoma"/>
                <w:color w:val="auto"/>
                <w:kern w:val="0"/>
                <w:szCs w:val="21"/>
              </w:rPr>
              <w:t>”符号项的</w:t>
            </w:r>
            <w:r>
              <w:rPr>
                <w:rFonts w:hint="eastAsia" w:ascii="宋体" w:hAnsi="宋体" w:cs="宋体"/>
                <w:color w:val="auto"/>
                <w:szCs w:val="21"/>
              </w:rPr>
              <w:t>技术（服务）要求</w:t>
            </w:r>
            <w:r>
              <w:rPr>
                <w:rFonts w:hint="eastAsia" w:ascii="宋体" w:hAnsi="宋体" w:cs="Tahoma"/>
                <w:color w:val="auto"/>
                <w:kern w:val="0"/>
                <w:szCs w:val="21"/>
              </w:rPr>
              <w:t>响应存在负偏离的，每有一项扣基本分5分；未标注“</w:t>
            </w:r>
            <w:r>
              <w:rPr>
                <w:rFonts w:hint="eastAsia" w:hAnsi="宋体"/>
                <w:color w:val="auto"/>
              </w:rPr>
              <w:t>▲</w:t>
            </w:r>
            <w:r>
              <w:rPr>
                <w:rFonts w:hint="eastAsia" w:ascii="宋体" w:hAnsi="宋体" w:cs="Tahoma"/>
                <w:color w:val="auto"/>
                <w:kern w:val="0"/>
                <w:szCs w:val="21"/>
              </w:rPr>
              <w:t>”符号项的</w:t>
            </w:r>
            <w:r>
              <w:rPr>
                <w:rFonts w:hint="eastAsia" w:ascii="宋体" w:hAnsi="宋体" w:cs="宋体"/>
                <w:color w:val="auto"/>
                <w:szCs w:val="21"/>
              </w:rPr>
              <w:t>技术（服务）要求</w:t>
            </w:r>
            <w:r>
              <w:rPr>
                <w:rFonts w:hint="eastAsia" w:ascii="宋体" w:hAnsi="宋体" w:cs="Tahoma"/>
                <w:color w:val="auto"/>
                <w:kern w:val="0"/>
                <w:szCs w:val="21"/>
              </w:rPr>
              <w:t>响应存在负偏离的，每有一项扣基本分3分，最多扣30分。</w:t>
            </w:r>
          </w:p>
          <w:p w14:paraId="4D2B5EBB">
            <w:pPr>
              <w:wordWrap w:val="0"/>
              <w:spacing w:line="380" w:lineRule="exact"/>
              <w:ind w:firstLine="422" w:firstLineChars="200"/>
              <w:rPr>
                <w:rFonts w:hAnsi="宋体" w:cs="宋体"/>
                <w:color w:val="auto"/>
                <w:szCs w:val="21"/>
              </w:rPr>
            </w:pPr>
            <w:r>
              <w:rPr>
                <w:rFonts w:hint="eastAsia" w:ascii="宋体" w:hAnsi="宋体" w:cs="宋体"/>
                <w:b/>
                <w:bCs/>
                <w:color w:val="auto"/>
                <w:szCs w:val="21"/>
              </w:rPr>
              <w:t>注：供应商</w:t>
            </w:r>
            <w:r>
              <w:rPr>
                <w:rFonts w:ascii="宋体" w:hAnsi="宋体" w:cs="宋体"/>
                <w:b/>
                <w:bCs/>
                <w:color w:val="auto"/>
                <w:szCs w:val="21"/>
              </w:rPr>
              <w:t>对“技术（服务）要求”</w:t>
            </w:r>
            <w:r>
              <w:rPr>
                <w:rFonts w:hint="eastAsia" w:ascii="宋体" w:hAnsi="宋体" w:cs="宋体"/>
                <w:b/>
                <w:bCs/>
                <w:color w:val="auto"/>
                <w:szCs w:val="21"/>
              </w:rPr>
              <w:t>中未标注“★”</w:t>
            </w:r>
            <w:r>
              <w:rPr>
                <w:rFonts w:ascii="宋体" w:hAnsi="宋体" w:cs="宋体"/>
                <w:b/>
                <w:bCs/>
                <w:color w:val="auto"/>
                <w:szCs w:val="21"/>
              </w:rPr>
              <w:t>条款发生负偏离的</w:t>
            </w:r>
            <w:r>
              <w:rPr>
                <w:rFonts w:hint="eastAsia" w:ascii="宋体" w:hAnsi="宋体" w:cs="宋体"/>
                <w:b/>
                <w:bCs/>
                <w:color w:val="auto"/>
                <w:szCs w:val="21"/>
              </w:rPr>
              <w:t>项</w:t>
            </w:r>
            <w:r>
              <w:rPr>
                <w:rFonts w:ascii="宋体" w:hAnsi="宋体" w:cs="宋体"/>
                <w:b/>
                <w:bCs/>
                <w:color w:val="auto"/>
                <w:szCs w:val="21"/>
              </w:rPr>
              <w:t>数≥</w:t>
            </w:r>
            <w:r>
              <w:rPr>
                <w:rFonts w:hint="eastAsia" w:ascii="宋体" w:hAnsi="宋体" w:cs="宋体"/>
                <w:b/>
                <w:bCs/>
                <w:color w:val="auto"/>
                <w:szCs w:val="21"/>
              </w:rPr>
              <w:t xml:space="preserve"> 6</w:t>
            </w:r>
            <w:r>
              <w:rPr>
                <w:rFonts w:ascii="宋体" w:hAnsi="宋体" w:cs="宋体"/>
                <w:b/>
                <w:bCs/>
                <w:color w:val="auto"/>
                <w:szCs w:val="21"/>
              </w:rPr>
              <w:t>项的</w:t>
            </w:r>
            <w:r>
              <w:rPr>
                <w:rFonts w:hint="eastAsia" w:ascii="宋体" w:hAnsi="宋体" w:cs="宋体"/>
                <w:b/>
                <w:bCs/>
                <w:color w:val="auto"/>
                <w:szCs w:val="21"/>
              </w:rPr>
              <w:t>，</w:t>
            </w:r>
            <w:r>
              <w:rPr>
                <w:rFonts w:ascii="宋体" w:hAnsi="宋体" w:cs="宋体"/>
                <w:b/>
                <w:bCs/>
                <w:color w:val="auto"/>
                <w:szCs w:val="21"/>
              </w:rPr>
              <w:t>按</w:t>
            </w:r>
            <w:r>
              <w:rPr>
                <w:rFonts w:hint="eastAsia" w:ascii="宋体" w:hAnsi="宋体" w:cs="宋体"/>
                <w:b/>
                <w:bCs/>
                <w:color w:val="auto"/>
                <w:szCs w:val="21"/>
              </w:rPr>
              <w:t>响应文件</w:t>
            </w:r>
            <w:r>
              <w:rPr>
                <w:rFonts w:ascii="宋体" w:hAnsi="宋体" w:cs="宋体"/>
                <w:b/>
                <w:bCs/>
                <w:color w:val="auto"/>
                <w:szCs w:val="21"/>
              </w:rPr>
              <w:t>无效处理</w:t>
            </w:r>
            <w:r>
              <w:rPr>
                <w:rFonts w:hint="eastAsia" w:ascii="宋体" w:hAnsi="宋体" w:cs="宋体"/>
                <w:b/>
                <w:bCs/>
                <w:color w:val="auto"/>
                <w:szCs w:val="21"/>
              </w:rPr>
              <w:t>。</w:t>
            </w:r>
          </w:p>
        </w:tc>
      </w:tr>
      <w:tr w14:paraId="0814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1" w:type="dxa"/>
            <w:vAlign w:val="center"/>
          </w:tcPr>
          <w:p w14:paraId="32DBA73B">
            <w:pPr>
              <w:adjustRightInd w:val="0"/>
              <w:spacing w:line="380" w:lineRule="exact"/>
              <w:ind w:left="-105" w:leftChars="-50" w:right="-105" w:rightChars="-50"/>
              <w:jc w:val="center"/>
              <w:textAlignment w:val="baseline"/>
              <w:rPr>
                <w:rFonts w:ascii="宋体" w:hAnsi="宋体"/>
                <w:bCs/>
                <w:color w:val="auto"/>
                <w:kern w:val="0"/>
                <w:szCs w:val="21"/>
              </w:rPr>
            </w:pPr>
            <w:r>
              <w:rPr>
                <w:rFonts w:hint="eastAsia" w:ascii="宋体" w:hAnsi="宋体"/>
                <w:bCs/>
                <w:color w:val="auto"/>
                <w:kern w:val="0"/>
                <w:szCs w:val="21"/>
              </w:rPr>
              <w:t>（3）</w:t>
            </w:r>
          </w:p>
        </w:tc>
        <w:tc>
          <w:tcPr>
            <w:tcW w:w="1250" w:type="dxa"/>
            <w:vAlign w:val="center"/>
          </w:tcPr>
          <w:p w14:paraId="27F03547">
            <w:pPr>
              <w:adjustRightInd w:val="0"/>
              <w:spacing w:line="380" w:lineRule="exact"/>
              <w:jc w:val="center"/>
              <w:textAlignment w:val="baseline"/>
              <w:rPr>
                <w:rFonts w:ascii="宋体" w:hAnsi="宋体"/>
                <w:bCs/>
                <w:color w:val="auto"/>
                <w:kern w:val="0"/>
                <w:szCs w:val="21"/>
              </w:rPr>
            </w:pPr>
            <w:r>
              <w:rPr>
                <w:rFonts w:hint="eastAsia" w:ascii="宋体" w:hAnsi="宋体"/>
                <w:bCs/>
                <w:color w:val="auto"/>
                <w:kern w:val="0"/>
                <w:szCs w:val="21"/>
              </w:rPr>
              <w:t>项目实施方案分（满15分）</w:t>
            </w:r>
          </w:p>
        </w:tc>
        <w:tc>
          <w:tcPr>
            <w:tcW w:w="6934" w:type="dxa"/>
            <w:vAlign w:val="center"/>
          </w:tcPr>
          <w:p w14:paraId="78EA8475">
            <w:pPr>
              <w:wordWrap w:val="0"/>
              <w:adjustRightInd w:val="0"/>
              <w:spacing w:line="380" w:lineRule="exact"/>
              <w:jc w:val="left"/>
              <w:textAlignment w:val="baseline"/>
              <w:rPr>
                <w:rFonts w:ascii="宋体" w:hAnsi="宋体"/>
                <w:bCs/>
                <w:color w:val="auto"/>
                <w:kern w:val="0"/>
                <w:szCs w:val="21"/>
              </w:rPr>
            </w:pPr>
            <w:r>
              <w:rPr>
                <w:rFonts w:hint="eastAsia" w:ascii="宋体" w:hAnsi="宋体"/>
                <w:bCs/>
                <w:color w:val="auto"/>
                <w:kern w:val="0"/>
                <w:szCs w:val="21"/>
              </w:rPr>
              <w:t>评委对供应商提供的项目实施方案（包含但不限于：①</w:t>
            </w:r>
            <w:r>
              <w:rPr>
                <w:rFonts w:hint="eastAsia" w:hAnsi="宋体" w:cs="宋体"/>
                <w:color w:val="auto"/>
              </w:rPr>
              <w:t>维保实施方案</w:t>
            </w:r>
            <w:r>
              <w:rPr>
                <w:rFonts w:hint="eastAsia" w:ascii="宋体" w:hAnsi="宋体"/>
                <w:bCs/>
                <w:color w:val="auto"/>
                <w:kern w:val="0"/>
                <w:szCs w:val="21"/>
              </w:rPr>
              <w:t>；②</w:t>
            </w:r>
            <w:r>
              <w:rPr>
                <w:rFonts w:hint="eastAsia" w:hAnsi="宋体" w:cs="宋体"/>
                <w:color w:val="auto"/>
              </w:rPr>
              <w:t>服务计划</w:t>
            </w:r>
            <w:r>
              <w:rPr>
                <w:rFonts w:hint="eastAsia" w:ascii="宋体" w:hAnsi="宋体"/>
                <w:bCs/>
                <w:color w:val="auto"/>
                <w:kern w:val="0"/>
                <w:szCs w:val="21"/>
              </w:rPr>
              <w:t>；③</w:t>
            </w:r>
            <w:r>
              <w:rPr>
                <w:rFonts w:hint="eastAsia" w:hAnsi="宋体" w:cs="宋体"/>
                <w:color w:val="auto"/>
              </w:rPr>
              <w:t>各项服务流程</w:t>
            </w:r>
            <w:r>
              <w:rPr>
                <w:rFonts w:hint="eastAsia" w:ascii="宋体" w:hAnsi="宋体"/>
                <w:bCs/>
                <w:color w:val="auto"/>
                <w:kern w:val="0"/>
                <w:szCs w:val="21"/>
              </w:rPr>
              <w:t>；④应急处理措施等）内容</w:t>
            </w:r>
            <w:r>
              <w:rPr>
                <w:rFonts w:hint="eastAsia" w:ascii="宋体" w:hAnsi="宋体"/>
                <w:bCs/>
                <w:color w:val="auto"/>
                <w:kern w:val="0"/>
                <w:szCs w:val="21"/>
                <w:lang w:val="zh-CN"/>
              </w:rPr>
              <w:t>进行独立评审打分</w:t>
            </w:r>
            <w:r>
              <w:rPr>
                <w:rFonts w:hint="eastAsia" w:ascii="宋体" w:hAnsi="宋体"/>
                <w:bCs/>
                <w:color w:val="auto"/>
                <w:kern w:val="0"/>
                <w:szCs w:val="21"/>
              </w:rPr>
              <w:t>：</w:t>
            </w:r>
          </w:p>
          <w:p w14:paraId="6C28847E">
            <w:pPr>
              <w:wordWrap w:val="0"/>
              <w:adjustRightInd w:val="0"/>
              <w:spacing w:line="380" w:lineRule="exact"/>
              <w:ind w:firstLine="420" w:firstLineChars="200"/>
              <w:jc w:val="left"/>
              <w:textAlignment w:val="baseline"/>
              <w:rPr>
                <w:rFonts w:ascii="宋体" w:hAnsi="宋体"/>
                <w:bCs/>
                <w:color w:val="auto"/>
                <w:kern w:val="0"/>
                <w:szCs w:val="21"/>
              </w:rPr>
            </w:pPr>
            <w:r>
              <w:rPr>
                <w:rFonts w:hint="eastAsia" w:ascii="宋体" w:hAnsi="宋体"/>
                <w:bCs/>
                <w:color w:val="auto"/>
                <w:kern w:val="0"/>
                <w:szCs w:val="21"/>
              </w:rPr>
              <w:t>一档（5分）：</w:t>
            </w:r>
            <w:r>
              <w:rPr>
                <w:rFonts w:hint="eastAsia" w:hAnsi="宋体" w:cs="宋体"/>
                <w:color w:val="auto"/>
              </w:rPr>
              <w:t>维保实施方案</w:t>
            </w:r>
            <w:r>
              <w:rPr>
                <w:rFonts w:hint="eastAsia" w:ascii="宋体" w:hAnsi="宋体"/>
                <w:bCs/>
                <w:color w:val="auto"/>
                <w:kern w:val="0"/>
                <w:szCs w:val="21"/>
              </w:rPr>
              <w:t>不完整并缺乏可行性，</w:t>
            </w:r>
            <w:r>
              <w:rPr>
                <w:rFonts w:hint="eastAsia" w:hAnsi="宋体" w:cs="宋体"/>
                <w:color w:val="auto"/>
              </w:rPr>
              <w:t>服务计划</w:t>
            </w:r>
            <w:r>
              <w:rPr>
                <w:rFonts w:hint="eastAsia" w:ascii="宋体" w:hAnsi="宋体"/>
                <w:bCs/>
                <w:color w:val="auto"/>
                <w:kern w:val="0"/>
                <w:szCs w:val="21"/>
              </w:rPr>
              <w:t>和</w:t>
            </w:r>
            <w:r>
              <w:rPr>
                <w:rFonts w:hint="eastAsia" w:hAnsi="宋体" w:cs="宋体"/>
                <w:color w:val="auto"/>
              </w:rPr>
              <w:t>各项服务流程缺</w:t>
            </w:r>
            <w:r>
              <w:rPr>
                <w:rFonts w:hint="eastAsia" w:ascii="宋体" w:hAnsi="宋体"/>
                <w:bCs/>
                <w:color w:val="auto"/>
                <w:kern w:val="0"/>
                <w:szCs w:val="21"/>
              </w:rPr>
              <w:t>乏针对性、可操作性；应急处理措施不全面、缺乏可行性。</w:t>
            </w:r>
          </w:p>
          <w:p w14:paraId="5477B40A">
            <w:pPr>
              <w:wordWrap w:val="0"/>
              <w:adjustRightInd w:val="0"/>
              <w:spacing w:line="380" w:lineRule="exact"/>
              <w:ind w:firstLine="420" w:firstLineChars="200"/>
              <w:jc w:val="left"/>
              <w:textAlignment w:val="baseline"/>
              <w:rPr>
                <w:rFonts w:ascii="宋体" w:hAnsi="宋体"/>
                <w:bCs/>
                <w:color w:val="auto"/>
                <w:kern w:val="0"/>
                <w:szCs w:val="21"/>
              </w:rPr>
            </w:pPr>
            <w:r>
              <w:rPr>
                <w:rFonts w:hint="eastAsia" w:ascii="宋体" w:hAnsi="宋体"/>
                <w:bCs/>
                <w:color w:val="auto"/>
                <w:kern w:val="0"/>
                <w:szCs w:val="21"/>
              </w:rPr>
              <w:t>二档（10分）：</w:t>
            </w:r>
            <w:r>
              <w:rPr>
                <w:rFonts w:hint="eastAsia" w:ascii="宋体" w:hAnsi="宋体" w:cs="宋体"/>
                <w:color w:val="auto"/>
                <w:kern w:val="0"/>
                <w:szCs w:val="21"/>
              </w:rPr>
              <w:t>在优于一档的基础上，</w:t>
            </w:r>
            <w:r>
              <w:rPr>
                <w:rFonts w:hint="eastAsia" w:hAnsi="宋体" w:cs="宋体"/>
                <w:color w:val="auto"/>
              </w:rPr>
              <w:t>维保实施方案</w:t>
            </w:r>
            <w:r>
              <w:rPr>
                <w:rFonts w:hint="eastAsia" w:ascii="宋体" w:hAnsi="宋体"/>
                <w:bCs/>
                <w:color w:val="auto"/>
                <w:kern w:val="0"/>
                <w:szCs w:val="21"/>
              </w:rPr>
              <w:t>完整、有一定的可行性，</w:t>
            </w:r>
            <w:r>
              <w:rPr>
                <w:rFonts w:hint="eastAsia" w:hAnsi="宋体" w:cs="宋体"/>
                <w:color w:val="auto"/>
              </w:rPr>
              <w:t>服务计划</w:t>
            </w:r>
            <w:r>
              <w:rPr>
                <w:rFonts w:hint="eastAsia" w:ascii="宋体" w:hAnsi="宋体"/>
                <w:bCs/>
                <w:color w:val="auto"/>
                <w:kern w:val="0"/>
                <w:szCs w:val="21"/>
              </w:rPr>
              <w:t>和</w:t>
            </w:r>
            <w:r>
              <w:rPr>
                <w:rFonts w:hint="eastAsia" w:hAnsi="宋体" w:cs="宋体"/>
                <w:color w:val="auto"/>
              </w:rPr>
              <w:t>各项服务流程</w:t>
            </w:r>
            <w:r>
              <w:rPr>
                <w:rFonts w:hint="eastAsia" w:ascii="宋体" w:hAnsi="宋体"/>
                <w:bCs/>
                <w:color w:val="auto"/>
                <w:kern w:val="0"/>
                <w:szCs w:val="21"/>
              </w:rPr>
              <w:t>有一定的针对性、可操作性；应急处理措施基本全面、有一定的可行性。</w:t>
            </w:r>
          </w:p>
          <w:p w14:paraId="6E7F8664">
            <w:pPr>
              <w:wordWrap w:val="0"/>
              <w:adjustRightInd w:val="0"/>
              <w:spacing w:line="380" w:lineRule="exact"/>
              <w:ind w:firstLine="420" w:firstLineChars="200"/>
              <w:jc w:val="left"/>
              <w:textAlignment w:val="baseline"/>
              <w:rPr>
                <w:rFonts w:ascii="宋体" w:hAnsi="宋体"/>
                <w:bCs/>
                <w:color w:val="auto"/>
                <w:kern w:val="0"/>
                <w:szCs w:val="21"/>
              </w:rPr>
            </w:pPr>
            <w:r>
              <w:rPr>
                <w:rFonts w:hint="eastAsia" w:ascii="宋体" w:hAnsi="宋体"/>
                <w:bCs/>
                <w:color w:val="auto"/>
                <w:kern w:val="0"/>
                <w:szCs w:val="21"/>
              </w:rPr>
              <w:t>三档（15分）：</w:t>
            </w:r>
            <w:r>
              <w:rPr>
                <w:rFonts w:hint="eastAsia" w:ascii="宋体" w:hAnsi="宋体" w:cs="宋体"/>
                <w:color w:val="auto"/>
                <w:kern w:val="0"/>
                <w:szCs w:val="21"/>
              </w:rPr>
              <w:t>在优于二档的基础上，</w:t>
            </w:r>
            <w:r>
              <w:rPr>
                <w:rFonts w:hint="eastAsia" w:hAnsi="宋体" w:cs="宋体"/>
                <w:color w:val="auto"/>
              </w:rPr>
              <w:t>维保实施方案</w:t>
            </w:r>
            <w:r>
              <w:rPr>
                <w:rFonts w:hint="eastAsia" w:ascii="宋体" w:hAnsi="宋体"/>
                <w:bCs/>
                <w:color w:val="auto"/>
                <w:kern w:val="0"/>
                <w:szCs w:val="21"/>
              </w:rPr>
              <w:t>周密、完善、可行，</w:t>
            </w:r>
            <w:r>
              <w:rPr>
                <w:rFonts w:hint="eastAsia" w:hAnsi="宋体" w:cs="宋体"/>
                <w:color w:val="auto"/>
              </w:rPr>
              <w:t>服务计划</w:t>
            </w:r>
            <w:r>
              <w:rPr>
                <w:rFonts w:hint="eastAsia" w:ascii="宋体" w:hAnsi="宋体"/>
                <w:bCs/>
                <w:color w:val="auto"/>
                <w:kern w:val="0"/>
                <w:szCs w:val="21"/>
              </w:rPr>
              <w:t>和</w:t>
            </w:r>
            <w:r>
              <w:rPr>
                <w:rFonts w:hint="eastAsia" w:hAnsi="宋体" w:cs="宋体"/>
                <w:color w:val="auto"/>
              </w:rPr>
              <w:t>各项服务流程</w:t>
            </w:r>
            <w:r>
              <w:rPr>
                <w:rFonts w:hint="eastAsia" w:ascii="宋体" w:hAnsi="宋体"/>
                <w:bCs/>
                <w:color w:val="auto"/>
                <w:kern w:val="0"/>
                <w:szCs w:val="21"/>
              </w:rPr>
              <w:t>针对性及可操作性强；应急处理措施周全、切实可行。</w:t>
            </w:r>
          </w:p>
          <w:p w14:paraId="24073C54">
            <w:pPr>
              <w:wordWrap w:val="0"/>
              <w:adjustRightInd w:val="0"/>
              <w:spacing w:line="380" w:lineRule="exact"/>
              <w:jc w:val="left"/>
              <w:textAlignment w:val="baseline"/>
              <w:rPr>
                <w:rFonts w:ascii="宋体" w:hAnsi="宋体"/>
                <w:bCs/>
                <w:color w:val="auto"/>
                <w:kern w:val="0"/>
                <w:szCs w:val="21"/>
              </w:rPr>
            </w:pPr>
            <w:r>
              <w:rPr>
                <w:rFonts w:hint="eastAsia" w:ascii="宋体" w:hAnsi="宋体" w:cs="Courier New"/>
                <w:b/>
                <w:bCs/>
                <w:color w:val="auto"/>
                <w:kern w:val="0"/>
                <w:szCs w:val="21"/>
              </w:rPr>
              <w:t>注：经评审</w:t>
            </w:r>
            <w:r>
              <w:rPr>
                <w:rFonts w:hint="eastAsia" w:ascii="宋体" w:hAnsi="宋体" w:cs="宋体"/>
                <w:b/>
                <w:color w:val="auto"/>
              </w:rPr>
              <w:t>未达相应评审档次全部标准的,相应降低一个档次；未达到一档档次要求的相应不得分</w:t>
            </w:r>
            <w:r>
              <w:rPr>
                <w:rFonts w:hint="eastAsia" w:ascii="宋体" w:hAnsi="宋体" w:cs="Courier New"/>
                <w:b/>
                <w:bCs/>
                <w:color w:val="auto"/>
                <w:kern w:val="0"/>
                <w:szCs w:val="21"/>
              </w:rPr>
              <w:t>。</w:t>
            </w:r>
          </w:p>
        </w:tc>
      </w:tr>
      <w:tr w14:paraId="6687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11" w:type="dxa"/>
            <w:vAlign w:val="center"/>
          </w:tcPr>
          <w:p w14:paraId="1BF19382">
            <w:pPr>
              <w:widowControl/>
              <w:spacing w:line="380" w:lineRule="exact"/>
              <w:jc w:val="center"/>
              <w:rPr>
                <w:rFonts w:ascii="宋体" w:hAnsi="宋体" w:cs="Tahoma"/>
                <w:color w:val="auto"/>
                <w:kern w:val="0"/>
                <w:szCs w:val="21"/>
              </w:rPr>
            </w:pPr>
            <w:r>
              <w:rPr>
                <w:rFonts w:hint="eastAsia" w:ascii="宋体" w:hAnsi="宋体" w:cs="Tahoma"/>
                <w:color w:val="auto"/>
                <w:kern w:val="0"/>
                <w:szCs w:val="21"/>
              </w:rPr>
              <w:t>（4）</w:t>
            </w:r>
          </w:p>
        </w:tc>
        <w:tc>
          <w:tcPr>
            <w:tcW w:w="1250" w:type="dxa"/>
            <w:vAlign w:val="center"/>
          </w:tcPr>
          <w:p w14:paraId="0FAB0C8C">
            <w:pPr>
              <w:adjustRightInd w:val="0"/>
              <w:spacing w:line="380" w:lineRule="exact"/>
              <w:jc w:val="center"/>
              <w:textAlignment w:val="baseline"/>
              <w:rPr>
                <w:rFonts w:ascii="宋体" w:hAnsi="宋体"/>
                <w:bCs/>
                <w:color w:val="auto"/>
                <w:kern w:val="0"/>
                <w:szCs w:val="21"/>
              </w:rPr>
            </w:pPr>
            <w:r>
              <w:rPr>
                <w:rFonts w:hint="eastAsia" w:ascii="宋体" w:hAnsi="宋体" w:cs="宋体"/>
                <w:color w:val="auto"/>
                <w:szCs w:val="21"/>
              </w:rPr>
              <w:t>拟投入维护保养实施人员方案</w:t>
            </w:r>
            <w:r>
              <w:rPr>
                <w:rFonts w:hint="eastAsia" w:ascii="宋体" w:hAnsi="宋体" w:cs="宋体"/>
                <w:color w:val="auto"/>
                <w:szCs w:val="21"/>
                <w:lang w:val="en-US" w:eastAsia="zh-CN"/>
              </w:rPr>
              <w:t>分</w:t>
            </w:r>
            <w:r>
              <w:rPr>
                <w:rFonts w:hint="eastAsia" w:ascii="宋体" w:hAnsi="宋体" w:cs="宋体"/>
                <w:color w:val="auto"/>
                <w:szCs w:val="21"/>
              </w:rPr>
              <w:t>（满分15分）</w:t>
            </w:r>
          </w:p>
        </w:tc>
        <w:tc>
          <w:tcPr>
            <w:tcW w:w="6934" w:type="dxa"/>
          </w:tcPr>
          <w:p w14:paraId="03E90D70">
            <w:pPr>
              <w:wordWrap w:val="0"/>
              <w:spacing w:line="380" w:lineRule="exact"/>
              <w:ind w:firstLine="420" w:firstLineChars="200"/>
              <w:rPr>
                <w:rFonts w:ascii="宋体" w:hAnsi="宋体"/>
                <w:color w:val="auto"/>
                <w:szCs w:val="21"/>
              </w:rPr>
            </w:pPr>
            <w:r>
              <w:rPr>
                <w:rFonts w:hint="eastAsia" w:ascii="宋体" w:hAnsi="宋体"/>
                <w:color w:val="auto"/>
                <w:szCs w:val="21"/>
              </w:rPr>
              <w:t>评委对供应商提供的拟投入维护保养实施人员方案（包含但不限于：①实施人员管理组织架构；②人员分工；③应急维护人员调配方案等）内容的进行独立评审打分：</w:t>
            </w:r>
          </w:p>
          <w:p w14:paraId="186ADD88">
            <w:pPr>
              <w:wordWrap w:val="0"/>
              <w:spacing w:line="380" w:lineRule="exact"/>
              <w:ind w:firstLine="420" w:firstLineChars="200"/>
              <w:rPr>
                <w:rFonts w:ascii="宋体" w:hAnsi="宋体"/>
                <w:color w:val="auto"/>
                <w:szCs w:val="21"/>
              </w:rPr>
            </w:pPr>
            <w:r>
              <w:rPr>
                <w:rFonts w:hint="eastAsia" w:ascii="宋体" w:hAnsi="宋体"/>
                <w:color w:val="auto"/>
                <w:szCs w:val="21"/>
              </w:rPr>
              <w:t>一档（5分）：拟投入维护保养实施人员方案不完整，缺乏针对性及可行性，基本满足采购人要求。</w:t>
            </w:r>
          </w:p>
          <w:p w14:paraId="5D80DC97">
            <w:pPr>
              <w:wordWrap w:val="0"/>
              <w:spacing w:line="380" w:lineRule="exact"/>
              <w:ind w:firstLine="420" w:firstLineChars="200"/>
              <w:rPr>
                <w:rFonts w:ascii="宋体" w:hAnsi="宋体"/>
                <w:color w:val="auto"/>
                <w:szCs w:val="21"/>
              </w:rPr>
            </w:pPr>
            <w:r>
              <w:rPr>
                <w:rFonts w:hint="eastAsia" w:ascii="宋体" w:hAnsi="宋体"/>
                <w:color w:val="auto"/>
                <w:szCs w:val="21"/>
              </w:rPr>
              <w:t>二档（10分）：在优于一档的基础上，拟投入维护保养实施人员方案完整，有一定的针对性及可行性，满足采购人要求。</w:t>
            </w:r>
          </w:p>
          <w:p w14:paraId="7C5851FF">
            <w:pPr>
              <w:wordWrap w:val="0"/>
              <w:spacing w:line="380" w:lineRule="exact"/>
              <w:ind w:firstLine="420" w:firstLineChars="200"/>
              <w:rPr>
                <w:rFonts w:ascii="宋体" w:hAnsi="宋体"/>
                <w:color w:val="auto"/>
                <w:szCs w:val="21"/>
              </w:rPr>
            </w:pPr>
            <w:r>
              <w:rPr>
                <w:rFonts w:hint="eastAsia" w:ascii="宋体" w:hAnsi="宋体"/>
                <w:color w:val="auto"/>
                <w:szCs w:val="21"/>
              </w:rPr>
              <w:t>三档（15分）：在优于二档的基础上，拟投入维护保养实施人员方案周密、完善、针对性强、切实可行，充分满足采购人需求。</w:t>
            </w:r>
          </w:p>
          <w:p w14:paraId="54AEBAA0">
            <w:pPr>
              <w:wordWrap w:val="0"/>
              <w:spacing w:line="380" w:lineRule="exact"/>
              <w:rPr>
                <w:color w:val="auto"/>
                <w:szCs w:val="21"/>
              </w:rPr>
            </w:pPr>
            <w:r>
              <w:rPr>
                <w:rFonts w:hint="eastAsia" w:ascii="宋体" w:hAnsi="宋体" w:cs="Courier New"/>
                <w:b/>
                <w:bCs/>
                <w:color w:val="auto"/>
                <w:kern w:val="0"/>
                <w:szCs w:val="21"/>
              </w:rPr>
              <w:t>注：经评审</w:t>
            </w:r>
            <w:r>
              <w:rPr>
                <w:rFonts w:hint="eastAsia" w:ascii="宋体" w:hAnsi="宋体" w:cs="宋体"/>
                <w:b/>
                <w:color w:val="auto"/>
              </w:rPr>
              <w:t>未达相应评审档次全部标准的,相应降低一个档次；未达到一档档次要求的相应不得分</w:t>
            </w:r>
            <w:r>
              <w:rPr>
                <w:rFonts w:hint="eastAsia" w:ascii="宋体" w:hAnsi="宋体" w:cs="Courier New"/>
                <w:b/>
                <w:bCs/>
                <w:color w:val="auto"/>
                <w:kern w:val="0"/>
                <w:szCs w:val="21"/>
              </w:rPr>
              <w:t>。</w:t>
            </w:r>
          </w:p>
        </w:tc>
      </w:tr>
      <w:tr w14:paraId="231E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11" w:type="dxa"/>
            <w:vAlign w:val="center"/>
          </w:tcPr>
          <w:p w14:paraId="3E297852">
            <w:pPr>
              <w:widowControl/>
              <w:spacing w:line="380" w:lineRule="exact"/>
              <w:jc w:val="center"/>
              <w:rPr>
                <w:rFonts w:ascii="宋体" w:hAnsi="宋体" w:cs="Tahoma"/>
                <w:color w:val="auto"/>
                <w:kern w:val="0"/>
                <w:szCs w:val="21"/>
              </w:rPr>
            </w:pPr>
            <w:r>
              <w:rPr>
                <w:rFonts w:hint="eastAsia" w:ascii="宋体" w:hAnsi="宋体" w:cs="Tahoma"/>
                <w:color w:val="auto"/>
                <w:kern w:val="0"/>
                <w:szCs w:val="21"/>
              </w:rPr>
              <w:t>（5）</w:t>
            </w:r>
          </w:p>
        </w:tc>
        <w:tc>
          <w:tcPr>
            <w:tcW w:w="1250" w:type="dxa"/>
            <w:vAlign w:val="center"/>
          </w:tcPr>
          <w:p w14:paraId="68DA651C">
            <w:pPr>
              <w:adjustRightInd w:val="0"/>
              <w:spacing w:line="380" w:lineRule="exact"/>
              <w:jc w:val="center"/>
              <w:textAlignment w:val="baseline"/>
              <w:rPr>
                <w:rFonts w:ascii="宋体" w:hAnsi="宋体" w:cs="宋体"/>
                <w:b/>
                <w:bCs/>
                <w:color w:val="auto"/>
                <w:szCs w:val="21"/>
              </w:rPr>
            </w:pPr>
            <w:r>
              <w:rPr>
                <w:rFonts w:hint="eastAsia" w:ascii="宋体" w:hAnsi="宋体" w:cs="宋体"/>
                <w:color w:val="auto"/>
                <w:szCs w:val="21"/>
              </w:rPr>
              <w:t>培训方案</w:t>
            </w:r>
            <w:r>
              <w:rPr>
                <w:rFonts w:hint="eastAsia" w:ascii="宋体" w:hAnsi="宋体" w:cs="宋体"/>
                <w:color w:val="auto"/>
                <w:szCs w:val="21"/>
                <w:lang w:val="en-US" w:eastAsia="zh-CN"/>
              </w:rPr>
              <w:t>分</w:t>
            </w:r>
            <w:r>
              <w:rPr>
                <w:rFonts w:hint="eastAsia" w:ascii="宋体" w:hAnsi="宋体" w:cs="宋体"/>
                <w:color w:val="auto"/>
                <w:szCs w:val="21"/>
              </w:rPr>
              <w:t>（满分15分）</w:t>
            </w:r>
          </w:p>
        </w:tc>
        <w:tc>
          <w:tcPr>
            <w:tcW w:w="6934" w:type="dxa"/>
          </w:tcPr>
          <w:p w14:paraId="773227EC">
            <w:pPr>
              <w:wordWrap w:val="0"/>
              <w:spacing w:line="380" w:lineRule="exact"/>
              <w:ind w:firstLine="420" w:firstLineChars="200"/>
              <w:rPr>
                <w:rFonts w:ascii="宋体" w:hAnsi="宋体"/>
                <w:color w:val="auto"/>
                <w:szCs w:val="21"/>
              </w:rPr>
            </w:pPr>
            <w:r>
              <w:rPr>
                <w:rFonts w:hint="eastAsia" w:ascii="宋体" w:hAnsi="宋体"/>
                <w:color w:val="auto"/>
                <w:szCs w:val="21"/>
              </w:rPr>
              <w:t>评委对供应商提供的</w:t>
            </w:r>
            <w:r>
              <w:rPr>
                <w:rFonts w:hint="eastAsia" w:ascii="宋体" w:hAnsi="宋体" w:cs="宋体"/>
                <w:color w:val="auto"/>
                <w:szCs w:val="21"/>
              </w:rPr>
              <w:t>培训方案</w:t>
            </w:r>
            <w:r>
              <w:rPr>
                <w:rFonts w:hint="eastAsia" w:ascii="宋体" w:hAnsi="宋体"/>
                <w:color w:val="auto"/>
                <w:szCs w:val="21"/>
              </w:rPr>
              <w:t>【包含但不限于：①</w:t>
            </w:r>
            <w:r>
              <w:rPr>
                <w:rFonts w:hint="eastAsia" w:hAnsi="宋体" w:cs="宋体"/>
                <w:bCs/>
                <w:color w:val="auto"/>
              </w:rPr>
              <w:t>师资人员安排</w:t>
            </w:r>
            <w:r>
              <w:rPr>
                <w:rFonts w:hint="eastAsia" w:ascii="宋体" w:hAnsi="宋体"/>
                <w:color w:val="auto"/>
                <w:szCs w:val="21"/>
              </w:rPr>
              <w:t>；②</w:t>
            </w:r>
            <w:r>
              <w:rPr>
                <w:rFonts w:hint="eastAsia" w:hAnsi="宋体" w:cs="宋体"/>
                <w:bCs/>
                <w:color w:val="auto"/>
              </w:rPr>
              <w:t>培训内容安排（包括设备功能理论及设备应用培训计划、设备常见问题的基本维修及保养、操作培训计划）</w:t>
            </w:r>
            <w:r>
              <w:rPr>
                <w:rFonts w:hint="eastAsia" w:ascii="宋体" w:hAnsi="宋体"/>
                <w:color w:val="auto"/>
                <w:szCs w:val="21"/>
              </w:rPr>
              <w:t>】内容的进行独立评审打分：</w:t>
            </w:r>
          </w:p>
          <w:p w14:paraId="58E0B9DC">
            <w:pPr>
              <w:wordWrap w:val="0"/>
              <w:spacing w:line="380" w:lineRule="exact"/>
              <w:ind w:firstLine="420" w:firstLineChars="200"/>
              <w:rPr>
                <w:rFonts w:ascii="宋体" w:hAnsi="宋体"/>
                <w:color w:val="auto"/>
                <w:szCs w:val="21"/>
              </w:rPr>
            </w:pPr>
            <w:r>
              <w:rPr>
                <w:rFonts w:hint="eastAsia" w:ascii="宋体" w:hAnsi="宋体"/>
                <w:color w:val="auto"/>
                <w:szCs w:val="21"/>
              </w:rPr>
              <w:t>一档（5分）：</w:t>
            </w:r>
            <w:r>
              <w:rPr>
                <w:rFonts w:hint="eastAsia" w:ascii="宋体" w:hAnsi="宋体" w:cs="宋体"/>
                <w:color w:val="auto"/>
                <w:szCs w:val="21"/>
              </w:rPr>
              <w:t>培训方案</w:t>
            </w:r>
            <w:r>
              <w:rPr>
                <w:rFonts w:hint="eastAsia" w:ascii="宋体" w:hAnsi="宋体"/>
                <w:color w:val="auto"/>
                <w:szCs w:val="21"/>
              </w:rPr>
              <w:t>不完整，缺乏针对性及可行性，基本满足采购人要求。</w:t>
            </w:r>
          </w:p>
          <w:p w14:paraId="5B6FBB91">
            <w:pPr>
              <w:wordWrap w:val="0"/>
              <w:spacing w:line="380" w:lineRule="exact"/>
              <w:ind w:firstLine="420" w:firstLineChars="200"/>
              <w:rPr>
                <w:rFonts w:ascii="宋体" w:hAnsi="宋体"/>
                <w:color w:val="auto"/>
                <w:szCs w:val="21"/>
              </w:rPr>
            </w:pPr>
            <w:r>
              <w:rPr>
                <w:rFonts w:hint="eastAsia" w:ascii="宋体" w:hAnsi="宋体"/>
                <w:color w:val="auto"/>
                <w:szCs w:val="21"/>
              </w:rPr>
              <w:t>二档（10分）：在优于一档的基础上，</w:t>
            </w:r>
            <w:r>
              <w:rPr>
                <w:rFonts w:hint="eastAsia" w:ascii="宋体" w:hAnsi="宋体" w:cs="宋体"/>
                <w:color w:val="auto"/>
                <w:szCs w:val="21"/>
              </w:rPr>
              <w:t>培训方案</w:t>
            </w:r>
            <w:r>
              <w:rPr>
                <w:rFonts w:hint="eastAsia" w:ascii="宋体" w:hAnsi="宋体"/>
                <w:color w:val="auto"/>
                <w:szCs w:val="21"/>
              </w:rPr>
              <w:t>完整，有一定的针对性及可行性，满足采购人要求。</w:t>
            </w:r>
          </w:p>
          <w:p w14:paraId="6E4CC053">
            <w:pPr>
              <w:wordWrap w:val="0"/>
              <w:spacing w:line="380" w:lineRule="exact"/>
              <w:ind w:firstLine="420" w:firstLineChars="200"/>
              <w:rPr>
                <w:rFonts w:ascii="宋体" w:hAnsi="宋体"/>
                <w:color w:val="auto"/>
                <w:szCs w:val="21"/>
              </w:rPr>
            </w:pPr>
            <w:r>
              <w:rPr>
                <w:rFonts w:hint="eastAsia" w:ascii="宋体" w:hAnsi="宋体"/>
                <w:color w:val="auto"/>
                <w:szCs w:val="21"/>
              </w:rPr>
              <w:t>三档（15分）：在优于二档的基础上，</w:t>
            </w:r>
            <w:r>
              <w:rPr>
                <w:rFonts w:hint="eastAsia" w:ascii="宋体" w:hAnsi="宋体" w:cs="宋体"/>
                <w:color w:val="auto"/>
                <w:szCs w:val="21"/>
              </w:rPr>
              <w:t>培训方案</w:t>
            </w:r>
            <w:r>
              <w:rPr>
                <w:rFonts w:hint="eastAsia" w:ascii="宋体" w:hAnsi="宋体"/>
                <w:color w:val="auto"/>
                <w:szCs w:val="21"/>
              </w:rPr>
              <w:t>周密、完善、针对性强、切实可行，充分满足采购人需求。</w:t>
            </w:r>
          </w:p>
          <w:p w14:paraId="08A16650">
            <w:pPr>
              <w:wordWrap w:val="0"/>
              <w:spacing w:line="380" w:lineRule="exact"/>
              <w:rPr>
                <w:rFonts w:ascii="宋体" w:hAnsi="宋体" w:cs="Courier New"/>
                <w:b/>
                <w:bCs/>
                <w:color w:val="auto"/>
                <w:kern w:val="0"/>
                <w:szCs w:val="21"/>
              </w:rPr>
            </w:pPr>
            <w:r>
              <w:rPr>
                <w:rFonts w:hint="eastAsia" w:ascii="宋体" w:hAnsi="宋体" w:cs="Courier New"/>
                <w:b/>
                <w:bCs/>
                <w:color w:val="auto"/>
                <w:kern w:val="0"/>
                <w:szCs w:val="21"/>
              </w:rPr>
              <w:t>注：经评审</w:t>
            </w:r>
            <w:r>
              <w:rPr>
                <w:rFonts w:hint="eastAsia" w:ascii="宋体" w:hAnsi="宋体" w:cs="宋体"/>
                <w:b/>
                <w:color w:val="auto"/>
              </w:rPr>
              <w:t>未达相应评审档次全部标准的,相应降低一个档次；未达到一档档次要求的相应不得分</w:t>
            </w:r>
            <w:r>
              <w:rPr>
                <w:rFonts w:hint="eastAsia" w:ascii="宋体" w:hAnsi="宋体" w:cs="Courier New"/>
                <w:b/>
                <w:bCs/>
                <w:color w:val="auto"/>
                <w:kern w:val="0"/>
                <w:szCs w:val="21"/>
              </w:rPr>
              <w:t>。</w:t>
            </w:r>
          </w:p>
        </w:tc>
      </w:tr>
      <w:tr w14:paraId="6A43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11" w:type="dxa"/>
            <w:vAlign w:val="center"/>
          </w:tcPr>
          <w:p w14:paraId="073BF787">
            <w:pPr>
              <w:spacing w:line="380" w:lineRule="exact"/>
              <w:jc w:val="center"/>
              <w:rPr>
                <w:rFonts w:ascii="宋体" w:hAnsi="宋体"/>
                <w:bCs/>
                <w:color w:val="auto"/>
                <w:kern w:val="0"/>
                <w:szCs w:val="21"/>
              </w:rPr>
            </w:pPr>
            <w:r>
              <w:rPr>
                <w:rFonts w:hint="eastAsia" w:ascii="宋体" w:hAnsi="宋体"/>
                <w:bCs/>
                <w:color w:val="auto"/>
                <w:kern w:val="0"/>
                <w:szCs w:val="21"/>
              </w:rPr>
              <w:t>（6）</w:t>
            </w:r>
          </w:p>
        </w:tc>
        <w:tc>
          <w:tcPr>
            <w:tcW w:w="1250" w:type="dxa"/>
            <w:vAlign w:val="center"/>
          </w:tcPr>
          <w:p w14:paraId="56ECCFF8">
            <w:pPr>
              <w:adjustRightInd w:val="0"/>
              <w:spacing w:line="380" w:lineRule="exact"/>
              <w:jc w:val="center"/>
              <w:textAlignment w:val="baseline"/>
              <w:rPr>
                <w:rFonts w:ascii="宋体" w:hAnsi="宋体"/>
                <w:bCs/>
                <w:color w:val="auto"/>
                <w:kern w:val="0"/>
                <w:szCs w:val="21"/>
              </w:rPr>
            </w:pPr>
            <w:r>
              <w:rPr>
                <w:rFonts w:hint="eastAsia" w:ascii="宋体" w:hAnsi="宋体"/>
                <w:bCs/>
                <w:color w:val="auto"/>
                <w:kern w:val="0"/>
                <w:szCs w:val="21"/>
              </w:rPr>
              <w:t>履约能力分（5分）</w:t>
            </w:r>
          </w:p>
        </w:tc>
        <w:tc>
          <w:tcPr>
            <w:tcW w:w="6934" w:type="dxa"/>
          </w:tcPr>
          <w:p w14:paraId="1D4BA7D9">
            <w:pPr>
              <w:wordWrap w:val="0"/>
              <w:spacing w:line="380" w:lineRule="exact"/>
              <w:ind w:firstLine="420" w:firstLineChars="200"/>
              <w:rPr>
                <w:rFonts w:ascii="宋体" w:hAnsi="宋体"/>
                <w:color w:val="auto"/>
                <w:szCs w:val="21"/>
              </w:rPr>
            </w:pPr>
            <w:r>
              <w:rPr>
                <w:rFonts w:hint="eastAsia" w:ascii="宋体" w:hAnsi="宋体"/>
                <w:color w:val="auto"/>
                <w:szCs w:val="21"/>
              </w:rPr>
              <w:t>业绩分：供应商自</w:t>
            </w:r>
            <w:r>
              <w:rPr>
                <w:rFonts w:cs="Arial"/>
                <w:color w:val="auto"/>
                <w:szCs w:val="21"/>
              </w:rPr>
              <w:t>20</w:t>
            </w:r>
            <w:r>
              <w:rPr>
                <w:rFonts w:hint="eastAsia" w:cs="Arial"/>
                <w:color w:val="auto"/>
                <w:szCs w:val="21"/>
              </w:rPr>
              <w:t>21</w:t>
            </w:r>
            <w:r>
              <w:rPr>
                <w:rFonts w:cs="Arial"/>
                <w:color w:val="auto"/>
                <w:szCs w:val="21"/>
              </w:rPr>
              <w:t>年1月1日</w:t>
            </w:r>
            <w:r>
              <w:rPr>
                <w:rFonts w:hint="eastAsia" w:ascii="宋体" w:hAnsi="宋体"/>
                <w:color w:val="auto"/>
                <w:szCs w:val="21"/>
              </w:rPr>
              <w:t>以来具有完成同类项目的业绩【</w:t>
            </w:r>
            <w:r>
              <w:rPr>
                <w:rFonts w:hint="eastAsia" w:ascii="宋体" w:hAnsi="宋体"/>
                <w:color w:val="auto"/>
              </w:rPr>
              <w:t>以中标（成交）通知书复印件（或合同复印件）及验收证明为准（能清晰反映相应的项目内容或合同标的，否则将不予评审。同一个编号的项目有两个或两个以上的分标中标/成交的只算一次</w:t>
            </w:r>
            <w:r>
              <w:rPr>
                <w:rFonts w:hint="eastAsia" w:ascii="宋体" w:hAnsi="宋体"/>
                <w:color w:val="auto"/>
                <w:szCs w:val="21"/>
              </w:rPr>
              <w:t>）】的，每提供一项业绩的得1分，最多得5分。</w:t>
            </w:r>
          </w:p>
        </w:tc>
      </w:tr>
      <w:tr w14:paraId="4FC2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895" w:type="dxa"/>
            <w:gridSpan w:val="3"/>
            <w:vAlign w:val="center"/>
          </w:tcPr>
          <w:p w14:paraId="08F171BA">
            <w:pPr>
              <w:spacing w:line="380" w:lineRule="exact"/>
              <w:rPr>
                <w:color w:val="auto"/>
              </w:rPr>
            </w:pPr>
            <w:r>
              <w:rPr>
                <w:rFonts w:hint="eastAsia" w:ascii="宋体" w:hAnsi="宋体"/>
                <w:b/>
                <w:color w:val="auto"/>
                <w:szCs w:val="21"/>
              </w:rPr>
              <w:t>（7）综合得分为以上各项评审因素得分合计。</w:t>
            </w:r>
          </w:p>
        </w:tc>
      </w:tr>
    </w:tbl>
    <w:p w14:paraId="2B4E16BF">
      <w:pPr>
        <w:spacing w:line="380" w:lineRule="exact"/>
        <w:ind w:firstLine="420" w:firstLineChars="200"/>
        <w:rPr>
          <w:rFonts w:ascii="宋体" w:hAnsi="宋体"/>
          <w:color w:val="auto"/>
          <w:szCs w:val="21"/>
        </w:rPr>
      </w:pPr>
      <w:r>
        <w:rPr>
          <w:rFonts w:ascii="宋体" w:hAnsi="宋体"/>
          <w:bCs/>
          <w:color w:val="auto"/>
          <w:szCs w:val="21"/>
        </w:rPr>
        <w:t>7.</w:t>
      </w:r>
      <w:r>
        <w:rPr>
          <w:rFonts w:hint="eastAsia" w:ascii="宋体" w:hAnsi="宋体"/>
          <w:bCs/>
          <w:color w:val="auto"/>
          <w:szCs w:val="21"/>
        </w:rPr>
        <w:t>由磋商小组根据综合评分情况，按照评审得分由高到低顺序推荐3名以上成交候选供应商，并编写评</w:t>
      </w:r>
      <w:r>
        <w:rPr>
          <w:rFonts w:hint="eastAsia" w:ascii="宋体" w:hAnsi="宋体"/>
          <w:bCs/>
          <w:color w:val="auto"/>
          <w:kern w:val="0"/>
          <w:szCs w:val="21"/>
        </w:rPr>
        <w:t>审报告，评审报告通过电子交易平台向采购人、采购代理机构提交。符合本章第</w:t>
      </w:r>
      <w:r>
        <w:rPr>
          <w:rFonts w:ascii="宋体" w:hAnsi="宋体"/>
          <w:bCs/>
          <w:color w:val="auto"/>
          <w:kern w:val="0"/>
          <w:szCs w:val="21"/>
        </w:rPr>
        <w:t>4.3</w:t>
      </w:r>
      <w:r>
        <w:rPr>
          <w:rFonts w:hint="eastAsia" w:ascii="宋体" w:hAnsi="宋体"/>
          <w:bCs/>
          <w:color w:val="auto"/>
          <w:kern w:val="0"/>
          <w:szCs w:val="21"/>
        </w:rPr>
        <w:t>条情形的，可以推荐2家成交候选供应商。评审得分相同的，按照最后报价（不计算价格折扣）由低到高的顺序推荐；评审得分且最后报价（不计算价格折扣）相同的，依次按照技术分、项目实施方案分、</w:t>
      </w:r>
      <w:r>
        <w:rPr>
          <w:rFonts w:hint="eastAsia" w:ascii="宋体" w:hAnsi="宋体" w:cs="宋体"/>
          <w:color w:val="auto"/>
          <w:szCs w:val="21"/>
        </w:rPr>
        <w:t>拟投入维护保养实施人员方案分、培训方案分、</w:t>
      </w:r>
      <w:r>
        <w:rPr>
          <w:rFonts w:hint="eastAsia" w:ascii="宋体" w:hAnsi="宋体"/>
          <w:bCs/>
          <w:color w:val="auto"/>
          <w:kern w:val="0"/>
          <w:szCs w:val="21"/>
        </w:rPr>
        <w:t>履约能力分顺序推荐，上述得分均相同的由磋商小组随机抽取推荐。</w:t>
      </w:r>
    </w:p>
    <w:p w14:paraId="09AE1C9C">
      <w:pPr>
        <w:pStyle w:val="2"/>
        <w:jc w:val="center"/>
        <w:rPr>
          <w:color w:val="auto"/>
        </w:rPr>
      </w:pPr>
      <w:bookmarkStart w:id="88" w:name="_Toc74322609"/>
    </w:p>
    <w:p w14:paraId="5E9F4B2C">
      <w:pPr>
        <w:rPr>
          <w:color w:val="auto"/>
        </w:rPr>
      </w:pPr>
    </w:p>
    <w:p w14:paraId="013DE944">
      <w:pPr>
        <w:rPr>
          <w:color w:val="auto"/>
        </w:rPr>
      </w:pPr>
    </w:p>
    <w:p w14:paraId="31848CBC">
      <w:pPr>
        <w:pStyle w:val="2"/>
        <w:jc w:val="center"/>
        <w:rPr>
          <w:color w:val="auto"/>
        </w:rPr>
      </w:pPr>
    </w:p>
    <w:p w14:paraId="309E8308">
      <w:pPr>
        <w:rPr>
          <w:color w:val="auto"/>
        </w:rPr>
      </w:pPr>
    </w:p>
    <w:p w14:paraId="557ACDA5">
      <w:pPr>
        <w:rPr>
          <w:color w:val="auto"/>
        </w:rPr>
      </w:pPr>
    </w:p>
    <w:p w14:paraId="4037096D">
      <w:pPr>
        <w:pStyle w:val="2"/>
        <w:jc w:val="center"/>
        <w:rPr>
          <w:color w:val="auto"/>
        </w:rPr>
      </w:pPr>
    </w:p>
    <w:p w14:paraId="128C8576">
      <w:pPr>
        <w:rPr>
          <w:color w:val="auto"/>
        </w:rPr>
      </w:pPr>
    </w:p>
    <w:p w14:paraId="1112F418">
      <w:pPr>
        <w:rPr>
          <w:color w:val="auto"/>
        </w:rPr>
      </w:pPr>
    </w:p>
    <w:p w14:paraId="02DF1918">
      <w:pPr>
        <w:rPr>
          <w:color w:val="auto"/>
        </w:rPr>
      </w:pPr>
    </w:p>
    <w:p w14:paraId="4F10865E">
      <w:pPr>
        <w:rPr>
          <w:color w:val="auto"/>
        </w:rPr>
      </w:pPr>
    </w:p>
    <w:p w14:paraId="1B7CC7F1">
      <w:pPr>
        <w:rPr>
          <w:color w:val="auto"/>
        </w:rPr>
      </w:pPr>
    </w:p>
    <w:p w14:paraId="627913D5">
      <w:pPr>
        <w:rPr>
          <w:color w:val="auto"/>
        </w:rPr>
      </w:pPr>
    </w:p>
    <w:p w14:paraId="682ABBFD">
      <w:pPr>
        <w:rPr>
          <w:color w:val="auto"/>
        </w:rPr>
      </w:pPr>
    </w:p>
    <w:p w14:paraId="73665BCF">
      <w:pPr>
        <w:rPr>
          <w:color w:val="auto"/>
        </w:rPr>
      </w:pPr>
    </w:p>
    <w:p w14:paraId="0BA01D88">
      <w:pPr>
        <w:rPr>
          <w:color w:val="auto"/>
        </w:rPr>
      </w:pPr>
    </w:p>
    <w:p w14:paraId="27CC5A59">
      <w:pPr>
        <w:rPr>
          <w:color w:val="auto"/>
        </w:rPr>
      </w:pPr>
    </w:p>
    <w:p w14:paraId="1BB60E7B">
      <w:pPr>
        <w:rPr>
          <w:color w:val="auto"/>
        </w:rPr>
      </w:pPr>
    </w:p>
    <w:p w14:paraId="3D30A928">
      <w:pPr>
        <w:rPr>
          <w:color w:val="auto"/>
        </w:rPr>
      </w:pPr>
    </w:p>
    <w:p w14:paraId="0B82F980">
      <w:pPr>
        <w:rPr>
          <w:color w:val="auto"/>
        </w:rPr>
      </w:pPr>
    </w:p>
    <w:p w14:paraId="3085A92D">
      <w:pPr>
        <w:rPr>
          <w:color w:val="auto"/>
        </w:rPr>
      </w:pPr>
    </w:p>
    <w:p w14:paraId="6BFE3829">
      <w:pPr>
        <w:rPr>
          <w:color w:val="auto"/>
        </w:rPr>
      </w:pPr>
    </w:p>
    <w:p w14:paraId="1906372B">
      <w:pPr>
        <w:rPr>
          <w:color w:val="auto"/>
        </w:rPr>
      </w:pPr>
    </w:p>
    <w:p w14:paraId="52530417">
      <w:pPr>
        <w:rPr>
          <w:color w:val="auto"/>
        </w:rPr>
      </w:pPr>
    </w:p>
    <w:p w14:paraId="51A40C4E">
      <w:pPr>
        <w:rPr>
          <w:color w:val="auto"/>
        </w:rPr>
      </w:pPr>
    </w:p>
    <w:p w14:paraId="7DB2239D">
      <w:pPr>
        <w:rPr>
          <w:color w:val="auto"/>
        </w:rPr>
      </w:pPr>
    </w:p>
    <w:p w14:paraId="3DACC4BF">
      <w:pPr>
        <w:rPr>
          <w:color w:val="auto"/>
        </w:rPr>
      </w:pPr>
    </w:p>
    <w:p w14:paraId="7E0B21A4">
      <w:pPr>
        <w:rPr>
          <w:color w:val="auto"/>
        </w:rPr>
      </w:pPr>
    </w:p>
    <w:p w14:paraId="5420E6B0">
      <w:pPr>
        <w:rPr>
          <w:color w:val="auto"/>
        </w:rPr>
      </w:pPr>
    </w:p>
    <w:p w14:paraId="7A5E9054">
      <w:pPr>
        <w:rPr>
          <w:color w:val="auto"/>
        </w:rPr>
      </w:pPr>
    </w:p>
    <w:p w14:paraId="5FD3C1EF">
      <w:pPr>
        <w:rPr>
          <w:color w:val="auto"/>
        </w:rPr>
      </w:pPr>
    </w:p>
    <w:p w14:paraId="767B3E85">
      <w:pPr>
        <w:rPr>
          <w:color w:val="auto"/>
        </w:rPr>
      </w:pPr>
    </w:p>
    <w:p w14:paraId="12E0091D">
      <w:pPr>
        <w:rPr>
          <w:color w:val="auto"/>
        </w:rPr>
      </w:pPr>
    </w:p>
    <w:p w14:paraId="53AD9850">
      <w:pPr>
        <w:rPr>
          <w:color w:val="auto"/>
        </w:rPr>
      </w:pPr>
    </w:p>
    <w:p w14:paraId="5915C8EC">
      <w:pPr>
        <w:rPr>
          <w:color w:val="auto"/>
        </w:rPr>
      </w:pPr>
    </w:p>
    <w:p w14:paraId="78AA89DF">
      <w:pPr>
        <w:rPr>
          <w:color w:val="auto"/>
        </w:rPr>
      </w:pPr>
    </w:p>
    <w:p w14:paraId="582629D3">
      <w:pPr>
        <w:rPr>
          <w:color w:val="auto"/>
        </w:rPr>
      </w:pPr>
    </w:p>
    <w:p w14:paraId="58C7F78C">
      <w:pPr>
        <w:rPr>
          <w:color w:val="auto"/>
        </w:rPr>
      </w:pPr>
    </w:p>
    <w:p w14:paraId="4E4D6518">
      <w:pPr>
        <w:pStyle w:val="2"/>
        <w:jc w:val="center"/>
        <w:rPr>
          <w:color w:val="auto"/>
        </w:rPr>
      </w:pPr>
      <w:r>
        <w:rPr>
          <w:rFonts w:hint="eastAsia"/>
          <w:color w:val="auto"/>
        </w:rPr>
        <w:t>第五章 响应文件格式</w:t>
      </w:r>
      <w:bookmarkEnd w:id="88"/>
    </w:p>
    <w:p w14:paraId="11EB61D6">
      <w:pPr>
        <w:spacing w:line="240" w:lineRule="atLeast"/>
        <w:rPr>
          <w:rFonts w:ascii="宋体" w:hAnsi="宋体"/>
          <w:b/>
          <w:color w:val="auto"/>
          <w:sz w:val="32"/>
          <w:szCs w:val="32"/>
        </w:rPr>
      </w:pPr>
    </w:p>
    <w:p w14:paraId="426F8315">
      <w:pPr>
        <w:spacing w:line="240" w:lineRule="atLeast"/>
        <w:rPr>
          <w:rFonts w:ascii="宋体" w:hAnsi="宋体"/>
          <w:b/>
          <w:color w:val="auto"/>
          <w:sz w:val="32"/>
          <w:szCs w:val="32"/>
        </w:rPr>
      </w:pPr>
    </w:p>
    <w:p w14:paraId="621345D7">
      <w:pPr>
        <w:spacing w:line="240" w:lineRule="atLeast"/>
        <w:rPr>
          <w:rFonts w:ascii="宋体" w:hAnsi="宋体"/>
          <w:b/>
          <w:color w:val="auto"/>
          <w:sz w:val="32"/>
          <w:szCs w:val="32"/>
        </w:rPr>
      </w:pPr>
    </w:p>
    <w:p w14:paraId="7D615A99">
      <w:pPr>
        <w:spacing w:line="240" w:lineRule="atLeast"/>
        <w:rPr>
          <w:rFonts w:ascii="宋体" w:hAnsi="宋体"/>
          <w:b/>
          <w:color w:val="auto"/>
          <w:sz w:val="32"/>
          <w:szCs w:val="32"/>
        </w:rPr>
      </w:pPr>
    </w:p>
    <w:p w14:paraId="2D4D0ACA">
      <w:pPr>
        <w:spacing w:line="240" w:lineRule="atLeast"/>
        <w:rPr>
          <w:rFonts w:ascii="宋体" w:hAnsi="宋体"/>
          <w:b/>
          <w:color w:val="auto"/>
          <w:sz w:val="32"/>
          <w:szCs w:val="32"/>
        </w:rPr>
      </w:pPr>
    </w:p>
    <w:p w14:paraId="6500D997">
      <w:pPr>
        <w:spacing w:line="240" w:lineRule="atLeast"/>
        <w:rPr>
          <w:rFonts w:ascii="宋体" w:hAnsi="宋体"/>
          <w:b/>
          <w:color w:val="auto"/>
          <w:sz w:val="32"/>
          <w:szCs w:val="32"/>
        </w:rPr>
      </w:pPr>
    </w:p>
    <w:p w14:paraId="0D7B0E83">
      <w:pPr>
        <w:spacing w:line="240" w:lineRule="atLeast"/>
        <w:rPr>
          <w:rFonts w:ascii="宋体" w:hAnsi="宋体"/>
          <w:b/>
          <w:color w:val="auto"/>
          <w:sz w:val="32"/>
          <w:szCs w:val="32"/>
        </w:rPr>
      </w:pPr>
    </w:p>
    <w:p w14:paraId="7DC67057">
      <w:pPr>
        <w:spacing w:line="240" w:lineRule="atLeast"/>
        <w:rPr>
          <w:rFonts w:ascii="宋体" w:hAnsi="宋体"/>
          <w:b/>
          <w:color w:val="auto"/>
          <w:sz w:val="32"/>
          <w:szCs w:val="32"/>
        </w:rPr>
      </w:pPr>
    </w:p>
    <w:p w14:paraId="5FBECF45">
      <w:pPr>
        <w:spacing w:line="240" w:lineRule="atLeast"/>
        <w:rPr>
          <w:rFonts w:ascii="宋体" w:hAnsi="宋体"/>
          <w:b/>
          <w:color w:val="auto"/>
          <w:sz w:val="32"/>
          <w:szCs w:val="32"/>
        </w:rPr>
      </w:pPr>
    </w:p>
    <w:p w14:paraId="533A2CE6">
      <w:pPr>
        <w:spacing w:line="240" w:lineRule="atLeast"/>
        <w:rPr>
          <w:rFonts w:ascii="宋体" w:hAnsi="宋体"/>
          <w:b/>
          <w:color w:val="auto"/>
          <w:sz w:val="32"/>
          <w:szCs w:val="32"/>
        </w:rPr>
      </w:pPr>
    </w:p>
    <w:p w14:paraId="536134F7">
      <w:pPr>
        <w:spacing w:line="240" w:lineRule="atLeast"/>
        <w:rPr>
          <w:rFonts w:ascii="宋体" w:hAnsi="宋体"/>
          <w:b/>
          <w:color w:val="auto"/>
          <w:sz w:val="32"/>
          <w:szCs w:val="32"/>
        </w:rPr>
      </w:pPr>
    </w:p>
    <w:p w14:paraId="40B093F9">
      <w:pPr>
        <w:spacing w:line="240" w:lineRule="atLeast"/>
        <w:rPr>
          <w:rFonts w:ascii="宋体" w:hAnsi="宋体"/>
          <w:b/>
          <w:color w:val="auto"/>
          <w:sz w:val="32"/>
          <w:szCs w:val="32"/>
        </w:rPr>
      </w:pPr>
    </w:p>
    <w:p w14:paraId="59E372C6">
      <w:pPr>
        <w:spacing w:line="240" w:lineRule="atLeast"/>
        <w:rPr>
          <w:rFonts w:ascii="宋体" w:hAnsi="宋体"/>
          <w:b/>
          <w:color w:val="auto"/>
          <w:sz w:val="32"/>
          <w:szCs w:val="32"/>
        </w:rPr>
      </w:pPr>
    </w:p>
    <w:p w14:paraId="5C7BEFF5">
      <w:pPr>
        <w:rPr>
          <w:rFonts w:ascii="仿宋_GB2312" w:hAnsi="仿宋_GB2312" w:eastAsia="仿宋_GB2312" w:cs="仿宋_GB2312"/>
          <w:bCs/>
          <w:color w:val="auto"/>
          <w:sz w:val="32"/>
          <w:szCs w:val="32"/>
        </w:rPr>
      </w:pPr>
      <w:bookmarkStart w:id="89" w:name="_Toc35611516"/>
      <w:bookmarkStart w:id="90" w:name="_Toc31728084"/>
      <w:bookmarkStart w:id="91" w:name="_Toc35611438"/>
      <w:bookmarkStart w:id="92" w:name="_Toc44229899"/>
      <w:bookmarkStart w:id="93" w:name="_Toc71366186"/>
      <w:bookmarkStart w:id="94" w:name="_Toc31723070"/>
    </w:p>
    <w:p w14:paraId="3AFBF643">
      <w:pPr>
        <w:rPr>
          <w:b/>
          <w:color w:val="auto"/>
          <w:sz w:val="32"/>
          <w:szCs w:val="32"/>
        </w:rPr>
      </w:pPr>
      <w:r>
        <w:rPr>
          <w:b/>
          <w:color w:val="auto"/>
          <w:sz w:val="32"/>
          <w:szCs w:val="32"/>
        </w:rPr>
        <w:br w:type="page"/>
      </w:r>
      <w:r>
        <w:rPr>
          <w:rFonts w:hint="eastAsia"/>
          <w:b/>
          <w:color w:val="auto"/>
          <w:sz w:val="32"/>
          <w:szCs w:val="32"/>
        </w:rPr>
        <w:t>一、资格证明文件格式</w:t>
      </w:r>
      <w:bookmarkEnd w:id="89"/>
      <w:bookmarkEnd w:id="90"/>
      <w:bookmarkEnd w:id="91"/>
      <w:bookmarkEnd w:id="92"/>
      <w:bookmarkEnd w:id="93"/>
      <w:bookmarkEnd w:id="94"/>
    </w:p>
    <w:p w14:paraId="0812664B">
      <w:pPr>
        <w:snapToGrid w:val="0"/>
        <w:spacing w:before="120" w:beforeLines="50" w:after="50" w:line="360" w:lineRule="auto"/>
        <w:jc w:val="left"/>
        <w:rPr>
          <w:rFonts w:ascii="宋体" w:hAnsi="宋体"/>
          <w:b/>
          <w:color w:val="auto"/>
          <w:sz w:val="24"/>
        </w:rPr>
      </w:pPr>
      <w:r>
        <w:rPr>
          <w:rFonts w:hint="eastAsia" w:ascii="宋体" w:hAnsi="宋体"/>
          <w:b/>
          <w:color w:val="auto"/>
          <w:sz w:val="32"/>
          <w:szCs w:val="32"/>
        </w:rPr>
        <w:t>1.资格证明文件封面格式：</w:t>
      </w:r>
      <w:r>
        <w:rPr>
          <w:rFonts w:hint="eastAsia" w:ascii="宋体" w:hAnsi="宋体"/>
          <w:b/>
          <w:color w:val="auto"/>
          <w:sz w:val="24"/>
        </w:rPr>
        <w:t xml:space="preserve"> </w:t>
      </w:r>
    </w:p>
    <w:p w14:paraId="441D51D5">
      <w:pPr>
        <w:snapToGrid w:val="0"/>
        <w:spacing w:before="120" w:beforeLines="50" w:after="50"/>
        <w:jc w:val="center"/>
        <w:rPr>
          <w:rFonts w:ascii="宋体" w:hAnsi="宋体"/>
          <w:color w:val="auto"/>
          <w:sz w:val="44"/>
          <w:szCs w:val="44"/>
        </w:rPr>
      </w:pPr>
    </w:p>
    <w:p w14:paraId="7AB149D9">
      <w:pPr>
        <w:snapToGrid w:val="0"/>
        <w:spacing w:before="120" w:beforeLines="50" w:after="50"/>
        <w:jc w:val="center"/>
        <w:rPr>
          <w:rFonts w:ascii="宋体" w:hAnsi="宋体"/>
          <w:color w:val="auto"/>
          <w:sz w:val="44"/>
          <w:szCs w:val="44"/>
        </w:rPr>
      </w:pPr>
      <w:r>
        <w:rPr>
          <w:rFonts w:hint="eastAsia" w:ascii="宋体" w:hAnsi="宋体"/>
          <w:color w:val="auto"/>
          <w:sz w:val="44"/>
          <w:szCs w:val="44"/>
        </w:rPr>
        <w:t>电 子 响 应 文 件</w:t>
      </w:r>
    </w:p>
    <w:p w14:paraId="1B834D4D">
      <w:pPr>
        <w:snapToGrid w:val="0"/>
        <w:spacing w:before="120" w:beforeLines="50" w:after="50"/>
        <w:rPr>
          <w:rFonts w:ascii="宋体" w:hAnsi="宋体"/>
          <w:color w:val="auto"/>
          <w:sz w:val="24"/>
          <w:szCs w:val="20"/>
        </w:rPr>
      </w:pPr>
    </w:p>
    <w:p w14:paraId="1C57CE63">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资  格  证  明  文  件</w:t>
      </w:r>
    </w:p>
    <w:p w14:paraId="258C7F3B">
      <w:pPr>
        <w:snapToGrid w:val="0"/>
        <w:spacing w:before="120" w:beforeLines="50" w:after="50"/>
        <w:rPr>
          <w:rFonts w:ascii="宋体" w:hAnsi="宋体"/>
          <w:bCs/>
          <w:color w:val="auto"/>
          <w:sz w:val="24"/>
          <w:szCs w:val="20"/>
        </w:rPr>
      </w:pPr>
    </w:p>
    <w:p w14:paraId="18B66727">
      <w:pPr>
        <w:snapToGrid w:val="0"/>
        <w:spacing w:before="120" w:beforeLines="50" w:after="50"/>
        <w:rPr>
          <w:rFonts w:ascii="宋体" w:hAnsi="宋体"/>
          <w:bCs/>
          <w:color w:val="auto"/>
          <w:sz w:val="24"/>
          <w:szCs w:val="20"/>
        </w:rPr>
      </w:pPr>
    </w:p>
    <w:p w14:paraId="1608EB27">
      <w:pPr>
        <w:snapToGrid w:val="0"/>
        <w:spacing w:before="120" w:beforeLines="50" w:after="50"/>
        <w:rPr>
          <w:rFonts w:ascii="宋体" w:hAnsi="宋体"/>
          <w:bCs/>
          <w:color w:val="auto"/>
          <w:sz w:val="24"/>
          <w:szCs w:val="20"/>
        </w:rPr>
      </w:pPr>
    </w:p>
    <w:p w14:paraId="4837D27C">
      <w:pPr>
        <w:snapToGrid w:val="0"/>
        <w:spacing w:before="120" w:beforeLines="50" w:after="50"/>
        <w:rPr>
          <w:rFonts w:ascii="宋体" w:hAnsi="宋体"/>
          <w:bCs/>
          <w:color w:val="auto"/>
          <w:sz w:val="24"/>
          <w:szCs w:val="20"/>
        </w:rPr>
      </w:pPr>
    </w:p>
    <w:p w14:paraId="322FE74B">
      <w:pPr>
        <w:snapToGrid w:val="0"/>
        <w:spacing w:before="120" w:beforeLines="50" w:after="50"/>
        <w:rPr>
          <w:rFonts w:ascii="宋体" w:hAnsi="宋体"/>
          <w:bCs/>
          <w:color w:val="auto"/>
          <w:sz w:val="24"/>
          <w:szCs w:val="20"/>
        </w:rPr>
      </w:pPr>
    </w:p>
    <w:p w14:paraId="313E47EC">
      <w:pPr>
        <w:snapToGrid w:val="0"/>
        <w:spacing w:before="120" w:beforeLines="50" w:after="50"/>
        <w:ind w:firstLine="707" w:firstLineChars="221"/>
        <w:rPr>
          <w:rFonts w:ascii="宋体" w:hAnsi="宋体" w:cs="仿宋_GB2312"/>
          <w:bCs/>
          <w:color w:val="auto"/>
          <w:sz w:val="32"/>
          <w:szCs w:val="32"/>
        </w:rPr>
      </w:pPr>
      <w:r>
        <w:rPr>
          <w:rFonts w:hint="eastAsia" w:ascii="宋体" w:hAnsi="宋体" w:cs="仿宋_GB2312"/>
          <w:bCs/>
          <w:color w:val="auto"/>
          <w:sz w:val="32"/>
          <w:szCs w:val="32"/>
        </w:rPr>
        <w:t>项目名称：</w:t>
      </w:r>
    </w:p>
    <w:p w14:paraId="33404876">
      <w:pPr>
        <w:snapToGrid w:val="0"/>
        <w:spacing w:before="120" w:beforeLines="50" w:after="50"/>
        <w:ind w:firstLine="720" w:firstLineChars="225"/>
        <w:rPr>
          <w:rFonts w:ascii="宋体" w:hAnsi="宋体" w:cs="仿宋_GB2312"/>
          <w:bCs/>
          <w:color w:val="auto"/>
          <w:sz w:val="32"/>
          <w:szCs w:val="32"/>
        </w:rPr>
      </w:pPr>
    </w:p>
    <w:p w14:paraId="6ADDA6B5">
      <w:pPr>
        <w:snapToGrid w:val="0"/>
        <w:spacing w:before="120" w:beforeLines="50" w:after="50"/>
        <w:ind w:firstLine="707" w:firstLineChars="221"/>
        <w:rPr>
          <w:rFonts w:ascii="宋体" w:hAnsi="宋体" w:cs="仿宋_GB2312"/>
          <w:bCs/>
          <w:color w:val="auto"/>
          <w:sz w:val="32"/>
          <w:szCs w:val="32"/>
        </w:rPr>
      </w:pPr>
      <w:r>
        <w:rPr>
          <w:rFonts w:hint="eastAsia" w:ascii="宋体" w:hAnsi="宋体" w:cs="仿宋_GB2312"/>
          <w:bCs/>
          <w:color w:val="auto"/>
          <w:sz w:val="32"/>
          <w:szCs w:val="32"/>
        </w:rPr>
        <w:t>项目编号：</w:t>
      </w:r>
    </w:p>
    <w:p w14:paraId="7350D6A1">
      <w:pPr>
        <w:snapToGrid w:val="0"/>
        <w:spacing w:before="120" w:beforeLines="50" w:after="50"/>
        <w:ind w:firstLine="720" w:firstLineChars="225"/>
        <w:rPr>
          <w:rFonts w:ascii="宋体" w:hAnsi="宋体" w:cs="仿宋_GB2312"/>
          <w:bCs/>
          <w:color w:val="auto"/>
          <w:sz w:val="32"/>
          <w:szCs w:val="32"/>
        </w:rPr>
      </w:pPr>
    </w:p>
    <w:p w14:paraId="1E3FA586">
      <w:pPr>
        <w:pStyle w:val="7"/>
        <w:snapToGrid w:val="0"/>
        <w:spacing w:before="50" w:after="50"/>
        <w:ind w:firstLine="0"/>
        <w:rPr>
          <w:rFonts w:ascii="宋体" w:hAnsi="宋体" w:cs="仿宋_GB2312"/>
          <w:bCs/>
          <w:color w:val="auto"/>
          <w:sz w:val="32"/>
          <w:szCs w:val="32"/>
        </w:rPr>
      </w:pPr>
      <w:r>
        <w:rPr>
          <w:rFonts w:hint="eastAsia" w:ascii="宋体" w:hAnsi="宋体" w:cs="仿宋_GB2312"/>
          <w:bCs/>
          <w:color w:val="auto"/>
          <w:sz w:val="32"/>
          <w:szCs w:val="32"/>
        </w:rPr>
        <w:t xml:space="preserve">    供应商名称：</w:t>
      </w:r>
    </w:p>
    <w:p w14:paraId="1C648B4E">
      <w:pPr>
        <w:snapToGrid w:val="0"/>
        <w:spacing w:before="120" w:beforeLines="50" w:after="50"/>
        <w:ind w:firstLine="640" w:firstLineChars="200"/>
        <w:rPr>
          <w:rFonts w:ascii="宋体" w:hAnsi="宋体" w:cs="仿宋_GB2312"/>
          <w:bCs/>
          <w:color w:val="auto"/>
          <w:sz w:val="32"/>
          <w:szCs w:val="32"/>
        </w:rPr>
      </w:pPr>
    </w:p>
    <w:p w14:paraId="4738D597">
      <w:pPr>
        <w:pStyle w:val="7"/>
        <w:snapToGrid w:val="0"/>
        <w:spacing w:before="50" w:after="50"/>
        <w:ind w:firstLine="720" w:firstLineChars="225"/>
        <w:rPr>
          <w:rFonts w:ascii="宋体" w:hAnsi="宋体" w:cs="仿宋_GB2312"/>
          <w:bCs/>
          <w:color w:val="auto"/>
          <w:sz w:val="32"/>
          <w:szCs w:val="32"/>
        </w:rPr>
      </w:pPr>
    </w:p>
    <w:p w14:paraId="0C5E1D8A">
      <w:pPr>
        <w:pStyle w:val="7"/>
        <w:snapToGrid w:val="0"/>
        <w:spacing w:before="50" w:after="50"/>
        <w:ind w:firstLine="720" w:firstLineChars="225"/>
        <w:rPr>
          <w:rFonts w:ascii="宋体" w:hAnsi="宋体" w:cs="仿宋_GB2312"/>
          <w:bCs/>
          <w:color w:val="auto"/>
          <w:sz w:val="32"/>
          <w:szCs w:val="32"/>
        </w:rPr>
      </w:pPr>
    </w:p>
    <w:p w14:paraId="5BBC2EC9">
      <w:pPr>
        <w:pStyle w:val="7"/>
        <w:snapToGrid w:val="0"/>
        <w:spacing w:before="50" w:after="50"/>
        <w:ind w:firstLine="1280" w:firstLineChars="400"/>
        <w:rPr>
          <w:rFonts w:ascii="宋体" w:hAnsi="宋体" w:cs="仿宋_GB2312"/>
          <w:bCs/>
          <w:color w:val="auto"/>
          <w:sz w:val="32"/>
          <w:szCs w:val="32"/>
        </w:rPr>
      </w:pPr>
    </w:p>
    <w:p w14:paraId="098B0B85">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14:paraId="5C2C0BF8">
      <w:pPr>
        <w:snapToGrid w:val="0"/>
        <w:spacing w:before="120" w:beforeLines="50" w:after="50"/>
        <w:rPr>
          <w:rFonts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2.资格证明文件目录</w:t>
      </w:r>
    </w:p>
    <w:p w14:paraId="292C7591">
      <w:pPr>
        <w:snapToGrid w:val="0"/>
        <w:spacing w:before="120" w:beforeLines="50" w:after="50"/>
        <w:rPr>
          <w:rFonts w:ascii="宋体" w:hAnsi="宋体"/>
          <w:b/>
          <w:bCs/>
          <w:color w:val="auto"/>
          <w:sz w:val="32"/>
          <w:szCs w:val="32"/>
        </w:rPr>
      </w:pPr>
      <w:r>
        <w:rPr>
          <w:rFonts w:hint="eastAsia" w:ascii="宋体" w:hAnsi="宋体"/>
          <w:b/>
          <w:bCs/>
          <w:color w:val="auto"/>
          <w:sz w:val="32"/>
          <w:szCs w:val="32"/>
        </w:rPr>
        <w:t xml:space="preserve">  </w:t>
      </w:r>
      <w:r>
        <w:rPr>
          <w:rFonts w:hint="eastAsia" w:ascii="宋体" w:hAnsi="宋体"/>
          <w:color w:val="auto"/>
          <w:sz w:val="32"/>
          <w:szCs w:val="32"/>
        </w:rPr>
        <w:t>根据磋商文件规定及供应商提供的材料自行编写目录（部分格式后附）。</w:t>
      </w:r>
    </w:p>
    <w:p w14:paraId="4B78209D">
      <w:pPr>
        <w:snapToGrid w:val="0"/>
        <w:spacing w:before="120" w:beforeLines="50" w:after="50"/>
        <w:rPr>
          <w:rFonts w:ascii="宋体" w:hAnsi="宋体"/>
          <w:color w:val="auto"/>
          <w:sz w:val="24"/>
          <w:szCs w:val="20"/>
        </w:rPr>
      </w:pPr>
      <w:r>
        <w:rPr>
          <w:rFonts w:ascii="宋体" w:hAnsi="宋体"/>
          <w:color w:val="auto"/>
          <w:sz w:val="24"/>
          <w:szCs w:val="20"/>
        </w:rPr>
        <w:t xml:space="preserve"> </w:t>
      </w:r>
    </w:p>
    <w:p w14:paraId="5B1E6C8A">
      <w:pPr>
        <w:spacing w:line="300" w:lineRule="auto"/>
        <w:rPr>
          <w:rFonts w:ascii="宋体" w:hAnsi="宋体"/>
          <w:color w:val="auto"/>
          <w:szCs w:val="21"/>
        </w:rPr>
      </w:pPr>
    </w:p>
    <w:p w14:paraId="200A4095">
      <w:pPr>
        <w:spacing w:line="300" w:lineRule="auto"/>
        <w:rPr>
          <w:rFonts w:ascii="宋体" w:hAnsi="宋体"/>
          <w:color w:val="auto"/>
          <w:szCs w:val="21"/>
        </w:rPr>
      </w:pPr>
    </w:p>
    <w:p w14:paraId="2EB9BCF1">
      <w:pPr>
        <w:spacing w:line="300" w:lineRule="auto"/>
        <w:rPr>
          <w:rFonts w:ascii="宋体" w:hAnsi="宋体"/>
          <w:color w:val="auto"/>
          <w:szCs w:val="21"/>
        </w:rPr>
      </w:pPr>
    </w:p>
    <w:p w14:paraId="2F42BB22">
      <w:pPr>
        <w:spacing w:line="300" w:lineRule="auto"/>
        <w:rPr>
          <w:rFonts w:ascii="宋体" w:hAnsi="宋体"/>
          <w:color w:val="auto"/>
          <w:szCs w:val="21"/>
        </w:rPr>
      </w:pPr>
    </w:p>
    <w:p w14:paraId="7FE42FA0">
      <w:pPr>
        <w:spacing w:line="300" w:lineRule="auto"/>
        <w:rPr>
          <w:rFonts w:ascii="宋体" w:hAnsi="宋体"/>
          <w:color w:val="auto"/>
          <w:szCs w:val="21"/>
        </w:rPr>
      </w:pPr>
    </w:p>
    <w:p w14:paraId="7D4CE78A">
      <w:pPr>
        <w:spacing w:line="300" w:lineRule="auto"/>
        <w:rPr>
          <w:rFonts w:ascii="宋体" w:hAnsi="宋体"/>
          <w:color w:val="auto"/>
          <w:szCs w:val="21"/>
        </w:rPr>
      </w:pPr>
    </w:p>
    <w:p w14:paraId="7B2BD6FA">
      <w:pPr>
        <w:spacing w:line="300" w:lineRule="auto"/>
        <w:rPr>
          <w:rFonts w:ascii="宋体" w:hAnsi="宋体"/>
          <w:color w:val="auto"/>
          <w:szCs w:val="21"/>
        </w:rPr>
      </w:pPr>
    </w:p>
    <w:p w14:paraId="394EBCAD">
      <w:pPr>
        <w:spacing w:line="300" w:lineRule="auto"/>
        <w:rPr>
          <w:rFonts w:ascii="宋体" w:hAnsi="宋体"/>
          <w:color w:val="auto"/>
          <w:szCs w:val="21"/>
        </w:rPr>
      </w:pPr>
    </w:p>
    <w:p w14:paraId="09FBEB5B">
      <w:pPr>
        <w:spacing w:line="300" w:lineRule="auto"/>
        <w:rPr>
          <w:rFonts w:ascii="宋体" w:hAnsi="宋体"/>
          <w:color w:val="auto"/>
          <w:szCs w:val="21"/>
        </w:rPr>
      </w:pPr>
    </w:p>
    <w:p w14:paraId="41BADC3D">
      <w:pPr>
        <w:spacing w:line="300" w:lineRule="auto"/>
        <w:rPr>
          <w:rFonts w:ascii="宋体" w:hAnsi="宋体"/>
          <w:color w:val="auto"/>
          <w:szCs w:val="21"/>
        </w:rPr>
      </w:pPr>
    </w:p>
    <w:p w14:paraId="74488FF6">
      <w:pPr>
        <w:spacing w:line="300" w:lineRule="auto"/>
        <w:rPr>
          <w:rFonts w:ascii="宋体" w:hAnsi="宋体"/>
          <w:color w:val="auto"/>
          <w:szCs w:val="21"/>
        </w:rPr>
      </w:pPr>
    </w:p>
    <w:p w14:paraId="32FF7AAD">
      <w:pPr>
        <w:spacing w:line="300" w:lineRule="auto"/>
        <w:rPr>
          <w:rFonts w:ascii="宋体" w:hAnsi="宋体"/>
          <w:color w:val="auto"/>
          <w:szCs w:val="21"/>
        </w:rPr>
      </w:pPr>
    </w:p>
    <w:p w14:paraId="58FD06D9">
      <w:pPr>
        <w:spacing w:line="300" w:lineRule="auto"/>
        <w:rPr>
          <w:rFonts w:ascii="宋体" w:hAnsi="宋体"/>
          <w:color w:val="auto"/>
          <w:szCs w:val="21"/>
        </w:rPr>
      </w:pPr>
    </w:p>
    <w:p w14:paraId="2591C7E2">
      <w:pPr>
        <w:spacing w:line="300" w:lineRule="auto"/>
        <w:rPr>
          <w:rFonts w:ascii="宋体" w:hAnsi="宋体"/>
          <w:color w:val="auto"/>
          <w:szCs w:val="21"/>
        </w:rPr>
      </w:pPr>
    </w:p>
    <w:p w14:paraId="592659CB">
      <w:pPr>
        <w:spacing w:line="300" w:lineRule="auto"/>
        <w:rPr>
          <w:rFonts w:ascii="宋体" w:hAnsi="宋体"/>
          <w:color w:val="auto"/>
          <w:szCs w:val="21"/>
        </w:rPr>
      </w:pPr>
    </w:p>
    <w:p w14:paraId="7BF6C53B">
      <w:pPr>
        <w:spacing w:line="320" w:lineRule="exact"/>
        <w:jc w:val="left"/>
        <w:rPr>
          <w:rFonts w:ascii="宋体" w:hAnsi="宋体"/>
          <w:color w:val="auto"/>
          <w:szCs w:val="21"/>
        </w:rPr>
      </w:pPr>
      <w:r>
        <w:rPr>
          <w:rFonts w:ascii="宋体" w:hAnsi="宋体"/>
          <w:color w:val="auto"/>
          <w:szCs w:val="21"/>
        </w:rPr>
        <w:br w:type="page"/>
      </w:r>
      <w:r>
        <w:rPr>
          <w:rFonts w:hint="eastAsia" w:ascii="宋体" w:hAnsi="宋体"/>
          <w:color w:val="auto"/>
          <w:szCs w:val="21"/>
        </w:rPr>
        <w:t xml:space="preserve"> </w:t>
      </w:r>
    </w:p>
    <w:p w14:paraId="474CB93D">
      <w:pPr>
        <w:spacing w:line="320" w:lineRule="exact"/>
        <w:jc w:val="center"/>
        <w:rPr>
          <w:rFonts w:ascii="宋体" w:hAnsi="宋体"/>
          <w:b/>
          <w:color w:val="auto"/>
          <w:sz w:val="32"/>
          <w:szCs w:val="32"/>
        </w:rPr>
      </w:pPr>
      <w:r>
        <w:rPr>
          <w:rFonts w:hint="eastAsia" w:ascii="宋体" w:hAnsi="宋体"/>
          <w:b/>
          <w:color w:val="auto"/>
          <w:sz w:val="32"/>
          <w:szCs w:val="32"/>
        </w:rPr>
        <w:t>供应商直接控股、管理关系信息表</w:t>
      </w:r>
    </w:p>
    <w:p w14:paraId="0983B640">
      <w:pPr>
        <w:snapToGrid w:val="0"/>
        <w:spacing w:before="120" w:beforeLines="50" w:after="50" w:line="360" w:lineRule="auto"/>
        <w:jc w:val="center"/>
        <w:rPr>
          <w:rFonts w:ascii="宋体" w:hAnsi="宋体"/>
          <w:b/>
          <w:color w:val="auto"/>
          <w:sz w:val="24"/>
        </w:rPr>
      </w:pPr>
    </w:p>
    <w:p w14:paraId="26F63256">
      <w:pPr>
        <w:spacing w:line="320" w:lineRule="exact"/>
        <w:jc w:val="center"/>
        <w:rPr>
          <w:rFonts w:ascii="宋体" w:hAnsi="宋体"/>
          <w:b/>
          <w:color w:val="auto"/>
          <w:sz w:val="32"/>
          <w:szCs w:val="32"/>
        </w:rPr>
      </w:pPr>
      <w:r>
        <w:rPr>
          <w:rFonts w:hint="eastAsia" w:ascii="宋体" w:hAnsi="宋体"/>
          <w:b/>
          <w:color w:val="auto"/>
          <w:sz w:val="32"/>
          <w:szCs w:val="32"/>
        </w:rPr>
        <w:t>（1）供应商直接控股股东信息表</w:t>
      </w:r>
    </w:p>
    <w:p w14:paraId="2D2D4791">
      <w:pPr>
        <w:snapToGrid w:val="0"/>
        <w:spacing w:before="50" w:after="120" w:afterLines="50" w:line="360" w:lineRule="auto"/>
        <w:jc w:val="center"/>
        <w:rPr>
          <w:rFonts w:ascii="宋体" w:hAnsi="宋体"/>
          <w:b/>
          <w:color w:val="auto"/>
          <w:sz w:val="24"/>
        </w:rPr>
      </w:pPr>
    </w:p>
    <w:tbl>
      <w:tblPr>
        <w:tblStyle w:val="28"/>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E7884A2">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20D5C3">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8623D0">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C31AB0">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F57A56">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0D142B">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3938DEC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1A2755">
            <w:pPr>
              <w:widowControl/>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B2AB87">
            <w:pPr>
              <w:widowControl/>
              <w:spacing w:line="360" w:lineRule="auto"/>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9AB96D">
            <w:pPr>
              <w:widowControl/>
              <w:spacing w:line="360" w:lineRule="auto"/>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6D920E">
            <w:pPr>
              <w:widowControl/>
              <w:spacing w:line="360" w:lineRule="auto"/>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B24F52">
            <w:pPr>
              <w:widowControl/>
              <w:spacing w:line="360" w:lineRule="auto"/>
              <w:jc w:val="center"/>
              <w:rPr>
                <w:rFonts w:ascii="宋体" w:hAnsi="宋体" w:cs="宋体"/>
                <w:color w:val="auto"/>
                <w:kern w:val="0"/>
                <w:sz w:val="24"/>
              </w:rPr>
            </w:pPr>
          </w:p>
        </w:tc>
      </w:tr>
      <w:tr w14:paraId="4D0E9D5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0E57FE">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E8521F">
            <w:pPr>
              <w:widowControl/>
              <w:spacing w:line="360" w:lineRule="auto"/>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F7E4A1">
            <w:pPr>
              <w:widowControl/>
              <w:spacing w:line="360" w:lineRule="auto"/>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7AFBD5">
            <w:pPr>
              <w:widowControl/>
              <w:spacing w:line="360" w:lineRule="auto"/>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ABCC2D">
            <w:pPr>
              <w:widowControl/>
              <w:spacing w:line="360" w:lineRule="auto"/>
              <w:jc w:val="center"/>
              <w:rPr>
                <w:rFonts w:ascii="宋体" w:hAnsi="宋体" w:cs="宋体"/>
                <w:color w:val="auto"/>
                <w:kern w:val="0"/>
                <w:sz w:val="24"/>
              </w:rPr>
            </w:pPr>
          </w:p>
        </w:tc>
      </w:tr>
      <w:tr w14:paraId="5C66AF7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776824">
            <w:pPr>
              <w:widowControl/>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D1B984">
            <w:pPr>
              <w:widowControl/>
              <w:spacing w:line="360" w:lineRule="auto"/>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A05BDA">
            <w:pPr>
              <w:widowControl/>
              <w:spacing w:line="360" w:lineRule="auto"/>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88FC38">
            <w:pPr>
              <w:widowControl/>
              <w:spacing w:line="360" w:lineRule="auto"/>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B047B5">
            <w:pPr>
              <w:widowControl/>
              <w:spacing w:line="360" w:lineRule="auto"/>
              <w:jc w:val="center"/>
              <w:rPr>
                <w:rFonts w:ascii="宋体" w:hAnsi="宋体" w:cs="宋体"/>
                <w:color w:val="auto"/>
                <w:kern w:val="0"/>
                <w:sz w:val="24"/>
              </w:rPr>
            </w:pPr>
          </w:p>
        </w:tc>
      </w:tr>
      <w:tr w14:paraId="4090848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30EAE5">
            <w:pPr>
              <w:widowControl/>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18FE9C">
            <w:pPr>
              <w:widowControl/>
              <w:spacing w:line="360" w:lineRule="auto"/>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320E82">
            <w:pPr>
              <w:widowControl/>
              <w:spacing w:line="360" w:lineRule="auto"/>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DA3AE6">
            <w:pPr>
              <w:widowControl/>
              <w:spacing w:line="360" w:lineRule="auto"/>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BA44EE">
            <w:pPr>
              <w:widowControl/>
              <w:spacing w:line="360" w:lineRule="auto"/>
              <w:jc w:val="center"/>
              <w:rPr>
                <w:rFonts w:ascii="宋体" w:hAnsi="宋体" w:cs="宋体"/>
                <w:color w:val="auto"/>
                <w:kern w:val="0"/>
                <w:sz w:val="24"/>
              </w:rPr>
            </w:pPr>
          </w:p>
        </w:tc>
      </w:tr>
    </w:tbl>
    <w:p w14:paraId="7A0F92BB">
      <w:pPr>
        <w:spacing w:line="360" w:lineRule="auto"/>
        <w:contextualSpacing/>
        <w:jc w:val="left"/>
        <w:rPr>
          <w:rFonts w:ascii="宋体" w:hAnsi="宋体" w:cs="宋体"/>
          <w:color w:val="auto"/>
          <w:sz w:val="24"/>
        </w:rPr>
      </w:pPr>
      <w:r>
        <w:rPr>
          <w:rFonts w:hint="eastAsia" w:ascii="宋体" w:hAnsi="宋体" w:cs="宋体"/>
          <w:color w:val="auto"/>
          <w:sz w:val="24"/>
        </w:rPr>
        <w:t>注：</w:t>
      </w:r>
    </w:p>
    <w:p w14:paraId="082026AD">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4CB8ADD">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14:paraId="616B775B">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3.供应商不存在直接控股股东的，</w:t>
      </w:r>
      <w:r>
        <w:rPr>
          <w:rFonts w:hint="eastAsia" w:ascii="宋体" w:hAnsi="宋体"/>
          <w:color w:val="auto"/>
          <w:sz w:val="24"/>
        </w:rPr>
        <w:t>则在“直接控股股东名称”填“无”</w:t>
      </w:r>
      <w:r>
        <w:rPr>
          <w:rFonts w:hint="eastAsia" w:ascii="宋体" w:hAnsi="宋体" w:cs="宋体"/>
          <w:color w:val="auto"/>
          <w:sz w:val="24"/>
        </w:rPr>
        <w:t>。</w:t>
      </w:r>
    </w:p>
    <w:p w14:paraId="26F90DB8">
      <w:pPr>
        <w:spacing w:line="360" w:lineRule="auto"/>
        <w:ind w:firstLine="420" w:firstLineChars="200"/>
        <w:contextualSpacing/>
        <w:jc w:val="left"/>
        <w:rPr>
          <w:rFonts w:ascii="宋体" w:hAnsi="宋体" w:cs="宋体"/>
          <w:color w:val="auto"/>
          <w:szCs w:val="21"/>
        </w:rPr>
      </w:pPr>
    </w:p>
    <w:p w14:paraId="5F06F837">
      <w:pPr>
        <w:spacing w:line="360" w:lineRule="auto"/>
        <w:ind w:firstLine="560" w:firstLineChars="200"/>
        <w:contextualSpacing/>
        <w:jc w:val="left"/>
        <w:rPr>
          <w:rFonts w:ascii="宋体" w:hAnsi="宋体" w:cs="宋体"/>
          <w:color w:val="auto"/>
          <w:sz w:val="28"/>
          <w:szCs w:val="28"/>
        </w:rPr>
      </w:pPr>
    </w:p>
    <w:p w14:paraId="443919BF">
      <w:pPr>
        <w:spacing w:line="360" w:lineRule="auto"/>
        <w:ind w:right="480"/>
        <w:contextualSpacing/>
        <w:jc w:val="center"/>
        <w:rPr>
          <w:rFonts w:ascii="宋体" w:hAnsi="宋体" w:cs="宋体"/>
          <w:color w:val="auto"/>
          <w:sz w:val="24"/>
          <w:u w:val="single"/>
        </w:rPr>
      </w:pP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法定代表人或者委托代理人</w:t>
      </w:r>
      <w:r>
        <w:rPr>
          <w:rFonts w:hint="eastAsia" w:ascii="宋体" w:hAnsi="宋体"/>
          <w:color w:val="auto"/>
          <w:sz w:val="24"/>
        </w:rPr>
        <w:t>签字（或者电子签名）</w:t>
      </w:r>
      <w:r>
        <w:rPr>
          <w:rFonts w:hint="eastAsia" w:ascii="宋体" w:hAnsi="宋体" w:cs="宋体"/>
          <w:color w:val="auto"/>
          <w:sz w:val="24"/>
        </w:rPr>
        <w:t>：</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1A9DEEB9">
      <w:pPr>
        <w:spacing w:line="360" w:lineRule="auto"/>
        <w:ind w:right="480" w:firstLine="3000" w:firstLineChars="1250"/>
        <w:contextualSpacing/>
        <w:rPr>
          <w:rFonts w:ascii="宋体" w:hAnsi="宋体" w:cs="宋体"/>
          <w:color w:val="auto"/>
          <w:sz w:val="24"/>
          <w:u w:val="single"/>
        </w:rPr>
      </w:pPr>
      <w:r>
        <w:rPr>
          <w:rFonts w:hint="eastAsia" w:ascii="宋体" w:hAnsi="宋体" w:cs="宋体"/>
          <w:color w:val="auto"/>
          <w:sz w:val="24"/>
        </w:rPr>
        <w:t>供应商</w:t>
      </w:r>
      <w:r>
        <w:rPr>
          <w:rFonts w:hint="eastAsia" w:ascii="宋体" w:hAnsi="宋体"/>
          <w:color w:val="auto"/>
          <w:sz w:val="24"/>
        </w:rPr>
        <w:t>电子签章</w:t>
      </w:r>
      <w:r>
        <w:rPr>
          <w:rFonts w:hint="eastAsia" w:ascii="宋体" w:hAnsi="宋体" w:cs="宋体"/>
          <w:color w:val="auto"/>
          <w:sz w:val="24"/>
        </w:rPr>
        <w:t xml:space="preserve">： </w:t>
      </w:r>
      <w:r>
        <w:rPr>
          <w:rFonts w:hint="eastAsia" w:ascii="宋体" w:hAnsi="宋体" w:cs="宋体"/>
          <w:color w:val="auto"/>
          <w:sz w:val="24"/>
          <w:u w:val="single"/>
        </w:rPr>
        <w:t xml:space="preserve">                              </w:t>
      </w:r>
    </w:p>
    <w:p w14:paraId="79766EE8">
      <w:pPr>
        <w:spacing w:line="360" w:lineRule="auto"/>
        <w:ind w:firstLine="480" w:firstLineChars="200"/>
        <w:contextualSpacing/>
        <w:jc w:val="right"/>
        <w:rPr>
          <w:rFonts w:ascii="宋体" w:hAnsi="宋体" w:cs="宋体"/>
          <w:color w:val="auto"/>
          <w:sz w:val="28"/>
          <w:szCs w:val="28"/>
        </w:rPr>
      </w:pPr>
      <w:r>
        <w:rPr>
          <w:rFonts w:hint="eastAsia" w:ascii="宋体" w:hAnsi="宋体" w:cs="宋体"/>
          <w:color w:val="auto"/>
          <w:sz w:val="24"/>
        </w:rPr>
        <w:t>年    月    日</w:t>
      </w:r>
    </w:p>
    <w:p w14:paraId="19C4BBC6">
      <w:pPr>
        <w:snapToGrid w:val="0"/>
        <w:jc w:val="center"/>
        <w:rPr>
          <w:rFonts w:ascii="宋体" w:hAnsi="宋体"/>
          <w:b/>
          <w:color w:val="auto"/>
          <w:sz w:val="28"/>
          <w:szCs w:val="28"/>
        </w:rPr>
      </w:pPr>
      <w:r>
        <w:rPr>
          <w:rFonts w:ascii="宋体" w:hAnsi="宋体"/>
          <w:b/>
          <w:color w:val="auto"/>
          <w:sz w:val="28"/>
          <w:szCs w:val="28"/>
        </w:rPr>
        <w:br w:type="page"/>
      </w:r>
    </w:p>
    <w:p w14:paraId="4043474A">
      <w:pPr>
        <w:spacing w:line="320" w:lineRule="exact"/>
        <w:jc w:val="center"/>
        <w:rPr>
          <w:rFonts w:ascii="宋体" w:hAnsi="宋体"/>
          <w:b/>
          <w:color w:val="auto"/>
          <w:sz w:val="32"/>
          <w:szCs w:val="32"/>
        </w:rPr>
      </w:pPr>
      <w:r>
        <w:rPr>
          <w:rFonts w:hint="eastAsia" w:ascii="宋体" w:hAnsi="宋体"/>
          <w:b/>
          <w:color w:val="auto"/>
          <w:sz w:val="32"/>
          <w:szCs w:val="32"/>
        </w:rPr>
        <w:t>（2）供应商直接管理关系信息表</w:t>
      </w:r>
    </w:p>
    <w:p w14:paraId="480BFF65">
      <w:pPr>
        <w:snapToGrid w:val="0"/>
        <w:spacing w:line="360" w:lineRule="auto"/>
        <w:jc w:val="center"/>
        <w:rPr>
          <w:rFonts w:ascii="宋体" w:hAnsi="宋体"/>
          <w:b/>
          <w:color w:val="auto"/>
          <w:sz w:val="24"/>
        </w:rPr>
      </w:pPr>
    </w:p>
    <w:tbl>
      <w:tblPr>
        <w:tblStyle w:val="28"/>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E04114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E74FFB">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D8AF41">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16FBD7">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847900">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0D8A5EF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D3EB8A">
            <w:pPr>
              <w:widowControl/>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279E18">
            <w:pPr>
              <w:widowControl/>
              <w:spacing w:line="360" w:lineRule="auto"/>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DF9E75">
            <w:pPr>
              <w:widowControl/>
              <w:spacing w:line="360" w:lineRule="auto"/>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C10B73">
            <w:pPr>
              <w:widowControl/>
              <w:spacing w:line="360" w:lineRule="auto"/>
              <w:jc w:val="center"/>
              <w:rPr>
                <w:rFonts w:ascii="宋体" w:hAnsi="宋体" w:cs="宋体"/>
                <w:color w:val="auto"/>
                <w:kern w:val="0"/>
                <w:sz w:val="24"/>
              </w:rPr>
            </w:pPr>
          </w:p>
        </w:tc>
      </w:tr>
      <w:tr w14:paraId="36E1670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30C4DB">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5EC143">
            <w:pPr>
              <w:widowControl/>
              <w:spacing w:line="360" w:lineRule="auto"/>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41B60F">
            <w:pPr>
              <w:widowControl/>
              <w:spacing w:line="360" w:lineRule="auto"/>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72AE5B">
            <w:pPr>
              <w:widowControl/>
              <w:spacing w:line="360" w:lineRule="auto"/>
              <w:jc w:val="center"/>
              <w:rPr>
                <w:rFonts w:ascii="宋体" w:hAnsi="宋体" w:cs="宋体"/>
                <w:color w:val="auto"/>
                <w:kern w:val="0"/>
                <w:sz w:val="24"/>
              </w:rPr>
            </w:pPr>
          </w:p>
        </w:tc>
      </w:tr>
      <w:tr w14:paraId="5FDA63E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18B7ED">
            <w:pPr>
              <w:widowControl/>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AB09E1">
            <w:pPr>
              <w:widowControl/>
              <w:spacing w:line="360" w:lineRule="auto"/>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E6CA00">
            <w:pPr>
              <w:widowControl/>
              <w:spacing w:line="360" w:lineRule="auto"/>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DA2301">
            <w:pPr>
              <w:widowControl/>
              <w:spacing w:line="360" w:lineRule="auto"/>
              <w:jc w:val="center"/>
              <w:rPr>
                <w:rFonts w:ascii="宋体" w:hAnsi="宋体" w:cs="宋体"/>
                <w:color w:val="auto"/>
                <w:kern w:val="0"/>
                <w:sz w:val="24"/>
              </w:rPr>
            </w:pPr>
          </w:p>
        </w:tc>
      </w:tr>
      <w:tr w14:paraId="4199345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715A1B">
            <w:pPr>
              <w:widowControl/>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B673B1">
            <w:pPr>
              <w:widowControl/>
              <w:spacing w:line="360" w:lineRule="auto"/>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D731AD">
            <w:pPr>
              <w:widowControl/>
              <w:spacing w:line="360" w:lineRule="auto"/>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B70E27">
            <w:pPr>
              <w:widowControl/>
              <w:spacing w:line="360" w:lineRule="auto"/>
              <w:jc w:val="center"/>
              <w:rPr>
                <w:rFonts w:ascii="宋体" w:hAnsi="宋体" w:cs="宋体"/>
                <w:color w:val="auto"/>
                <w:kern w:val="0"/>
                <w:sz w:val="24"/>
              </w:rPr>
            </w:pPr>
          </w:p>
        </w:tc>
      </w:tr>
    </w:tbl>
    <w:p w14:paraId="71F7FD4F">
      <w:pPr>
        <w:spacing w:line="360" w:lineRule="auto"/>
        <w:contextualSpacing/>
        <w:jc w:val="left"/>
        <w:rPr>
          <w:rFonts w:ascii="宋体" w:hAnsi="宋体"/>
          <w:color w:val="auto"/>
          <w:sz w:val="24"/>
        </w:rPr>
      </w:pPr>
      <w:r>
        <w:rPr>
          <w:rFonts w:hint="eastAsia" w:ascii="宋体" w:hAnsi="宋体"/>
          <w:color w:val="auto"/>
          <w:sz w:val="24"/>
        </w:rPr>
        <w:t>注：</w:t>
      </w:r>
    </w:p>
    <w:p w14:paraId="230181CF">
      <w:pPr>
        <w:spacing w:line="360" w:lineRule="auto"/>
        <w:ind w:firstLine="480" w:firstLineChars="200"/>
        <w:contextualSpacing/>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18E50F59">
      <w:pPr>
        <w:spacing w:line="360" w:lineRule="auto"/>
        <w:ind w:firstLine="480" w:firstLineChars="200"/>
        <w:contextualSpacing/>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231030A3">
      <w:pPr>
        <w:spacing w:line="360" w:lineRule="auto"/>
        <w:ind w:firstLine="480" w:firstLineChars="200"/>
        <w:contextualSpacing/>
        <w:jc w:val="left"/>
        <w:rPr>
          <w:rFonts w:ascii="宋体" w:hAnsi="宋体"/>
          <w:color w:val="auto"/>
          <w:sz w:val="24"/>
        </w:rPr>
      </w:pPr>
      <w:r>
        <w:rPr>
          <w:rFonts w:hint="eastAsia" w:ascii="宋体" w:hAnsi="宋体"/>
          <w:color w:val="auto"/>
          <w:sz w:val="24"/>
        </w:rPr>
        <w:t>3.供应商不存在直接管理关系的，则在“直接管理关系单位名称”填“无”。</w:t>
      </w:r>
    </w:p>
    <w:p w14:paraId="2A354666">
      <w:pPr>
        <w:spacing w:line="360" w:lineRule="auto"/>
        <w:contextualSpacing/>
        <w:jc w:val="left"/>
        <w:rPr>
          <w:rFonts w:ascii="宋体" w:hAnsi="宋体"/>
          <w:color w:val="auto"/>
          <w:sz w:val="28"/>
          <w:szCs w:val="28"/>
        </w:rPr>
      </w:pPr>
    </w:p>
    <w:p w14:paraId="6440E48B">
      <w:pPr>
        <w:spacing w:line="360" w:lineRule="auto"/>
        <w:contextualSpacing/>
        <w:jc w:val="left"/>
        <w:rPr>
          <w:rFonts w:ascii="宋体" w:hAnsi="宋体"/>
          <w:color w:val="auto"/>
          <w:sz w:val="28"/>
          <w:szCs w:val="28"/>
        </w:rPr>
      </w:pPr>
    </w:p>
    <w:p w14:paraId="0A267A3D">
      <w:pPr>
        <w:spacing w:line="360" w:lineRule="auto"/>
        <w:contextualSpacing/>
        <w:jc w:val="left"/>
        <w:rPr>
          <w:color w:val="auto"/>
          <w:sz w:val="28"/>
          <w:szCs w:val="28"/>
        </w:rPr>
      </w:pPr>
    </w:p>
    <w:p w14:paraId="1B70E677">
      <w:pPr>
        <w:spacing w:line="360" w:lineRule="auto"/>
        <w:contextualSpacing/>
        <w:jc w:val="left"/>
        <w:rPr>
          <w:color w:val="auto"/>
          <w:sz w:val="28"/>
          <w:szCs w:val="28"/>
        </w:rPr>
      </w:pPr>
    </w:p>
    <w:p w14:paraId="28A90FE6">
      <w:pPr>
        <w:spacing w:line="360" w:lineRule="auto"/>
        <w:contextualSpacing/>
        <w:jc w:val="left"/>
        <w:rPr>
          <w:color w:val="auto"/>
          <w:sz w:val="28"/>
          <w:szCs w:val="28"/>
        </w:rPr>
      </w:pPr>
    </w:p>
    <w:p w14:paraId="2F04277C">
      <w:pPr>
        <w:spacing w:line="360" w:lineRule="auto"/>
        <w:contextualSpacing/>
        <w:jc w:val="left"/>
        <w:rPr>
          <w:rFonts w:ascii="宋体" w:hAnsi="宋体"/>
          <w:color w:val="auto"/>
          <w:sz w:val="28"/>
          <w:szCs w:val="28"/>
        </w:rPr>
      </w:pPr>
    </w:p>
    <w:p w14:paraId="2BA5049B">
      <w:pPr>
        <w:spacing w:line="360" w:lineRule="auto"/>
        <w:ind w:right="480"/>
        <w:contextualSpacing/>
        <w:jc w:val="center"/>
        <w:rPr>
          <w:rFonts w:ascii="宋体" w:hAnsi="宋体"/>
          <w:color w:val="auto"/>
          <w:sz w:val="24"/>
          <w:u w:val="single"/>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法定代表人或者委托代理人签字（或者电子签名）：</w:t>
      </w:r>
      <w:r>
        <w:rPr>
          <w:rFonts w:hint="eastAsia" w:ascii="宋体" w:hAnsi="宋体"/>
          <w:color w:val="auto"/>
          <w:sz w:val="24"/>
          <w:u w:val="single"/>
        </w:rPr>
        <w:t xml:space="preserve"> </w:t>
      </w:r>
      <w:r>
        <w:rPr>
          <w:rFonts w:ascii="宋体" w:hAnsi="宋体"/>
          <w:color w:val="auto"/>
          <w:sz w:val="24"/>
          <w:u w:val="single"/>
        </w:rPr>
        <w:t xml:space="preserve">                  </w:t>
      </w:r>
    </w:p>
    <w:p w14:paraId="78CF8183">
      <w:pPr>
        <w:spacing w:line="360" w:lineRule="auto"/>
        <w:ind w:right="480" w:firstLine="3360" w:firstLineChars="1400"/>
        <w:contextualSpacing/>
        <w:rPr>
          <w:rFonts w:ascii="宋体" w:hAnsi="宋体"/>
          <w:color w:val="auto"/>
          <w:sz w:val="24"/>
        </w:rPr>
      </w:pPr>
      <w:r>
        <w:rPr>
          <w:rFonts w:hint="eastAsia" w:ascii="宋体" w:hAnsi="宋体"/>
          <w:color w:val="auto"/>
          <w:sz w:val="24"/>
        </w:rPr>
        <w:t>供应商电子签章：</w:t>
      </w:r>
      <w:r>
        <w:rPr>
          <w:rFonts w:hint="eastAsia" w:ascii="宋体" w:hAnsi="宋体"/>
          <w:color w:val="auto"/>
          <w:sz w:val="24"/>
          <w:u w:val="single"/>
        </w:rPr>
        <w:t xml:space="preserve">                </w:t>
      </w:r>
    </w:p>
    <w:p w14:paraId="07165390">
      <w:pPr>
        <w:spacing w:line="360" w:lineRule="auto"/>
        <w:ind w:firstLine="480" w:firstLineChars="200"/>
        <w:contextualSpacing/>
        <w:jc w:val="left"/>
        <w:rPr>
          <w:rFonts w:ascii="宋体" w:hAnsi="宋体"/>
          <w:color w:val="auto"/>
          <w:sz w:val="28"/>
          <w:szCs w:val="28"/>
        </w:rPr>
      </w:pPr>
      <w:r>
        <w:rPr>
          <w:rFonts w:hint="eastAsia" w:ascii="宋体" w:hAnsi="宋体"/>
          <w:color w:val="auto"/>
          <w:sz w:val="24"/>
        </w:rPr>
        <w:t xml:space="preserve">                                        年    月    日</w:t>
      </w:r>
    </w:p>
    <w:p w14:paraId="727C2B0D">
      <w:pPr>
        <w:spacing w:line="320" w:lineRule="exact"/>
        <w:jc w:val="center"/>
        <w:rPr>
          <w:rFonts w:ascii="宋体" w:hAnsi="宋体"/>
          <w:b/>
          <w:color w:val="auto"/>
          <w:sz w:val="32"/>
          <w:szCs w:val="32"/>
        </w:rPr>
      </w:pPr>
      <w:r>
        <w:rPr>
          <w:rFonts w:ascii="宋体" w:hAnsi="宋体"/>
          <w:color w:val="auto"/>
          <w:sz w:val="28"/>
          <w:szCs w:val="28"/>
        </w:rPr>
        <w:br w:type="page"/>
      </w:r>
      <w:r>
        <w:rPr>
          <w:rFonts w:hint="eastAsia" w:ascii="宋体" w:hAnsi="宋体"/>
          <w:b/>
          <w:color w:val="auto"/>
          <w:sz w:val="32"/>
          <w:szCs w:val="32"/>
        </w:rPr>
        <w:t>竞标声明</w:t>
      </w:r>
    </w:p>
    <w:p w14:paraId="0A81785B">
      <w:pPr>
        <w:spacing w:line="320" w:lineRule="exact"/>
        <w:jc w:val="center"/>
        <w:rPr>
          <w:rFonts w:ascii="宋体" w:hAnsi="宋体"/>
          <w:color w:val="auto"/>
          <w:sz w:val="24"/>
          <w:szCs w:val="20"/>
        </w:rPr>
      </w:pPr>
    </w:p>
    <w:p w14:paraId="3160B436">
      <w:pPr>
        <w:spacing w:line="360" w:lineRule="auto"/>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00B79B0E">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14:paraId="7DBCD3C7">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w:t>
      </w:r>
      <w:r>
        <w:rPr>
          <w:rFonts w:hint="eastAsia" w:ascii="宋体" w:hAnsi="宋体" w:cs="宋体"/>
          <w:color w:val="auto"/>
          <w:sz w:val="24"/>
        </w:rPr>
        <w:t>项目的竞标，为便于贵方公正、择优地确定成交供应商及其竞标产品和服务，我方就本次竞标有关事项郑重声明如下：</w:t>
      </w:r>
    </w:p>
    <w:p w14:paraId="7363F842">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14:paraId="787F128D">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2.我方不是为本次采购项目提供整体设计、规范编制或者项目管理、监理、检测等服务的供应商。</w:t>
      </w:r>
    </w:p>
    <w:p w14:paraId="078AC7ED">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14:paraId="265F1D48">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14:paraId="5D068412">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（2）已详细审查全部磋商文件，包括澄清或者更正公告（如有）；</w:t>
      </w:r>
    </w:p>
    <w:p w14:paraId="0280AC9C">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14:paraId="10787739">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（4）响应磋商文件规定的竞标有效期。</w:t>
      </w:r>
    </w:p>
    <w:p w14:paraId="6738121E">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4.我方承诺符合《中华人民共和国政府采购法》第二十二条规定：</w:t>
      </w:r>
    </w:p>
    <w:p w14:paraId="659B31F8">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14:paraId="1E8C0AFC">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14:paraId="3069C530">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14:paraId="6D65C10F">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14:paraId="698DE7E3">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238985A">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（6）法律、行政法规规定的其他条件。</w:t>
      </w:r>
    </w:p>
    <w:p w14:paraId="51B2C87B">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8C23015">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F573F96">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1C50DEB8">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9EE9CC6">
      <w:pPr>
        <w:pStyle w:val="17"/>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7.与本磋商有关的一切正式往来信函请寄：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邮政编号：</w:t>
      </w:r>
      <w:r>
        <w:rPr>
          <w:rFonts w:hint="eastAsia" w:hAnsi="宋体" w:cs="宋体"/>
          <w:color w:val="auto"/>
          <w:sz w:val="24"/>
          <w:szCs w:val="24"/>
          <w:u w:val="single"/>
        </w:rPr>
        <w:t xml:space="preserve">        </w:t>
      </w:r>
    </w:p>
    <w:p w14:paraId="5C73EA09">
      <w:pPr>
        <w:pStyle w:val="17"/>
        <w:spacing w:line="360" w:lineRule="auto"/>
        <w:ind w:firstLine="480" w:firstLineChars="200"/>
        <w:contextualSpacing/>
        <w:rPr>
          <w:rFonts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电子邮箱：</w:t>
      </w:r>
      <w:r>
        <w:rPr>
          <w:rFonts w:hint="eastAsia" w:hAnsi="宋体" w:cs="宋体"/>
          <w:color w:val="auto"/>
          <w:sz w:val="24"/>
          <w:szCs w:val="24"/>
          <w:u w:val="single"/>
        </w:rPr>
        <w:t xml:space="preserve">                            </w:t>
      </w:r>
      <w:r>
        <w:rPr>
          <w:rFonts w:hint="eastAsia" w:hAnsi="宋体" w:cs="宋体"/>
          <w:color w:val="auto"/>
          <w:sz w:val="24"/>
          <w:szCs w:val="24"/>
        </w:rPr>
        <w:t xml:space="preserve">    </w:t>
      </w:r>
    </w:p>
    <w:p w14:paraId="2F80DC39">
      <w:pPr>
        <w:pStyle w:val="16"/>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账号：</w:t>
      </w:r>
      <w:r>
        <w:rPr>
          <w:rFonts w:hint="eastAsia" w:ascii="宋体" w:hAnsi="宋体" w:cs="宋体"/>
          <w:color w:val="auto"/>
          <w:sz w:val="24"/>
          <w:u w:val="single"/>
        </w:rPr>
        <w:t xml:space="preserve">                               </w:t>
      </w:r>
    </w:p>
    <w:p w14:paraId="21B8BD44">
      <w:pPr>
        <w:pStyle w:val="16"/>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14:paraId="6EEBEE00">
      <w:pPr>
        <w:pStyle w:val="16"/>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特此承诺。</w:t>
      </w:r>
    </w:p>
    <w:p w14:paraId="147A16F0">
      <w:pPr>
        <w:spacing w:line="360" w:lineRule="auto"/>
        <w:contextualSpacing/>
        <w:jc w:val="left"/>
        <w:rPr>
          <w:rFonts w:ascii="宋体" w:hAnsi="宋体"/>
          <w:b/>
          <w:color w:val="auto"/>
          <w:sz w:val="24"/>
        </w:rPr>
      </w:pPr>
      <w:r>
        <w:rPr>
          <w:rFonts w:hint="eastAsia" w:ascii="宋体" w:hAnsi="宋体" w:cs="宋体"/>
          <w:b/>
          <w:color w:val="auto"/>
          <w:sz w:val="24"/>
        </w:rPr>
        <w:t>注：</w:t>
      </w:r>
      <w:r>
        <w:rPr>
          <w:rFonts w:hint="eastAsia" w:ascii="宋体" w:hAnsi="宋体"/>
          <w:b/>
          <w:color w:val="auto"/>
          <w:sz w:val="24"/>
        </w:rPr>
        <w:t>如为联合体竞标，盖章处须加盖联合体牵头人公章（或电子签章）并由联合体牵头人法定代表人分别签字（或者盖章或者电子签名），否则响应文件按无效处理。</w:t>
      </w:r>
    </w:p>
    <w:p w14:paraId="21372E97">
      <w:pPr>
        <w:spacing w:line="360" w:lineRule="auto"/>
        <w:contextualSpacing/>
        <w:jc w:val="left"/>
        <w:rPr>
          <w:rFonts w:ascii="宋体" w:hAnsi="宋体" w:cs="宋体"/>
          <w:color w:val="auto"/>
          <w:szCs w:val="21"/>
        </w:rPr>
      </w:pPr>
    </w:p>
    <w:p w14:paraId="1868DF4E">
      <w:pPr>
        <w:spacing w:line="360" w:lineRule="auto"/>
        <w:ind w:firstLine="1800" w:firstLineChars="750"/>
        <w:contextualSpacing/>
        <w:rPr>
          <w:color w:val="auto"/>
          <w:sz w:val="24"/>
        </w:rPr>
      </w:pPr>
      <w:r>
        <w:rPr>
          <w:rFonts w:hint="eastAsia"/>
          <w:color w:val="auto"/>
          <w:sz w:val="24"/>
        </w:rPr>
        <w:t>法定代表人</w:t>
      </w:r>
      <w:r>
        <w:rPr>
          <w:rFonts w:hint="eastAsia" w:ascii="宋体" w:hAnsi="宋体"/>
          <w:color w:val="auto"/>
          <w:sz w:val="24"/>
        </w:rPr>
        <w:t>签字</w:t>
      </w:r>
      <w:r>
        <w:rPr>
          <w:rFonts w:hint="eastAsia"/>
          <w:color w:val="auto"/>
          <w:sz w:val="24"/>
        </w:rPr>
        <w:t>（</w:t>
      </w:r>
      <w:r>
        <w:rPr>
          <w:rFonts w:hint="eastAsia" w:ascii="宋体" w:hAnsi="宋体"/>
          <w:color w:val="auto"/>
          <w:sz w:val="24"/>
        </w:rPr>
        <w:t>或者盖章或者电子签名</w:t>
      </w:r>
      <w:r>
        <w:rPr>
          <w:rFonts w:hint="eastAsia"/>
          <w:color w:val="auto"/>
          <w:sz w:val="24"/>
        </w:rPr>
        <w:t>）：</w:t>
      </w:r>
      <w:r>
        <w:rPr>
          <w:rFonts w:hint="eastAsia"/>
          <w:color w:val="auto"/>
          <w:sz w:val="24"/>
          <w:u w:val="single"/>
        </w:rPr>
        <w:t xml:space="preserve">           </w:t>
      </w:r>
      <w:r>
        <w:rPr>
          <w:rFonts w:hint="eastAsia"/>
          <w:color w:val="auto"/>
          <w:sz w:val="24"/>
        </w:rPr>
        <w:t xml:space="preserve">                                     </w:t>
      </w:r>
    </w:p>
    <w:p w14:paraId="5901EC49">
      <w:pPr>
        <w:spacing w:line="360" w:lineRule="auto"/>
        <w:contextualSpacing/>
        <w:rPr>
          <w:rFonts w:ascii="宋体" w:hAnsi="宋体" w:cs="宋体"/>
          <w:color w:val="auto"/>
          <w:sz w:val="24"/>
          <w:u w:val="single"/>
        </w:rPr>
      </w:pPr>
      <w:r>
        <w:rPr>
          <w:rFonts w:hint="eastAsia"/>
          <w:color w:val="auto"/>
          <w:sz w:val="24"/>
        </w:rPr>
        <w:t xml:space="preserve">          供应商电子签章：</w:t>
      </w:r>
      <w:r>
        <w:rPr>
          <w:rFonts w:hint="eastAsia"/>
          <w:color w:val="auto"/>
          <w:sz w:val="24"/>
          <w:u w:val="single"/>
        </w:rPr>
        <w:t xml:space="preserve">                               </w:t>
      </w:r>
      <w:r>
        <w:rPr>
          <w:rFonts w:hint="eastAsia"/>
          <w:color w:val="auto"/>
          <w:sz w:val="24"/>
        </w:rPr>
        <w:t xml:space="preserve">       </w:t>
      </w:r>
      <w:r>
        <w:rPr>
          <w:rFonts w:hint="eastAsia" w:ascii="宋体" w:hAnsi="宋体" w:cs="宋体"/>
          <w:color w:val="auto"/>
          <w:sz w:val="24"/>
        </w:rPr>
        <w:t xml:space="preserve">    </w:t>
      </w:r>
    </w:p>
    <w:p w14:paraId="0DA55B09">
      <w:pPr>
        <w:pStyle w:val="16"/>
        <w:tabs>
          <w:tab w:val="left" w:pos="939"/>
        </w:tabs>
        <w:spacing w:line="360" w:lineRule="auto"/>
        <w:ind w:left="0" w:leftChars="0" w:firstLine="480" w:firstLineChars="200"/>
        <w:rPr>
          <w:color w:val="auto"/>
          <w:sz w:val="24"/>
        </w:rPr>
      </w:pPr>
      <w:r>
        <w:rPr>
          <w:rFonts w:hint="eastAsia" w:ascii="宋体" w:hAnsi="宋体" w:cs="宋体"/>
          <w:color w:val="auto"/>
          <w:sz w:val="24"/>
        </w:rPr>
        <w:t xml:space="preserve">                                            </w:t>
      </w:r>
      <w:r>
        <w:rPr>
          <w:rFonts w:hint="eastAsia"/>
          <w:color w:val="auto"/>
          <w:sz w:val="24"/>
        </w:rPr>
        <w:t xml:space="preserve"> 年    月    日</w:t>
      </w:r>
    </w:p>
    <w:p w14:paraId="7EBC78A6">
      <w:pPr>
        <w:pStyle w:val="7"/>
        <w:overflowPunct w:val="0"/>
        <w:spacing w:line="520" w:lineRule="exact"/>
        <w:ind w:firstLine="0"/>
        <w:jc w:val="center"/>
        <w:rPr>
          <w:rFonts w:ascii="方正小标宋简体" w:hAnsi="方正小标宋简体" w:eastAsia="方正小标宋简体" w:cs="方正小标宋简体"/>
          <w:color w:val="auto"/>
          <w:sz w:val="44"/>
          <w:szCs w:val="44"/>
        </w:rPr>
      </w:pPr>
      <w:r>
        <w:rPr>
          <w:rFonts w:hint="eastAsia"/>
          <w:color w:val="auto"/>
          <w:sz w:val="24"/>
        </w:rPr>
        <w:br w:type="page"/>
      </w:r>
      <w:r>
        <w:rPr>
          <w:rFonts w:hint="eastAsia" w:ascii="方正小标宋简体" w:hAnsi="方正小标宋简体" w:eastAsia="方正小标宋简体" w:cs="方正小标宋简体"/>
          <w:color w:val="auto"/>
          <w:sz w:val="44"/>
          <w:szCs w:val="44"/>
        </w:rPr>
        <w:t>联合体竞标协议书</w:t>
      </w:r>
    </w:p>
    <w:p w14:paraId="556ACF57">
      <w:pPr>
        <w:pStyle w:val="7"/>
        <w:overflowPunct w:val="0"/>
        <w:spacing w:line="360" w:lineRule="auto"/>
        <w:ind w:firstLine="0"/>
        <w:rPr>
          <w:rFonts w:ascii="宋体" w:hAnsi="宋体"/>
          <w:color w:val="auto"/>
          <w:sz w:val="24"/>
          <w:szCs w:val="24"/>
        </w:rPr>
      </w:pPr>
    </w:p>
    <w:p w14:paraId="06606BBF">
      <w:pPr>
        <w:pStyle w:val="7"/>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（所有成员单位名称）自愿组成</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（联合体名称）联合体，共同参加</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（项目名称）采购项目竞标。现就联合体竞标事宜订立如下协议。</w:t>
      </w:r>
    </w:p>
    <w:p w14:paraId="3B9E56E9">
      <w:pPr>
        <w:pStyle w:val="7"/>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1.</w:t>
      </w:r>
      <w:r>
        <w:rPr>
          <w:rFonts w:hint="eastAsia" w:ascii="宋体" w:hAnsi="宋体" w:cs="仿宋_GB2312"/>
          <w:color w:val="auto"/>
          <w:sz w:val="24"/>
          <w:szCs w:val="24"/>
          <w:u w:val="single"/>
        </w:rPr>
        <w:t xml:space="preserve"> </w:t>
      </w:r>
      <w:r>
        <w:rPr>
          <w:rFonts w:hint="eastAsia" w:ascii="宋体" w:hAnsi="宋体" w:cs="仿宋_GB2312"/>
          <w:color w:val="auto"/>
          <w:sz w:val="24"/>
          <w:szCs w:val="24"/>
          <w:u w:val="single"/>
        </w:rPr>
        <w:tab/>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（某成员单位名称）为</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（联合体名称）牵头人。</w:t>
      </w:r>
    </w:p>
    <w:p w14:paraId="57F7EA3A">
      <w:pPr>
        <w:pStyle w:val="7"/>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1B5DED58">
      <w:pPr>
        <w:pStyle w:val="7"/>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4E17FDCB">
      <w:pPr>
        <w:pStyle w:val="7"/>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4.联合体各成员单位内部的职责分工如下：</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w:t>
      </w:r>
    </w:p>
    <w:p w14:paraId="63C7FB5F">
      <w:pPr>
        <w:pStyle w:val="7"/>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5.本</w:t>
      </w:r>
      <w:r>
        <w:rPr>
          <w:rFonts w:hint="eastAsia" w:ascii="宋体" w:hAnsi="宋体" w:cs="仿宋_GB2312"/>
          <w:color w:val="auto"/>
          <w:spacing w:val="-6"/>
          <w:sz w:val="24"/>
          <w:szCs w:val="24"/>
        </w:rPr>
        <w:t>协议书自所有成员单位法定代表人（单位负责人）或者其委托代理人签字或者盖单位章之日起生效，合同履行完毕后自动失效。</w:t>
      </w:r>
    </w:p>
    <w:p w14:paraId="152CBA63">
      <w:pPr>
        <w:pStyle w:val="7"/>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6.本协议书一式</w:t>
      </w:r>
      <w:r>
        <w:rPr>
          <w:rFonts w:hint="eastAsia" w:ascii="宋体" w:hAnsi="宋体" w:cs="仿宋_GB2312"/>
          <w:color w:val="auto"/>
          <w:sz w:val="24"/>
          <w:szCs w:val="24"/>
          <w:u w:val="single"/>
        </w:rPr>
        <w:t xml:space="preserve"> </w:t>
      </w:r>
      <w:r>
        <w:rPr>
          <w:rFonts w:hint="eastAsia" w:ascii="宋体" w:hAnsi="宋体" w:cs="仿宋_GB2312"/>
          <w:color w:val="auto"/>
          <w:sz w:val="24"/>
          <w:szCs w:val="24"/>
          <w:u w:val="single"/>
        </w:rPr>
        <w:tab/>
      </w:r>
      <w:r>
        <w:rPr>
          <w:rFonts w:hint="eastAsia" w:ascii="宋体" w:hAnsi="宋体" w:cs="仿宋_GB2312"/>
          <w:color w:val="auto"/>
          <w:sz w:val="24"/>
          <w:szCs w:val="24"/>
        </w:rPr>
        <w:t>份，联合体成员和采购人各执一份。</w:t>
      </w:r>
    </w:p>
    <w:p w14:paraId="27D36C91">
      <w:pPr>
        <w:pStyle w:val="7"/>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注：本协议书应附法定代表人身份证明书；有委托代理的，应附权委托书（格式自拟）。</w:t>
      </w:r>
    </w:p>
    <w:p w14:paraId="56A2E82D">
      <w:pPr>
        <w:pStyle w:val="7"/>
        <w:overflowPunct w:val="0"/>
        <w:spacing w:line="360" w:lineRule="auto"/>
        <w:ind w:firstLineChars="175"/>
        <w:contextualSpacing/>
        <w:rPr>
          <w:rFonts w:ascii="宋体" w:hAnsi="宋体" w:cs="仿宋_GB2312"/>
          <w:color w:val="auto"/>
          <w:sz w:val="24"/>
          <w:szCs w:val="24"/>
        </w:rPr>
      </w:pPr>
    </w:p>
    <w:p w14:paraId="532BFBB4">
      <w:pPr>
        <w:pStyle w:val="7"/>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联合体牵头人名称（电子签章）：</w:t>
      </w:r>
    </w:p>
    <w:p w14:paraId="5C680D57">
      <w:pPr>
        <w:pStyle w:val="7"/>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14:paraId="04E389B5">
      <w:pPr>
        <w:pStyle w:val="7"/>
        <w:overflowPunct w:val="0"/>
        <w:spacing w:line="360" w:lineRule="auto"/>
        <w:ind w:firstLine="0"/>
        <w:contextualSpacing/>
        <w:rPr>
          <w:rFonts w:ascii="宋体" w:hAnsi="宋体" w:cs="仿宋_GB2312"/>
          <w:color w:val="auto"/>
          <w:sz w:val="24"/>
          <w:szCs w:val="24"/>
        </w:rPr>
      </w:pPr>
    </w:p>
    <w:p w14:paraId="35029749">
      <w:pPr>
        <w:pStyle w:val="7"/>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联合体成员名称（电子签章）：</w:t>
      </w:r>
    </w:p>
    <w:p w14:paraId="28B2469B">
      <w:pPr>
        <w:pStyle w:val="7"/>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14:paraId="5F6D63BA">
      <w:pPr>
        <w:pStyle w:val="7"/>
        <w:overflowPunct w:val="0"/>
        <w:spacing w:line="360" w:lineRule="auto"/>
        <w:ind w:firstLine="0"/>
        <w:contextualSpacing/>
        <w:rPr>
          <w:rFonts w:ascii="宋体" w:hAnsi="宋体" w:cs="仿宋_GB2312"/>
          <w:color w:val="auto"/>
          <w:sz w:val="24"/>
          <w:szCs w:val="24"/>
        </w:rPr>
      </w:pPr>
    </w:p>
    <w:p w14:paraId="3F92B568">
      <w:pPr>
        <w:pStyle w:val="7"/>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联合体成员名称（电子签章）：</w:t>
      </w:r>
    </w:p>
    <w:p w14:paraId="697616EA">
      <w:pPr>
        <w:pStyle w:val="7"/>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14:paraId="1A568997">
      <w:pPr>
        <w:pStyle w:val="7"/>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w:t>
      </w:r>
    </w:p>
    <w:p w14:paraId="1ED8F103">
      <w:pPr>
        <w:spacing w:line="360" w:lineRule="auto"/>
        <w:ind w:right="480" w:firstLine="240" w:firstLineChars="100"/>
        <w:contextualSpacing/>
        <w:jc w:val="center"/>
        <w:rPr>
          <w:rFonts w:ascii="宋体" w:hAnsi="宋体" w:cs="仿宋_GB2312"/>
          <w:color w:val="auto"/>
          <w:sz w:val="24"/>
        </w:rPr>
      </w:pPr>
      <w:r>
        <w:rPr>
          <w:rFonts w:hint="eastAsia" w:ascii="宋体" w:hAnsi="宋体" w:cs="仿宋_GB2312"/>
          <w:color w:val="auto"/>
          <w:sz w:val="24"/>
        </w:rPr>
        <w:t xml:space="preserve"> </w:t>
      </w:r>
    </w:p>
    <w:p w14:paraId="6178A692">
      <w:pPr>
        <w:spacing w:line="360" w:lineRule="auto"/>
        <w:ind w:right="480" w:firstLine="240" w:firstLineChars="100"/>
        <w:contextualSpacing/>
        <w:jc w:val="center"/>
        <w:rPr>
          <w:rFonts w:ascii="仿宋_GB2312" w:hAnsi="仿宋_GB2312" w:eastAsia="仿宋_GB2312" w:cs="仿宋_GB2312"/>
          <w:color w:val="auto"/>
          <w:sz w:val="32"/>
          <w:szCs w:val="32"/>
        </w:rPr>
      </w:pPr>
      <w:r>
        <w:rPr>
          <w:rFonts w:hint="eastAsia" w:ascii="宋体" w:hAnsi="宋体" w:cs="仿宋_GB2312"/>
          <w:color w:val="auto"/>
          <w:sz w:val="24"/>
        </w:rPr>
        <w:t xml:space="preserve">                                                年  </w:t>
      </w:r>
      <w:r>
        <w:rPr>
          <w:rFonts w:hint="eastAsia" w:ascii="宋体" w:hAnsi="宋体" w:cs="仿宋_GB2312"/>
          <w:color w:val="auto"/>
          <w:sz w:val="24"/>
        </w:rPr>
        <w:tab/>
      </w:r>
      <w:r>
        <w:rPr>
          <w:rFonts w:hint="eastAsia" w:ascii="宋体" w:hAnsi="宋体" w:cs="仿宋_GB2312"/>
          <w:color w:val="auto"/>
          <w:sz w:val="24"/>
        </w:rPr>
        <w:t xml:space="preserve">月  </w:t>
      </w:r>
      <w:r>
        <w:rPr>
          <w:rFonts w:hint="eastAsia" w:ascii="宋体" w:hAnsi="宋体" w:cs="仿宋_GB2312"/>
          <w:color w:val="auto"/>
          <w:sz w:val="24"/>
        </w:rPr>
        <w:tab/>
      </w:r>
      <w:r>
        <w:rPr>
          <w:rFonts w:hint="eastAsia" w:ascii="宋体" w:hAnsi="宋体" w:cs="仿宋_GB2312"/>
          <w:color w:val="auto"/>
          <w:sz w:val="24"/>
        </w:rPr>
        <w:t>日</w:t>
      </w:r>
    </w:p>
    <w:p w14:paraId="1FDF2DD6">
      <w:pPr>
        <w:spacing w:line="360" w:lineRule="auto"/>
        <w:ind w:right="420"/>
        <w:contextualSpacing/>
        <w:jc w:val="left"/>
        <w:rPr>
          <w:rFonts w:ascii="宋体" w:hAnsi="宋体"/>
          <w:b/>
          <w:color w:val="auto"/>
          <w:sz w:val="32"/>
          <w:szCs w:val="32"/>
        </w:rPr>
      </w:pPr>
      <w:r>
        <w:rPr>
          <w:rFonts w:hint="eastAsia" w:ascii="宋体" w:hAnsi="宋体"/>
          <w:b/>
          <w:bCs/>
          <w:color w:val="auto"/>
          <w:sz w:val="32"/>
          <w:szCs w:val="32"/>
        </w:rPr>
        <w:t>二、</w:t>
      </w:r>
      <w:r>
        <w:rPr>
          <w:rFonts w:hint="eastAsia" w:ascii="宋体" w:hAnsi="宋体"/>
          <w:b/>
          <w:color w:val="auto"/>
          <w:sz w:val="32"/>
          <w:szCs w:val="32"/>
        </w:rPr>
        <w:t xml:space="preserve">报价文件格式 </w:t>
      </w:r>
    </w:p>
    <w:p w14:paraId="28AF288A">
      <w:pPr>
        <w:snapToGrid w:val="0"/>
        <w:spacing w:before="120" w:beforeLines="50" w:after="50" w:line="360" w:lineRule="auto"/>
        <w:jc w:val="left"/>
        <w:rPr>
          <w:rFonts w:ascii="宋体" w:hAnsi="宋体"/>
          <w:b/>
          <w:color w:val="auto"/>
          <w:sz w:val="32"/>
          <w:szCs w:val="32"/>
        </w:rPr>
      </w:pPr>
      <w:r>
        <w:rPr>
          <w:rFonts w:hint="eastAsia" w:ascii="宋体" w:hAnsi="宋体"/>
          <w:b/>
          <w:color w:val="auto"/>
          <w:sz w:val="32"/>
          <w:szCs w:val="32"/>
        </w:rPr>
        <w:t>1.报价文件封面格式</w:t>
      </w:r>
    </w:p>
    <w:p w14:paraId="03F63F53">
      <w:pPr>
        <w:snapToGrid w:val="0"/>
        <w:spacing w:before="120" w:beforeLines="50" w:after="50"/>
        <w:rPr>
          <w:rFonts w:ascii="宋体" w:hAnsi="宋体"/>
          <w:bCs/>
          <w:color w:val="auto"/>
          <w:sz w:val="32"/>
          <w:szCs w:val="20"/>
        </w:rPr>
      </w:pPr>
      <w:r>
        <w:rPr>
          <w:rFonts w:hint="eastAsia" w:ascii="宋体" w:hAnsi="宋体"/>
          <w:color w:val="auto"/>
          <w:sz w:val="24"/>
        </w:rPr>
        <w:t xml:space="preserve">                                                    </w:t>
      </w:r>
    </w:p>
    <w:p w14:paraId="605FD228">
      <w:pPr>
        <w:snapToGrid w:val="0"/>
        <w:spacing w:before="120" w:beforeLines="50" w:after="50"/>
        <w:jc w:val="center"/>
        <w:rPr>
          <w:rFonts w:ascii="宋体" w:hAnsi="宋体"/>
          <w:color w:val="auto"/>
          <w:sz w:val="24"/>
          <w:szCs w:val="20"/>
        </w:rPr>
      </w:pPr>
      <w:r>
        <w:rPr>
          <w:rFonts w:hint="eastAsia" w:ascii="宋体" w:hAnsi="宋体"/>
          <w:color w:val="auto"/>
          <w:sz w:val="44"/>
          <w:szCs w:val="44"/>
        </w:rPr>
        <w:t>电 子 响 应 文 件</w:t>
      </w:r>
    </w:p>
    <w:p w14:paraId="217E3FBC">
      <w:pPr>
        <w:snapToGrid w:val="0"/>
        <w:spacing w:before="120" w:beforeLines="50" w:after="50"/>
        <w:rPr>
          <w:rFonts w:ascii="宋体" w:hAnsi="宋体"/>
          <w:color w:val="auto"/>
          <w:sz w:val="24"/>
          <w:szCs w:val="20"/>
        </w:rPr>
      </w:pPr>
    </w:p>
    <w:p w14:paraId="45A32546">
      <w:pPr>
        <w:snapToGrid w:val="0"/>
        <w:spacing w:before="120" w:beforeLines="50" w:after="50"/>
        <w:rPr>
          <w:rFonts w:ascii="宋体" w:hAnsi="宋体"/>
          <w:color w:val="auto"/>
          <w:sz w:val="24"/>
          <w:szCs w:val="20"/>
        </w:rPr>
      </w:pPr>
    </w:p>
    <w:p w14:paraId="76455500">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报  价  文  件</w:t>
      </w:r>
    </w:p>
    <w:p w14:paraId="35934A26">
      <w:pPr>
        <w:snapToGrid w:val="0"/>
        <w:spacing w:before="120" w:beforeLines="50" w:after="50"/>
        <w:rPr>
          <w:rFonts w:ascii="宋体" w:hAnsi="宋体"/>
          <w:bCs/>
          <w:color w:val="auto"/>
          <w:sz w:val="24"/>
          <w:szCs w:val="20"/>
        </w:rPr>
      </w:pPr>
    </w:p>
    <w:p w14:paraId="7DE2629C">
      <w:pPr>
        <w:snapToGrid w:val="0"/>
        <w:spacing w:before="120" w:beforeLines="50" w:after="50"/>
        <w:rPr>
          <w:rFonts w:ascii="宋体" w:hAnsi="宋体"/>
          <w:bCs/>
          <w:color w:val="auto"/>
          <w:sz w:val="24"/>
          <w:szCs w:val="20"/>
        </w:rPr>
      </w:pPr>
    </w:p>
    <w:p w14:paraId="732F1B9E">
      <w:pPr>
        <w:snapToGrid w:val="0"/>
        <w:spacing w:before="120" w:beforeLines="50" w:after="50"/>
        <w:rPr>
          <w:rFonts w:ascii="宋体" w:hAnsi="宋体"/>
          <w:bCs/>
          <w:color w:val="auto"/>
          <w:sz w:val="24"/>
          <w:szCs w:val="20"/>
        </w:rPr>
      </w:pPr>
    </w:p>
    <w:p w14:paraId="05CA6B25">
      <w:pPr>
        <w:snapToGrid w:val="0"/>
        <w:spacing w:before="120" w:beforeLines="50" w:after="50"/>
        <w:rPr>
          <w:rFonts w:ascii="宋体" w:hAnsi="宋体"/>
          <w:bCs/>
          <w:color w:val="auto"/>
          <w:sz w:val="24"/>
          <w:szCs w:val="20"/>
        </w:rPr>
      </w:pPr>
    </w:p>
    <w:p w14:paraId="0F224133">
      <w:pPr>
        <w:snapToGrid w:val="0"/>
        <w:spacing w:before="120" w:beforeLines="50" w:after="50"/>
        <w:rPr>
          <w:rFonts w:ascii="宋体" w:hAnsi="宋体"/>
          <w:bCs/>
          <w:color w:val="auto"/>
          <w:sz w:val="24"/>
          <w:szCs w:val="20"/>
        </w:rPr>
      </w:pPr>
    </w:p>
    <w:p w14:paraId="3218FBAE">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14:paraId="53B1E223">
      <w:pPr>
        <w:snapToGrid w:val="0"/>
        <w:spacing w:before="120" w:beforeLines="50" w:after="50"/>
        <w:ind w:firstLine="720" w:firstLineChars="225"/>
        <w:rPr>
          <w:rFonts w:ascii="宋体" w:hAnsi="宋体" w:cs="仿宋_GB2312"/>
          <w:bCs/>
          <w:color w:val="auto"/>
          <w:sz w:val="32"/>
          <w:szCs w:val="32"/>
        </w:rPr>
      </w:pPr>
    </w:p>
    <w:p w14:paraId="20AD1622">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14:paraId="326DCE7E">
      <w:pPr>
        <w:snapToGrid w:val="0"/>
        <w:spacing w:before="120" w:beforeLines="50" w:after="50"/>
        <w:ind w:firstLine="720" w:firstLineChars="225"/>
        <w:rPr>
          <w:rFonts w:ascii="宋体" w:hAnsi="宋体" w:cs="仿宋_GB2312"/>
          <w:bCs/>
          <w:color w:val="auto"/>
          <w:sz w:val="32"/>
          <w:szCs w:val="32"/>
        </w:rPr>
      </w:pPr>
    </w:p>
    <w:p w14:paraId="33EB53CF">
      <w:pPr>
        <w:pStyle w:val="7"/>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14:paraId="122619E7">
      <w:pPr>
        <w:pStyle w:val="7"/>
        <w:snapToGrid w:val="0"/>
        <w:spacing w:before="50" w:after="50"/>
        <w:ind w:firstLine="640" w:firstLineChars="200"/>
        <w:rPr>
          <w:rFonts w:ascii="宋体" w:hAnsi="宋体" w:cs="仿宋_GB2312"/>
          <w:bCs/>
          <w:color w:val="auto"/>
          <w:sz w:val="32"/>
          <w:szCs w:val="32"/>
        </w:rPr>
      </w:pPr>
    </w:p>
    <w:p w14:paraId="3D4469E0">
      <w:pPr>
        <w:pStyle w:val="7"/>
        <w:snapToGrid w:val="0"/>
        <w:spacing w:before="50" w:after="50"/>
        <w:ind w:firstLine="720" w:firstLineChars="225"/>
        <w:rPr>
          <w:rFonts w:ascii="宋体" w:hAnsi="宋体" w:cs="仿宋_GB2312"/>
          <w:bCs/>
          <w:color w:val="auto"/>
          <w:sz w:val="32"/>
          <w:szCs w:val="32"/>
        </w:rPr>
      </w:pPr>
    </w:p>
    <w:p w14:paraId="60C4444B">
      <w:pPr>
        <w:pStyle w:val="7"/>
        <w:snapToGrid w:val="0"/>
        <w:spacing w:before="50" w:after="50"/>
        <w:ind w:firstLine="0"/>
        <w:rPr>
          <w:rFonts w:ascii="宋体" w:hAnsi="宋体" w:cs="仿宋_GB2312"/>
          <w:bCs/>
          <w:color w:val="auto"/>
          <w:sz w:val="32"/>
          <w:szCs w:val="32"/>
        </w:rPr>
      </w:pPr>
    </w:p>
    <w:p w14:paraId="79E10BCE">
      <w:pPr>
        <w:pStyle w:val="7"/>
        <w:snapToGrid w:val="0"/>
        <w:spacing w:before="50" w:after="50"/>
        <w:ind w:firstLine="1280" w:firstLineChars="400"/>
        <w:rPr>
          <w:rFonts w:ascii="宋体" w:hAnsi="宋体" w:cs="仿宋_GB2312"/>
          <w:bCs/>
          <w:color w:val="auto"/>
          <w:sz w:val="32"/>
          <w:szCs w:val="32"/>
        </w:rPr>
      </w:pPr>
    </w:p>
    <w:p w14:paraId="1C7FCE67">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14:paraId="323E1C95">
      <w:pPr>
        <w:snapToGrid w:val="0"/>
        <w:spacing w:before="120" w:beforeLines="50" w:after="50" w:line="360" w:lineRule="auto"/>
        <w:jc w:val="left"/>
        <w:rPr>
          <w:rFonts w:ascii="宋体" w:hAnsi="宋体"/>
          <w:b/>
          <w:bCs/>
          <w:color w:val="auto"/>
          <w:sz w:val="24"/>
        </w:rPr>
      </w:pPr>
      <w:r>
        <w:rPr>
          <w:rFonts w:hint="eastAsia" w:ascii="宋体" w:hAnsi="宋体"/>
          <w:color w:val="auto"/>
          <w:szCs w:val="21"/>
        </w:rPr>
        <w:br w:type="page"/>
      </w:r>
      <w:r>
        <w:rPr>
          <w:rFonts w:hint="eastAsia" w:ascii="宋体" w:hAnsi="宋体"/>
          <w:b/>
          <w:bCs/>
          <w:color w:val="auto"/>
          <w:sz w:val="32"/>
          <w:szCs w:val="32"/>
        </w:rPr>
        <w:t>2.报价文件目录</w:t>
      </w:r>
    </w:p>
    <w:p w14:paraId="557CFA57">
      <w:pPr>
        <w:spacing w:line="360" w:lineRule="auto"/>
        <w:contextualSpacing/>
        <w:jc w:val="left"/>
        <w:rPr>
          <w:rFonts w:ascii="宋体" w:hAnsi="宋体"/>
          <w:color w:val="auto"/>
          <w:sz w:val="32"/>
          <w:szCs w:val="32"/>
        </w:rPr>
      </w:pPr>
      <w:r>
        <w:rPr>
          <w:rFonts w:hint="eastAsia" w:ascii="宋体" w:hAnsi="宋体"/>
          <w:color w:val="auto"/>
          <w:sz w:val="32"/>
          <w:szCs w:val="32"/>
        </w:rPr>
        <w:t xml:space="preserve">  根据磋商文件规定及供应商提供的材料自行编写目录（部分格式后附）。</w:t>
      </w:r>
    </w:p>
    <w:p w14:paraId="7221C5F8">
      <w:pPr>
        <w:spacing w:line="360" w:lineRule="auto"/>
        <w:contextualSpacing/>
        <w:jc w:val="center"/>
        <w:rPr>
          <w:rFonts w:ascii="方正小标宋简体" w:hAnsi="方正小标宋简体" w:eastAsia="方正小标宋简体" w:cs="方正小标宋简体"/>
          <w:bCs/>
          <w:color w:val="auto"/>
          <w:sz w:val="32"/>
          <w:szCs w:val="32"/>
        </w:rPr>
      </w:pPr>
      <w:r>
        <w:rPr>
          <w:rFonts w:ascii="宋体" w:hAnsi="宋体"/>
          <w:b/>
          <w:bCs/>
          <w:color w:val="auto"/>
          <w:sz w:val="32"/>
          <w:szCs w:val="32"/>
        </w:rPr>
        <w:br w:type="page"/>
      </w:r>
      <w:r>
        <w:rPr>
          <w:rFonts w:hint="eastAsia" w:ascii="方正小标宋简体" w:hAnsi="方正小标宋简体" w:eastAsia="方正小标宋简体" w:cs="方正小标宋简体"/>
          <w:bCs/>
          <w:color w:val="auto"/>
          <w:sz w:val="44"/>
          <w:szCs w:val="44"/>
          <w:lang w:eastAsia="zh-CN"/>
        </w:rPr>
        <w:t>磋</w:t>
      </w:r>
      <w:r>
        <w:rPr>
          <w:rFonts w:hint="eastAsia" w:ascii="方正小标宋简体" w:hAnsi="方正小标宋简体" w:eastAsia="方正小标宋简体" w:cs="方正小标宋简体"/>
          <w:bCs/>
          <w:color w:val="auto"/>
          <w:sz w:val="44"/>
          <w:szCs w:val="44"/>
        </w:rPr>
        <w:t xml:space="preserve">  </w:t>
      </w:r>
      <w:r>
        <w:rPr>
          <w:rFonts w:hint="eastAsia" w:ascii="方正小标宋简体" w:hAnsi="方正小标宋简体" w:eastAsia="方正小标宋简体" w:cs="方正小标宋简体"/>
          <w:bCs/>
          <w:color w:val="auto"/>
          <w:sz w:val="44"/>
          <w:szCs w:val="44"/>
          <w:lang w:eastAsia="zh-CN"/>
        </w:rPr>
        <w:t>商</w:t>
      </w:r>
      <w:r>
        <w:rPr>
          <w:rFonts w:hint="eastAsia" w:ascii="方正小标宋简体" w:hAnsi="方正小标宋简体" w:eastAsia="方正小标宋简体" w:cs="方正小标宋简体"/>
          <w:bCs/>
          <w:color w:val="auto"/>
          <w:sz w:val="44"/>
          <w:szCs w:val="44"/>
        </w:rPr>
        <w:t xml:space="preserve">  报  价  表</w:t>
      </w:r>
    </w:p>
    <w:p w14:paraId="0D79B725">
      <w:pPr>
        <w:snapToGrid w:val="0"/>
        <w:spacing w:before="50" w:after="50" w:line="360" w:lineRule="auto"/>
        <w:rPr>
          <w:rFonts w:ascii="宋体" w:hAnsi="宋体" w:cs="仿宋_GB2312"/>
          <w:color w:val="auto"/>
          <w:sz w:val="24"/>
        </w:rPr>
      </w:pPr>
      <w:r>
        <w:rPr>
          <w:rFonts w:hint="eastAsia" w:ascii="宋体" w:hAnsi="宋体" w:cs="仿宋_GB2312"/>
          <w:color w:val="auto"/>
          <w:sz w:val="24"/>
        </w:rPr>
        <w:t>项目名称：</w:t>
      </w:r>
      <w:r>
        <w:rPr>
          <w:rFonts w:hint="eastAsia" w:ascii="宋体" w:hAnsi="宋体" w:cs="仿宋_GB2312"/>
          <w:color w:val="auto"/>
          <w:sz w:val="24"/>
          <w:u w:val="single"/>
        </w:rPr>
        <w:t xml:space="preserve">                </w:t>
      </w:r>
      <w:r>
        <w:rPr>
          <w:rFonts w:hint="eastAsia" w:ascii="宋体" w:hAnsi="宋体" w:cs="仿宋_GB2312"/>
          <w:color w:val="auto"/>
          <w:sz w:val="24"/>
        </w:rPr>
        <w:t>项目编号：</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5C38FCC1">
      <w:pPr>
        <w:snapToGrid w:val="0"/>
        <w:spacing w:before="50" w:after="50" w:line="360" w:lineRule="auto"/>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37F98213">
      <w:pPr>
        <w:snapToGrid w:val="0"/>
        <w:spacing w:before="50" w:after="50" w:line="360" w:lineRule="auto"/>
        <w:rPr>
          <w:rFonts w:ascii="宋体" w:hAnsi="宋体" w:cs="仿宋_GB2312"/>
          <w:color w:val="auto"/>
          <w:sz w:val="24"/>
        </w:rPr>
      </w:pPr>
      <w:r>
        <w:rPr>
          <w:rFonts w:hint="eastAsia" w:ascii="宋体" w:hAnsi="宋体" w:cs="仿宋_GB2312"/>
          <w:color w:val="auto"/>
          <w:sz w:val="24"/>
        </w:rPr>
        <w:t xml:space="preserve">                                               单位：元</w:t>
      </w:r>
    </w:p>
    <w:tbl>
      <w:tblPr>
        <w:tblStyle w:val="2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54"/>
        <w:gridCol w:w="1110"/>
        <w:gridCol w:w="1130"/>
        <w:gridCol w:w="1572"/>
        <w:gridCol w:w="1519"/>
        <w:gridCol w:w="1810"/>
      </w:tblGrid>
      <w:tr w14:paraId="77992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trPr>
        <w:tc>
          <w:tcPr>
            <w:tcW w:w="1075" w:type="pct"/>
            <w:tcBorders>
              <w:top w:val="single" w:color="auto" w:sz="4" w:space="0"/>
              <w:left w:val="single" w:color="auto" w:sz="4" w:space="0"/>
              <w:bottom w:val="single" w:color="auto" w:sz="4" w:space="0"/>
              <w:right w:val="single" w:color="auto" w:sz="4" w:space="0"/>
            </w:tcBorders>
            <w:vAlign w:val="center"/>
          </w:tcPr>
          <w:p w14:paraId="5FDA4C4D">
            <w:pPr>
              <w:spacing w:line="320" w:lineRule="exact"/>
              <w:jc w:val="center"/>
              <w:rPr>
                <w:rFonts w:ascii="宋体" w:hAnsi="宋体"/>
                <w:color w:val="auto"/>
              </w:rPr>
            </w:pPr>
            <w:r>
              <w:rPr>
                <w:rFonts w:hint="eastAsia" w:ascii="宋体" w:hAnsi="宋体"/>
                <w:color w:val="auto"/>
              </w:rPr>
              <w:t>标的名称</w:t>
            </w:r>
          </w:p>
        </w:tc>
        <w:tc>
          <w:tcPr>
            <w:tcW w:w="610" w:type="pct"/>
            <w:tcBorders>
              <w:top w:val="single" w:color="auto" w:sz="4" w:space="0"/>
              <w:left w:val="single" w:color="auto" w:sz="4" w:space="0"/>
              <w:bottom w:val="single" w:color="auto" w:sz="4" w:space="0"/>
              <w:right w:val="single" w:color="auto" w:sz="4" w:space="0"/>
            </w:tcBorders>
            <w:vAlign w:val="center"/>
          </w:tcPr>
          <w:p w14:paraId="7D7C83D8">
            <w:pPr>
              <w:spacing w:line="320" w:lineRule="exact"/>
              <w:jc w:val="center"/>
              <w:rPr>
                <w:rFonts w:ascii="宋体" w:hAnsi="宋体"/>
                <w:color w:val="auto"/>
              </w:rPr>
            </w:pPr>
            <w:r>
              <w:rPr>
                <w:rFonts w:hint="eastAsia" w:ascii="宋体" w:hAnsi="宋体"/>
                <w:color w:val="auto"/>
              </w:rPr>
              <w:t>数量①</w:t>
            </w:r>
          </w:p>
        </w:tc>
        <w:tc>
          <w:tcPr>
            <w:tcW w:w="621" w:type="pct"/>
            <w:tcBorders>
              <w:top w:val="single" w:color="auto" w:sz="4" w:space="0"/>
              <w:left w:val="single" w:color="auto" w:sz="4" w:space="0"/>
              <w:bottom w:val="single" w:color="auto" w:sz="4" w:space="0"/>
              <w:right w:val="single" w:color="auto" w:sz="4" w:space="0"/>
            </w:tcBorders>
            <w:vAlign w:val="center"/>
          </w:tcPr>
          <w:p w14:paraId="4A5C1D00">
            <w:pPr>
              <w:spacing w:line="320" w:lineRule="exact"/>
              <w:jc w:val="center"/>
              <w:rPr>
                <w:rFonts w:ascii="宋体" w:hAnsi="宋体"/>
                <w:color w:val="auto"/>
              </w:rPr>
            </w:pPr>
            <w:r>
              <w:rPr>
                <w:rFonts w:hint="eastAsia" w:ascii="宋体" w:hAnsi="宋体"/>
                <w:color w:val="auto"/>
              </w:rPr>
              <w:t>单位</w:t>
            </w:r>
          </w:p>
        </w:tc>
        <w:tc>
          <w:tcPr>
            <w:tcW w:w="864" w:type="pct"/>
            <w:tcBorders>
              <w:top w:val="single" w:color="auto" w:sz="4" w:space="0"/>
              <w:left w:val="nil"/>
              <w:bottom w:val="single" w:color="auto" w:sz="4" w:space="0"/>
              <w:right w:val="single" w:color="auto" w:sz="4" w:space="0"/>
            </w:tcBorders>
            <w:vAlign w:val="center"/>
          </w:tcPr>
          <w:p w14:paraId="1AD2EF44">
            <w:pPr>
              <w:spacing w:line="320" w:lineRule="exact"/>
              <w:jc w:val="center"/>
              <w:rPr>
                <w:rFonts w:ascii="宋体" w:hAnsi="宋体"/>
                <w:color w:val="auto"/>
              </w:rPr>
            </w:pPr>
            <w:r>
              <w:rPr>
                <w:rFonts w:hint="eastAsia" w:ascii="宋体" w:hAnsi="宋体"/>
                <w:color w:val="auto"/>
              </w:rPr>
              <w:t>单价（元）②</w:t>
            </w:r>
          </w:p>
        </w:tc>
        <w:tc>
          <w:tcPr>
            <w:tcW w:w="835" w:type="pct"/>
            <w:tcBorders>
              <w:top w:val="single" w:color="auto" w:sz="4" w:space="0"/>
              <w:left w:val="single" w:color="auto" w:sz="4" w:space="0"/>
              <w:bottom w:val="single" w:color="auto" w:sz="4" w:space="0"/>
              <w:right w:val="single" w:color="auto" w:sz="4" w:space="0"/>
            </w:tcBorders>
            <w:vAlign w:val="center"/>
          </w:tcPr>
          <w:p w14:paraId="42A2B05C">
            <w:pPr>
              <w:spacing w:line="320" w:lineRule="exact"/>
              <w:jc w:val="center"/>
              <w:rPr>
                <w:rFonts w:ascii="宋体" w:hAnsi="宋体"/>
                <w:color w:val="auto"/>
              </w:rPr>
            </w:pPr>
            <w:r>
              <w:rPr>
                <w:rFonts w:hint="eastAsia" w:ascii="宋体" w:hAnsi="宋体"/>
                <w:color w:val="auto"/>
              </w:rPr>
              <w:t>小计（元）</w:t>
            </w:r>
          </w:p>
          <w:p w14:paraId="2A191754">
            <w:pPr>
              <w:spacing w:line="320" w:lineRule="exact"/>
              <w:jc w:val="center"/>
              <w:rPr>
                <w:rFonts w:ascii="宋体" w:hAnsi="宋体"/>
                <w:color w:val="auto"/>
              </w:rPr>
            </w:pPr>
            <w:r>
              <w:rPr>
                <w:rFonts w:hint="eastAsia" w:ascii="宋体" w:hAnsi="宋体"/>
                <w:color w:val="auto"/>
              </w:rPr>
              <w:t>③=①×②</w:t>
            </w:r>
          </w:p>
        </w:tc>
        <w:tc>
          <w:tcPr>
            <w:tcW w:w="993" w:type="pct"/>
            <w:tcBorders>
              <w:top w:val="single" w:color="auto" w:sz="4" w:space="0"/>
              <w:left w:val="nil"/>
              <w:bottom w:val="single" w:color="auto" w:sz="4" w:space="0"/>
              <w:right w:val="single" w:color="auto" w:sz="4" w:space="0"/>
            </w:tcBorders>
            <w:vAlign w:val="center"/>
          </w:tcPr>
          <w:p w14:paraId="2C235954">
            <w:pPr>
              <w:spacing w:line="320" w:lineRule="exact"/>
              <w:jc w:val="center"/>
              <w:rPr>
                <w:rFonts w:ascii="宋体" w:hAnsi="宋体"/>
                <w:color w:val="auto"/>
              </w:rPr>
            </w:pPr>
            <w:r>
              <w:rPr>
                <w:rFonts w:hint="eastAsia" w:ascii="宋体" w:hAnsi="宋体"/>
                <w:color w:val="auto"/>
              </w:rPr>
              <w:t>备注</w:t>
            </w:r>
          </w:p>
        </w:tc>
      </w:tr>
      <w:tr w14:paraId="11BE4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8" w:hRule="atLeast"/>
        </w:trPr>
        <w:tc>
          <w:tcPr>
            <w:tcW w:w="1075" w:type="pct"/>
            <w:tcBorders>
              <w:top w:val="single" w:color="auto" w:sz="4" w:space="0"/>
              <w:left w:val="single" w:color="auto" w:sz="4" w:space="0"/>
              <w:bottom w:val="single" w:color="auto" w:sz="4" w:space="0"/>
              <w:right w:val="single" w:color="auto" w:sz="4" w:space="0"/>
            </w:tcBorders>
            <w:vAlign w:val="center"/>
          </w:tcPr>
          <w:p w14:paraId="20B75922">
            <w:pPr>
              <w:tabs>
                <w:tab w:val="left" w:pos="180"/>
                <w:tab w:val="left" w:pos="1620"/>
              </w:tabs>
              <w:spacing w:line="340" w:lineRule="exact"/>
              <w:jc w:val="center"/>
              <w:rPr>
                <w:rFonts w:ascii="宋体" w:hAnsi="宋体"/>
                <w:color w:val="auto"/>
              </w:rPr>
            </w:pPr>
          </w:p>
        </w:tc>
        <w:tc>
          <w:tcPr>
            <w:tcW w:w="610" w:type="pct"/>
            <w:tcBorders>
              <w:top w:val="single" w:color="auto" w:sz="4" w:space="0"/>
              <w:left w:val="single" w:color="auto" w:sz="4" w:space="0"/>
              <w:bottom w:val="single" w:color="auto" w:sz="4" w:space="0"/>
              <w:right w:val="single" w:color="auto" w:sz="4" w:space="0"/>
            </w:tcBorders>
            <w:vAlign w:val="center"/>
          </w:tcPr>
          <w:p w14:paraId="21E6896E">
            <w:pPr>
              <w:tabs>
                <w:tab w:val="left" w:pos="180"/>
                <w:tab w:val="left" w:pos="1620"/>
              </w:tabs>
              <w:spacing w:line="340" w:lineRule="exact"/>
              <w:jc w:val="center"/>
              <w:rPr>
                <w:rFonts w:ascii="宋体" w:hAnsi="宋体"/>
                <w:color w:val="auto"/>
              </w:rPr>
            </w:pPr>
          </w:p>
        </w:tc>
        <w:tc>
          <w:tcPr>
            <w:tcW w:w="621" w:type="pct"/>
            <w:tcBorders>
              <w:top w:val="single" w:color="auto" w:sz="4" w:space="0"/>
              <w:left w:val="single" w:color="auto" w:sz="4" w:space="0"/>
              <w:bottom w:val="single" w:color="auto" w:sz="4" w:space="0"/>
              <w:right w:val="single" w:color="auto" w:sz="4" w:space="0"/>
            </w:tcBorders>
            <w:vAlign w:val="center"/>
          </w:tcPr>
          <w:p w14:paraId="6117184A">
            <w:pPr>
              <w:widowControl/>
              <w:snapToGrid w:val="0"/>
              <w:spacing w:before="50" w:after="50" w:line="340" w:lineRule="exact"/>
              <w:jc w:val="center"/>
              <w:rPr>
                <w:rFonts w:ascii="宋体" w:hAnsi="宋体"/>
                <w:color w:val="auto"/>
              </w:rPr>
            </w:pPr>
          </w:p>
        </w:tc>
        <w:tc>
          <w:tcPr>
            <w:tcW w:w="864" w:type="pct"/>
            <w:tcBorders>
              <w:top w:val="nil"/>
              <w:left w:val="nil"/>
              <w:bottom w:val="single" w:color="auto" w:sz="4" w:space="0"/>
              <w:right w:val="single" w:color="auto" w:sz="4" w:space="0"/>
            </w:tcBorders>
            <w:vAlign w:val="center"/>
          </w:tcPr>
          <w:p w14:paraId="06A262D5">
            <w:pPr>
              <w:snapToGrid w:val="0"/>
              <w:spacing w:before="50" w:after="50" w:line="340" w:lineRule="exact"/>
              <w:jc w:val="center"/>
              <w:rPr>
                <w:rFonts w:ascii="宋体" w:hAnsi="宋体"/>
                <w:color w:val="auto"/>
              </w:rPr>
            </w:pPr>
          </w:p>
        </w:tc>
        <w:tc>
          <w:tcPr>
            <w:tcW w:w="835" w:type="pct"/>
            <w:tcBorders>
              <w:top w:val="nil"/>
              <w:left w:val="single" w:color="auto" w:sz="4" w:space="0"/>
              <w:bottom w:val="single" w:color="auto" w:sz="4" w:space="0"/>
              <w:right w:val="single" w:color="auto" w:sz="4" w:space="0"/>
            </w:tcBorders>
            <w:vAlign w:val="center"/>
          </w:tcPr>
          <w:p w14:paraId="724504DB">
            <w:pPr>
              <w:snapToGrid w:val="0"/>
              <w:spacing w:before="50" w:after="50" w:line="340" w:lineRule="exact"/>
              <w:jc w:val="center"/>
              <w:rPr>
                <w:rFonts w:ascii="宋体" w:hAnsi="宋体"/>
                <w:color w:val="auto"/>
              </w:rPr>
            </w:pPr>
          </w:p>
        </w:tc>
        <w:tc>
          <w:tcPr>
            <w:tcW w:w="993" w:type="pct"/>
            <w:tcBorders>
              <w:top w:val="nil"/>
              <w:left w:val="nil"/>
              <w:bottom w:val="single" w:color="auto" w:sz="4" w:space="0"/>
              <w:right w:val="single" w:color="auto" w:sz="4" w:space="0"/>
            </w:tcBorders>
          </w:tcPr>
          <w:p w14:paraId="1AB8FA61">
            <w:pPr>
              <w:snapToGrid w:val="0"/>
              <w:spacing w:before="50" w:after="50" w:line="340" w:lineRule="exact"/>
              <w:jc w:val="center"/>
              <w:rPr>
                <w:rFonts w:ascii="宋体" w:hAnsi="宋体"/>
                <w:color w:val="auto"/>
              </w:rPr>
            </w:pPr>
          </w:p>
        </w:tc>
      </w:tr>
      <w:tr w14:paraId="3DFBA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1"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B6E4FD3">
            <w:pPr>
              <w:spacing w:line="320" w:lineRule="exact"/>
              <w:rPr>
                <w:rFonts w:ascii="宋体" w:hAnsi="宋体"/>
                <w:color w:val="auto"/>
                <w:szCs w:val="21"/>
              </w:rPr>
            </w:pPr>
            <w:r>
              <w:rPr>
                <w:rFonts w:hint="eastAsia" w:ascii="宋体" w:hAnsi="宋体"/>
                <w:color w:val="auto"/>
                <w:szCs w:val="21"/>
              </w:rPr>
              <w:t>磋商报价：</w:t>
            </w: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华文细黑" w:hAnsi="华文细黑" w:eastAsia="华文细黑" w:cs="华文细黑"/>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p>
        </w:tc>
      </w:tr>
      <w:tr w14:paraId="03B37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1"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2FEAA8F">
            <w:pPr>
              <w:spacing w:line="320" w:lineRule="exact"/>
              <w:rPr>
                <w:rFonts w:ascii="宋体" w:hAnsi="宋体"/>
                <w:color w:val="auto"/>
                <w:szCs w:val="21"/>
              </w:rPr>
            </w:pPr>
            <w:r>
              <w:rPr>
                <w:rFonts w:hint="eastAsia" w:ascii="宋体" w:hAnsi="宋体"/>
                <w:color w:val="auto"/>
                <w:szCs w:val="21"/>
              </w:rPr>
              <w:t>磋商报价是履行合同的最终价格，供应商磋商报价应包含包含完成本服务项目所需的相关费用，包括但不限于服务内容、所涉及的备品备件、工具、人工费、工程师维修费、差旅费、更换备件费、运输费、材料、实施、调试、验收、技术培训及技术资料、软件升级等各种费用和售后服务、税金、招标代理服务费及其它所有成本费用的总和，对于本文件中未列明，而供应商认为必须的费用也需列入报价。在合同实施时，采购人将不予支付成交供应商没有列入的项目费用，并认为此项目的费用已包括在磋商报价中。</w:t>
            </w:r>
          </w:p>
        </w:tc>
      </w:tr>
    </w:tbl>
    <w:p w14:paraId="30D6A1AA">
      <w:pPr>
        <w:snapToGrid w:val="0"/>
        <w:spacing w:before="50" w:after="50" w:line="360" w:lineRule="auto"/>
        <w:jc w:val="left"/>
        <w:rPr>
          <w:rFonts w:ascii="宋体" w:hAnsi="宋体" w:cs="仿宋_GB2312"/>
          <w:color w:val="auto"/>
          <w:sz w:val="24"/>
        </w:rPr>
      </w:pPr>
      <w:r>
        <w:rPr>
          <w:rFonts w:hint="eastAsia" w:ascii="宋体" w:hAnsi="宋体" w:cs="仿宋_GB2312"/>
          <w:color w:val="auto"/>
          <w:sz w:val="24"/>
        </w:rPr>
        <w:t xml:space="preserve">注: </w:t>
      </w:r>
    </w:p>
    <w:p w14:paraId="12B3D16E">
      <w:pPr>
        <w:spacing w:line="360" w:lineRule="auto"/>
        <w:ind w:firstLine="480" w:firstLineChars="200"/>
        <w:contextualSpacing/>
        <w:jc w:val="left"/>
        <w:rPr>
          <w:rFonts w:ascii="宋体" w:hAnsi="宋体" w:cs="仿宋_GB2312"/>
          <w:color w:val="auto"/>
          <w:sz w:val="24"/>
        </w:rPr>
      </w:pPr>
      <w:r>
        <w:rPr>
          <w:rFonts w:hint="eastAsia" w:ascii="宋体" w:hAnsi="宋体"/>
          <w:color w:val="auto"/>
          <w:sz w:val="24"/>
        </w:rPr>
        <w:t>1.供应商的报价表必须加盖供应商电子签章并由法定代表人或者委托代理人签</w:t>
      </w:r>
      <w:r>
        <w:rPr>
          <w:rFonts w:hint="eastAsia" w:ascii="宋体" w:hAnsi="宋体" w:cs="仿宋_GB2312"/>
          <w:color w:val="auto"/>
          <w:sz w:val="24"/>
        </w:rPr>
        <w:t>字或者电子签名，</w:t>
      </w:r>
      <w:r>
        <w:rPr>
          <w:rFonts w:hint="eastAsia" w:ascii="宋体" w:hAnsi="宋体" w:cs="仿宋_GB2312"/>
          <w:b/>
          <w:color w:val="auto"/>
          <w:sz w:val="24"/>
        </w:rPr>
        <w:t>否则其响应文件按无效处理</w:t>
      </w:r>
      <w:r>
        <w:rPr>
          <w:rFonts w:hint="eastAsia" w:ascii="宋体" w:hAnsi="宋体" w:cs="仿宋_GB2312"/>
          <w:color w:val="auto"/>
          <w:sz w:val="24"/>
        </w:rPr>
        <w:t>。</w:t>
      </w:r>
    </w:p>
    <w:p w14:paraId="3502F5FE">
      <w:pPr>
        <w:spacing w:line="360" w:lineRule="auto"/>
        <w:ind w:firstLine="480" w:firstLineChars="200"/>
        <w:contextualSpacing/>
        <w:jc w:val="left"/>
        <w:rPr>
          <w:rFonts w:ascii="宋体" w:hAnsi="宋体" w:cs="仿宋_GB2312"/>
          <w:b/>
          <w:color w:val="auto"/>
          <w:sz w:val="24"/>
        </w:rPr>
      </w:pPr>
      <w:r>
        <w:rPr>
          <w:rFonts w:hint="eastAsia" w:ascii="宋体" w:hAnsi="宋体" w:cs="仿宋_GB2312"/>
          <w:bCs/>
          <w:color w:val="auto"/>
          <w:sz w:val="24"/>
        </w:rPr>
        <w:t>2.</w:t>
      </w:r>
      <w:r>
        <w:rPr>
          <w:rFonts w:hint="eastAsia" w:ascii="宋体" w:hAnsi="宋体" w:cs="仿宋_GB2312"/>
          <w:color w:val="auto"/>
          <w:sz w:val="24"/>
        </w:rPr>
        <w:t>报价一经涂改，应在涂改处加盖供应商公章或者加盖电子签章或者由法定代表人或者授权委托人签字</w:t>
      </w:r>
      <w:r>
        <w:rPr>
          <w:rFonts w:hint="eastAsia" w:ascii="宋体" w:hAnsi="宋体"/>
          <w:color w:val="auto"/>
          <w:sz w:val="24"/>
        </w:rPr>
        <w:t>（或者电子签名）</w:t>
      </w:r>
      <w:r>
        <w:rPr>
          <w:rFonts w:hint="eastAsia" w:ascii="宋体" w:hAnsi="宋体" w:cs="仿宋_GB2312"/>
          <w:b/>
          <w:color w:val="auto"/>
          <w:sz w:val="24"/>
        </w:rPr>
        <w:t>，否则其响应文件按无效处理。</w:t>
      </w:r>
    </w:p>
    <w:p w14:paraId="31CABB45">
      <w:pPr>
        <w:spacing w:line="360" w:lineRule="auto"/>
        <w:ind w:firstLine="480" w:firstLineChars="200"/>
        <w:contextualSpacing/>
        <w:jc w:val="left"/>
        <w:rPr>
          <w:rFonts w:ascii="宋体" w:hAnsi="宋体" w:cs="仿宋_GB2312"/>
          <w:b/>
          <w:color w:val="auto"/>
          <w:sz w:val="24"/>
        </w:rPr>
      </w:pPr>
      <w:r>
        <w:rPr>
          <w:rFonts w:hint="eastAsia" w:ascii="宋体" w:hAnsi="宋体" w:cs="仿宋_GB2312"/>
          <w:color w:val="auto"/>
          <w:sz w:val="24"/>
        </w:rPr>
        <w:t>3.如为联合体竞标,“供应商名称”处必须列明联合体各方名称，标注联合体牵头人名称，</w:t>
      </w:r>
      <w:r>
        <w:rPr>
          <w:rFonts w:hint="eastAsia" w:ascii="宋体" w:hAnsi="宋体" w:cs="仿宋_GB2312"/>
          <w:b/>
          <w:color w:val="auto"/>
          <w:sz w:val="24"/>
        </w:rPr>
        <w:t>否则其响应文件按无效处理。</w:t>
      </w:r>
    </w:p>
    <w:p w14:paraId="1700EAB5">
      <w:pPr>
        <w:spacing w:line="360" w:lineRule="auto"/>
        <w:ind w:firstLine="480" w:firstLineChars="200"/>
        <w:contextualSpacing/>
        <w:jc w:val="left"/>
        <w:rPr>
          <w:rFonts w:ascii="宋体" w:hAnsi="宋体" w:cs="仿宋_GB2312"/>
          <w:color w:val="auto"/>
          <w:sz w:val="24"/>
        </w:rPr>
      </w:pPr>
      <w:r>
        <w:rPr>
          <w:rFonts w:hint="eastAsia" w:ascii="宋体" w:hAnsi="宋体"/>
          <w:color w:val="auto"/>
          <w:sz w:val="24"/>
        </w:rPr>
        <w:t>4.如为联合体竞标，盖章处须加盖联合体牵头人公章（或电子签章）</w:t>
      </w:r>
      <w:r>
        <w:rPr>
          <w:rFonts w:hint="eastAsia" w:ascii="宋体" w:hAnsi="宋体" w:cs="仿宋_GB2312"/>
          <w:color w:val="auto"/>
          <w:sz w:val="24"/>
        </w:rPr>
        <w:t>，</w:t>
      </w:r>
      <w:r>
        <w:rPr>
          <w:rFonts w:hint="eastAsia" w:ascii="宋体" w:hAnsi="宋体" w:cs="仿宋_GB2312"/>
          <w:b/>
          <w:color w:val="auto"/>
          <w:sz w:val="24"/>
        </w:rPr>
        <w:t>否则其响应文件按无效处理。</w:t>
      </w:r>
    </w:p>
    <w:p w14:paraId="72E81F88">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14:paraId="2100E9D5">
      <w:pPr>
        <w:snapToGrid w:val="0"/>
        <w:spacing w:before="50" w:after="50" w:line="360" w:lineRule="auto"/>
        <w:ind w:left="-3" w:leftChars="-15" w:right="-817" w:rightChars="-389" w:hanging="28" w:hangingChars="12"/>
        <w:jc w:val="center"/>
        <w:rPr>
          <w:rFonts w:ascii="宋体" w:hAnsi="宋体"/>
          <w:color w:val="auto"/>
          <w:sz w:val="24"/>
        </w:rPr>
      </w:pPr>
      <w:r>
        <w:rPr>
          <w:rFonts w:hint="eastAsia" w:ascii="宋体" w:hAnsi="宋体" w:cs="仿宋_GB2312"/>
          <w:color w:val="auto"/>
          <w:sz w:val="24"/>
        </w:rPr>
        <w:t>供应商电子签章：</w:t>
      </w:r>
    </w:p>
    <w:p w14:paraId="56DDA60B">
      <w:pPr>
        <w:spacing w:line="360" w:lineRule="auto"/>
        <w:ind w:right="420"/>
        <w:contextualSpacing/>
        <w:jc w:val="left"/>
        <w:rPr>
          <w:rFonts w:ascii="宋体" w:hAnsi="宋体"/>
          <w:b/>
          <w:color w:val="auto"/>
          <w:sz w:val="32"/>
          <w:szCs w:val="32"/>
        </w:rPr>
      </w:pPr>
      <w:r>
        <w:rPr>
          <w:rFonts w:hint="eastAsia" w:ascii="宋体" w:hAnsi="宋体"/>
          <w:color w:val="auto"/>
          <w:sz w:val="24"/>
        </w:rPr>
        <w:t xml:space="preserve">                              日期：    年   月   日</w:t>
      </w:r>
      <w:r>
        <w:rPr>
          <w:rFonts w:ascii="宋体" w:hAnsi="宋体"/>
          <w:b/>
          <w:bCs/>
          <w:color w:val="auto"/>
          <w:sz w:val="32"/>
          <w:szCs w:val="32"/>
        </w:rPr>
        <w:br w:type="page"/>
      </w:r>
      <w:r>
        <w:rPr>
          <w:rFonts w:hint="eastAsia" w:ascii="宋体" w:hAnsi="宋体"/>
          <w:b/>
          <w:bCs/>
          <w:color w:val="auto"/>
          <w:sz w:val="32"/>
          <w:szCs w:val="32"/>
        </w:rPr>
        <w:t>三、</w:t>
      </w:r>
      <w:r>
        <w:rPr>
          <w:rFonts w:hint="eastAsia" w:ascii="宋体" w:hAnsi="宋体"/>
          <w:b/>
          <w:color w:val="auto"/>
          <w:sz w:val="32"/>
          <w:szCs w:val="32"/>
        </w:rPr>
        <w:t xml:space="preserve">商务技术文件格式 </w:t>
      </w:r>
    </w:p>
    <w:p w14:paraId="2A9711FC">
      <w:pPr>
        <w:snapToGrid w:val="0"/>
        <w:spacing w:before="120" w:beforeLines="50" w:after="50" w:line="360" w:lineRule="auto"/>
        <w:jc w:val="left"/>
        <w:rPr>
          <w:rFonts w:ascii="宋体" w:hAnsi="宋体"/>
          <w:b/>
          <w:color w:val="auto"/>
          <w:sz w:val="32"/>
          <w:szCs w:val="32"/>
        </w:rPr>
      </w:pPr>
      <w:r>
        <w:rPr>
          <w:rFonts w:hint="eastAsia" w:ascii="宋体" w:hAnsi="宋体"/>
          <w:b/>
          <w:color w:val="auto"/>
          <w:sz w:val="32"/>
          <w:szCs w:val="32"/>
        </w:rPr>
        <w:t>1.商务技术文件封面格式</w:t>
      </w:r>
    </w:p>
    <w:p w14:paraId="4C149A06">
      <w:pPr>
        <w:snapToGrid w:val="0"/>
        <w:spacing w:before="120" w:beforeLines="50" w:after="50"/>
        <w:rPr>
          <w:rFonts w:ascii="宋体" w:hAnsi="宋体"/>
          <w:bCs/>
          <w:color w:val="auto"/>
          <w:sz w:val="32"/>
          <w:szCs w:val="20"/>
        </w:rPr>
      </w:pPr>
      <w:r>
        <w:rPr>
          <w:rFonts w:hint="eastAsia" w:ascii="宋体" w:hAnsi="宋体"/>
          <w:color w:val="auto"/>
          <w:sz w:val="24"/>
        </w:rPr>
        <w:t xml:space="preserve">                                                    </w:t>
      </w:r>
    </w:p>
    <w:p w14:paraId="4F877F32">
      <w:pPr>
        <w:snapToGrid w:val="0"/>
        <w:spacing w:before="120" w:beforeLines="50" w:after="50"/>
        <w:jc w:val="center"/>
        <w:rPr>
          <w:rFonts w:ascii="宋体" w:hAnsi="宋体"/>
          <w:color w:val="auto"/>
          <w:sz w:val="24"/>
          <w:szCs w:val="20"/>
        </w:rPr>
      </w:pPr>
      <w:r>
        <w:rPr>
          <w:rFonts w:hint="eastAsia" w:ascii="宋体" w:hAnsi="宋体"/>
          <w:color w:val="auto"/>
          <w:sz w:val="44"/>
          <w:szCs w:val="44"/>
        </w:rPr>
        <w:t>电 子 响 应 文 件</w:t>
      </w:r>
    </w:p>
    <w:p w14:paraId="18122168">
      <w:pPr>
        <w:snapToGrid w:val="0"/>
        <w:spacing w:before="120" w:beforeLines="50" w:after="50"/>
        <w:rPr>
          <w:rFonts w:ascii="宋体" w:hAnsi="宋体"/>
          <w:color w:val="auto"/>
          <w:sz w:val="24"/>
          <w:szCs w:val="20"/>
        </w:rPr>
      </w:pPr>
    </w:p>
    <w:p w14:paraId="7A32D95B">
      <w:pPr>
        <w:snapToGrid w:val="0"/>
        <w:spacing w:before="120" w:beforeLines="50" w:after="50"/>
        <w:rPr>
          <w:rFonts w:ascii="宋体" w:hAnsi="宋体"/>
          <w:color w:val="auto"/>
          <w:sz w:val="24"/>
          <w:szCs w:val="20"/>
        </w:rPr>
      </w:pPr>
    </w:p>
    <w:p w14:paraId="7055CE36">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商  务  技  术  文  件</w:t>
      </w:r>
    </w:p>
    <w:p w14:paraId="37A2BC83">
      <w:pPr>
        <w:snapToGrid w:val="0"/>
        <w:spacing w:before="120" w:beforeLines="50" w:after="50"/>
        <w:rPr>
          <w:rFonts w:ascii="宋体" w:hAnsi="宋体"/>
          <w:bCs/>
          <w:color w:val="auto"/>
          <w:sz w:val="24"/>
          <w:szCs w:val="20"/>
        </w:rPr>
      </w:pPr>
    </w:p>
    <w:p w14:paraId="7A5DEF33">
      <w:pPr>
        <w:snapToGrid w:val="0"/>
        <w:spacing w:before="120" w:beforeLines="50" w:after="50"/>
        <w:rPr>
          <w:rFonts w:ascii="宋体" w:hAnsi="宋体"/>
          <w:bCs/>
          <w:color w:val="auto"/>
          <w:sz w:val="24"/>
          <w:szCs w:val="20"/>
        </w:rPr>
      </w:pPr>
    </w:p>
    <w:p w14:paraId="2445B870">
      <w:pPr>
        <w:snapToGrid w:val="0"/>
        <w:spacing w:before="120" w:beforeLines="50" w:after="50"/>
        <w:rPr>
          <w:rFonts w:ascii="宋体" w:hAnsi="宋体"/>
          <w:bCs/>
          <w:color w:val="auto"/>
          <w:sz w:val="24"/>
          <w:szCs w:val="20"/>
        </w:rPr>
      </w:pPr>
    </w:p>
    <w:p w14:paraId="7B1EA75B">
      <w:pPr>
        <w:snapToGrid w:val="0"/>
        <w:spacing w:before="120" w:beforeLines="50" w:after="50"/>
        <w:rPr>
          <w:rFonts w:ascii="宋体" w:hAnsi="宋体"/>
          <w:bCs/>
          <w:color w:val="auto"/>
          <w:sz w:val="24"/>
          <w:szCs w:val="20"/>
        </w:rPr>
      </w:pPr>
    </w:p>
    <w:p w14:paraId="16889EE4">
      <w:pPr>
        <w:snapToGrid w:val="0"/>
        <w:spacing w:before="120" w:beforeLines="50" w:after="50"/>
        <w:rPr>
          <w:rFonts w:ascii="宋体" w:hAnsi="宋体"/>
          <w:bCs/>
          <w:color w:val="auto"/>
          <w:sz w:val="24"/>
          <w:szCs w:val="20"/>
        </w:rPr>
      </w:pPr>
    </w:p>
    <w:p w14:paraId="10AEA164">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14:paraId="56DFCA04">
      <w:pPr>
        <w:snapToGrid w:val="0"/>
        <w:spacing w:before="120" w:beforeLines="50" w:after="50"/>
        <w:ind w:firstLine="720" w:firstLineChars="225"/>
        <w:rPr>
          <w:rFonts w:ascii="宋体" w:hAnsi="宋体" w:cs="仿宋_GB2312"/>
          <w:bCs/>
          <w:color w:val="auto"/>
          <w:sz w:val="32"/>
          <w:szCs w:val="32"/>
        </w:rPr>
      </w:pPr>
    </w:p>
    <w:p w14:paraId="4C1932C0">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14:paraId="78DDEE04">
      <w:pPr>
        <w:snapToGrid w:val="0"/>
        <w:spacing w:before="120" w:beforeLines="50" w:after="50"/>
        <w:ind w:firstLine="707" w:firstLineChars="221"/>
        <w:rPr>
          <w:rFonts w:ascii="宋体" w:hAnsi="宋体" w:cs="仿宋_GB2312"/>
          <w:bCs/>
          <w:color w:val="auto"/>
          <w:sz w:val="32"/>
          <w:szCs w:val="32"/>
        </w:rPr>
      </w:pPr>
    </w:p>
    <w:p w14:paraId="51BFBCA6">
      <w:pPr>
        <w:pStyle w:val="7"/>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14:paraId="0651B604">
      <w:pPr>
        <w:pStyle w:val="7"/>
        <w:snapToGrid w:val="0"/>
        <w:spacing w:before="50" w:after="50"/>
        <w:ind w:firstLine="640" w:firstLineChars="200"/>
        <w:rPr>
          <w:rFonts w:ascii="宋体" w:hAnsi="宋体" w:cs="仿宋_GB2312"/>
          <w:bCs/>
          <w:color w:val="auto"/>
          <w:sz w:val="32"/>
          <w:szCs w:val="32"/>
        </w:rPr>
      </w:pPr>
    </w:p>
    <w:p w14:paraId="4353F354">
      <w:pPr>
        <w:pStyle w:val="7"/>
        <w:snapToGrid w:val="0"/>
        <w:spacing w:before="50" w:after="50"/>
        <w:ind w:firstLine="720" w:firstLineChars="225"/>
        <w:rPr>
          <w:rFonts w:ascii="宋体" w:hAnsi="宋体" w:cs="仿宋_GB2312"/>
          <w:bCs/>
          <w:color w:val="auto"/>
          <w:sz w:val="32"/>
          <w:szCs w:val="32"/>
        </w:rPr>
      </w:pPr>
    </w:p>
    <w:p w14:paraId="43381FA0">
      <w:pPr>
        <w:pStyle w:val="7"/>
        <w:snapToGrid w:val="0"/>
        <w:spacing w:before="50" w:after="50"/>
        <w:ind w:firstLine="0"/>
        <w:rPr>
          <w:rFonts w:ascii="宋体" w:hAnsi="宋体" w:cs="仿宋_GB2312"/>
          <w:bCs/>
          <w:color w:val="auto"/>
          <w:sz w:val="32"/>
          <w:szCs w:val="32"/>
        </w:rPr>
      </w:pPr>
    </w:p>
    <w:p w14:paraId="19278BE2">
      <w:pPr>
        <w:pStyle w:val="7"/>
        <w:snapToGrid w:val="0"/>
        <w:spacing w:before="50" w:after="50"/>
        <w:ind w:firstLine="1280" w:firstLineChars="400"/>
        <w:rPr>
          <w:rFonts w:ascii="宋体" w:hAnsi="宋体" w:cs="仿宋_GB2312"/>
          <w:bCs/>
          <w:color w:val="auto"/>
          <w:sz w:val="32"/>
          <w:szCs w:val="32"/>
        </w:rPr>
      </w:pPr>
    </w:p>
    <w:p w14:paraId="690944E2">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14:paraId="3F9DC837">
      <w:pPr>
        <w:snapToGrid w:val="0"/>
        <w:spacing w:before="120" w:beforeLines="50" w:after="50" w:line="360" w:lineRule="auto"/>
        <w:ind w:left="142"/>
        <w:jc w:val="left"/>
        <w:rPr>
          <w:rFonts w:ascii="宋体" w:hAnsi="宋体"/>
          <w:b/>
          <w:bCs/>
          <w:color w:val="auto"/>
          <w:sz w:val="24"/>
        </w:rPr>
      </w:pPr>
      <w:r>
        <w:rPr>
          <w:rFonts w:ascii="宋体" w:hAnsi="宋体"/>
          <w:color w:val="auto"/>
          <w:sz w:val="24"/>
        </w:rPr>
        <w:br w:type="page"/>
      </w:r>
      <w:r>
        <w:rPr>
          <w:rFonts w:hint="eastAsia" w:ascii="宋体" w:hAnsi="宋体"/>
          <w:b/>
          <w:bCs/>
          <w:color w:val="auto"/>
          <w:sz w:val="32"/>
          <w:szCs w:val="32"/>
        </w:rPr>
        <w:t>2.商务技术文件目录</w:t>
      </w:r>
    </w:p>
    <w:p w14:paraId="4145AE2E">
      <w:pPr>
        <w:snapToGrid w:val="0"/>
        <w:spacing w:before="120" w:beforeLines="50" w:after="50" w:line="360" w:lineRule="auto"/>
        <w:ind w:left="142"/>
        <w:jc w:val="left"/>
        <w:rPr>
          <w:rFonts w:ascii="宋体" w:hAnsi="宋体"/>
          <w:b/>
          <w:bCs/>
          <w:color w:val="auto"/>
          <w:sz w:val="24"/>
        </w:rPr>
      </w:pPr>
      <w:r>
        <w:rPr>
          <w:rFonts w:hint="eastAsia" w:ascii="宋体" w:hAnsi="宋体"/>
          <w:b/>
          <w:bCs/>
          <w:color w:val="auto"/>
          <w:sz w:val="24"/>
        </w:rPr>
        <w:t xml:space="preserve">   </w:t>
      </w:r>
      <w:r>
        <w:rPr>
          <w:rFonts w:hint="eastAsia" w:ascii="宋体" w:hAnsi="宋体"/>
          <w:color w:val="auto"/>
          <w:sz w:val="32"/>
          <w:szCs w:val="32"/>
        </w:rPr>
        <w:t>根据磋商文件规定及供应商提供的材料自行编写目录（部分格式后附）。</w:t>
      </w:r>
    </w:p>
    <w:p w14:paraId="619C671C">
      <w:pPr>
        <w:spacing w:line="400" w:lineRule="exact"/>
        <w:rPr>
          <w:rFonts w:ascii="仿宋_GB2312" w:hAnsi="仿宋_GB2312" w:eastAsia="仿宋_GB2312" w:cs="仿宋_GB2312"/>
          <w:color w:val="auto"/>
          <w:sz w:val="32"/>
          <w:szCs w:val="32"/>
        </w:rPr>
      </w:pPr>
    </w:p>
    <w:p w14:paraId="60337B3B">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无串通竞标行为的承诺函</w:t>
      </w:r>
    </w:p>
    <w:p w14:paraId="1B3F4751">
      <w:pPr>
        <w:spacing w:line="400" w:lineRule="exact"/>
        <w:ind w:firstLine="640" w:firstLineChars="200"/>
        <w:rPr>
          <w:rFonts w:ascii="仿宋_GB2312" w:hAnsi="仿宋_GB2312" w:eastAsia="仿宋_GB2312" w:cs="仿宋_GB2312"/>
          <w:color w:val="auto"/>
          <w:sz w:val="32"/>
          <w:szCs w:val="32"/>
        </w:rPr>
      </w:pPr>
    </w:p>
    <w:p w14:paraId="1EE0BBF6">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一、我方承诺无下列相互串通竞标的情形：</w:t>
      </w:r>
    </w:p>
    <w:p w14:paraId="2D8167AE">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1.不同供应商的响应文件由同一单位或者个人编制；</w:t>
      </w:r>
    </w:p>
    <w:p w14:paraId="1EBA0403">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2.不同供应商委托同一单位或者个人办理竞标事宜；</w:t>
      </w:r>
    </w:p>
    <w:p w14:paraId="4E7CAC2F">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3.不同供应商的响应文件载明的项目管理员为同一个人；</w:t>
      </w:r>
    </w:p>
    <w:p w14:paraId="0625A3B2">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4.不</w:t>
      </w:r>
      <w:r>
        <w:rPr>
          <w:rFonts w:hint="eastAsia" w:ascii="宋体" w:hAnsi="宋体" w:cs="仿宋_GB2312"/>
          <w:color w:val="auto"/>
          <w:spacing w:val="-6"/>
          <w:sz w:val="24"/>
        </w:rPr>
        <w:t>同供应商的响应文件异常一致或者</w:t>
      </w:r>
      <w:r>
        <w:rPr>
          <w:rFonts w:hint="eastAsia" w:ascii="宋体" w:hAnsi="宋体" w:cs="仿宋_GB2312"/>
          <w:color w:val="auto"/>
          <w:spacing w:val="-6"/>
          <w:sz w:val="24"/>
          <w:lang w:eastAsia="zh-CN"/>
        </w:rPr>
        <w:t>磋商报价</w:t>
      </w:r>
      <w:r>
        <w:rPr>
          <w:rFonts w:hint="eastAsia" w:ascii="宋体" w:hAnsi="宋体" w:cs="仿宋_GB2312"/>
          <w:color w:val="auto"/>
          <w:spacing w:val="-6"/>
          <w:sz w:val="24"/>
        </w:rPr>
        <w:t>呈规律性差异；</w:t>
      </w:r>
    </w:p>
    <w:p w14:paraId="76C7018A">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5.不同供应商的响应文件相互混装；</w:t>
      </w:r>
    </w:p>
    <w:p w14:paraId="388488AC">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6.不同供应商的磋商保证金从同一单位或者个人账户转出。</w:t>
      </w:r>
    </w:p>
    <w:p w14:paraId="4BAD6C80">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二、我方承诺无下列恶意串通的情形：</w:t>
      </w:r>
    </w:p>
    <w:p w14:paraId="1B3698FC">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1.供应商直接或者间接从采购人或者采购代理机构处获得其他供应商的相关信息并修改其响应文件；</w:t>
      </w:r>
    </w:p>
    <w:p w14:paraId="5BE3EC1E">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2.供应商按照采购人或者采购代理机构的授意撤换、修改响应文件；</w:t>
      </w:r>
    </w:p>
    <w:p w14:paraId="6BBA4345">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3.供</w:t>
      </w:r>
      <w:r>
        <w:rPr>
          <w:rFonts w:hint="eastAsia" w:ascii="宋体" w:hAnsi="宋体" w:cs="仿宋_GB2312"/>
          <w:color w:val="auto"/>
          <w:spacing w:val="-6"/>
          <w:sz w:val="24"/>
        </w:rPr>
        <w:t>应商之间协商报价、技术方案等响应文件的实质性内容；</w:t>
      </w:r>
    </w:p>
    <w:p w14:paraId="5DAABFF0">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4.属于同一集团、协会、商会等组织成员的供应商按照该组织要求协同参加政府采购活动；</w:t>
      </w:r>
    </w:p>
    <w:p w14:paraId="62C77FED">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5.供应商之间事先约定一致抬高或者压低</w:t>
      </w:r>
      <w:r>
        <w:rPr>
          <w:rFonts w:hint="eastAsia" w:ascii="宋体" w:hAnsi="宋体" w:cs="仿宋_GB2312"/>
          <w:color w:val="auto"/>
          <w:sz w:val="24"/>
          <w:lang w:eastAsia="zh-CN"/>
        </w:rPr>
        <w:t>磋商报价</w:t>
      </w:r>
      <w:r>
        <w:rPr>
          <w:rFonts w:hint="eastAsia" w:ascii="宋体" w:hAnsi="宋体" w:cs="仿宋_GB2312"/>
          <w:color w:val="auto"/>
          <w:sz w:val="24"/>
        </w:rPr>
        <w:t>，或者在竞争性磋商项目中事先约定轮流以高价位或者低价位成交，或者事先约定由某一特定供应商成交，然后再参加竞标；</w:t>
      </w:r>
    </w:p>
    <w:p w14:paraId="321119B7">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6.供应商之间商定部分供应商放弃参加政府采购活动或者放弃成交；</w:t>
      </w:r>
    </w:p>
    <w:p w14:paraId="4FF9C0E0">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7.供应商与采购人或者采购代理机构之间、供应商相互之间，为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14:paraId="404A81FC">
      <w:pPr>
        <w:spacing w:line="360" w:lineRule="auto"/>
        <w:ind w:firstLine="480" w:firstLineChars="200"/>
        <w:contextualSpacing/>
        <w:rPr>
          <w:rFonts w:ascii="宋体" w:hAnsi="宋体" w:cs="仿宋_GB2312"/>
          <w:color w:val="auto"/>
          <w:sz w:val="24"/>
        </w:rPr>
      </w:pPr>
    </w:p>
    <w:p w14:paraId="6600F059">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14:paraId="52D8E13F">
      <w:pPr>
        <w:spacing w:line="360" w:lineRule="auto"/>
        <w:contextualSpacing/>
        <w:rPr>
          <w:rFonts w:ascii="宋体" w:hAnsi="宋体" w:cs="仿宋_GB2312"/>
          <w:color w:val="auto"/>
          <w:sz w:val="24"/>
        </w:rPr>
      </w:pPr>
    </w:p>
    <w:p w14:paraId="5A23289A">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供应商电子签章：</w:t>
      </w:r>
    </w:p>
    <w:p w14:paraId="70B8B054">
      <w:pPr>
        <w:spacing w:line="360" w:lineRule="auto"/>
        <w:ind w:firstLine="480" w:firstLineChars="200"/>
        <w:contextualSpacing/>
        <w:jc w:val="center"/>
        <w:rPr>
          <w:rFonts w:ascii="仿宋_GB2312" w:hAnsi="仿宋_GB2312" w:eastAsia="仿宋_GB2312" w:cs="仿宋_GB2312"/>
          <w:color w:val="auto"/>
          <w:sz w:val="32"/>
          <w:szCs w:val="32"/>
        </w:rPr>
      </w:pPr>
      <w:r>
        <w:rPr>
          <w:rFonts w:hint="eastAsia" w:ascii="宋体" w:hAnsi="宋体" w:cs="仿宋_GB2312"/>
          <w:color w:val="auto"/>
          <w:sz w:val="24"/>
        </w:rPr>
        <w:t xml:space="preserve">                               年   月   日</w:t>
      </w:r>
    </w:p>
    <w:p w14:paraId="521AACCC">
      <w:pPr>
        <w:spacing w:line="360" w:lineRule="auto"/>
        <w:contextualSpacing/>
        <w:jc w:val="center"/>
        <w:rPr>
          <w:rFonts w:ascii="宋体" w:hAnsi="宋体"/>
          <w:color w:val="auto"/>
          <w:szCs w:val="21"/>
        </w:rPr>
      </w:pPr>
      <w:r>
        <w:rPr>
          <w:rFonts w:hint="eastAsia" w:ascii="方正小标宋简体" w:hAnsi="方正小标宋简体" w:eastAsia="方正小标宋简体" w:cs="方正小标宋简体"/>
          <w:bCs/>
          <w:color w:val="auto"/>
          <w:sz w:val="44"/>
          <w:szCs w:val="44"/>
        </w:rPr>
        <w:br w:type="page"/>
      </w:r>
      <w:r>
        <w:rPr>
          <w:rFonts w:ascii="宋体" w:hAnsi="宋体"/>
          <w:color w:val="auto"/>
          <w:szCs w:val="21"/>
        </w:rPr>
        <w:t xml:space="preserve"> </w:t>
      </w:r>
    </w:p>
    <w:p w14:paraId="25EE9268">
      <w:pPr>
        <w:spacing w:before="240" w:beforeLines="100" w:after="120" w:afterLines="50" w:line="520" w:lineRule="exact"/>
        <w:ind w:left="540"/>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bCs/>
          <w:color w:val="auto"/>
          <w:sz w:val="44"/>
          <w:szCs w:val="44"/>
        </w:rPr>
        <w:t>法定代表人证明书</w:t>
      </w:r>
    </w:p>
    <w:p w14:paraId="151CEAE9">
      <w:pPr>
        <w:spacing w:line="520" w:lineRule="exact"/>
        <w:ind w:left="540"/>
        <w:rPr>
          <w:rFonts w:ascii="仿宋_GB2312" w:hAnsi="仿宋_GB2312" w:eastAsia="仿宋_GB2312" w:cs="仿宋_GB2312"/>
          <w:color w:val="auto"/>
          <w:sz w:val="32"/>
          <w:szCs w:val="32"/>
        </w:rPr>
      </w:pPr>
    </w:p>
    <w:p w14:paraId="51C19CEF">
      <w:pPr>
        <w:spacing w:line="360" w:lineRule="auto"/>
        <w:ind w:left="540"/>
        <w:contextualSpacing/>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p>
    <w:p w14:paraId="617FD046">
      <w:pPr>
        <w:spacing w:line="360" w:lineRule="auto"/>
        <w:ind w:left="540"/>
        <w:contextualSpacing/>
        <w:rPr>
          <w:rFonts w:ascii="宋体" w:hAnsi="宋体" w:cs="仿宋_GB2312"/>
          <w:color w:val="auto"/>
          <w:sz w:val="24"/>
        </w:rPr>
      </w:pPr>
      <w:r>
        <w:rPr>
          <w:rFonts w:hint="eastAsia" w:ascii="宋体" w:hAnsi="宋体" w:cs="仿宋_GB2312"/>
          <w:color w:val="auto"/>
          <w:sz w:val="24"/>
        </w:rPr>
        <w:t>地    址：</w:t>
      </w:r>
      <w:r>
        <w:rPr>
          <w:rFonts w:hint="eastAsia" w:ascii="宋体" w:hAnsi="宋体" w:cs="仿宋_GB2312"/>
          <w:color w:val="auto"/>
          <w:sz w:val="24"/>
          <w:u w:val="single"/>
        </w:rPr>
        <w:t xml:space="preserve">                                                   </w:t>
      </w:r>
    </w:p>
    <w:p w14:paraId="71FB3CED">
      <w:pPr>
        <w:spacing w:line="360" w:lineRule="auto"/>
        <w:ind w:left="540"/>
        <w:contextualSpacing/>
        <w:rPr>
          <w:rFonts w:ascii="宋体" w:hAnsi="宋体" w:cs="仿宋_GB2312"/>
          <w:color w:val="auto"/>
          <w:sz w:val="24"/>
        </w:rPr>
      </w:pPr>
      <w:r>
        <w:rPr>
          <w:rFonts w:hint="eastAsia" w:ascii="宋体" w:hAnsi="宋体" w:cs="仿宋_GB2312"/>
          <w:color w:val="auto"/>
          <w:sz w:val="24"/>
        </w:rPr>
        <w:t>姓    名：</w:t>
      </w:r>
      <w:r>
        <w:rPr>
          <w:rFonts w:hint="eastAsia" w:ascii="宋体" w:hAnsi="宋体" w:cs="仿宋_GB2312"/>
          <w:color w:val="auto"/>
          <w:sz w:val="24"/>
          <w:u w:val="single"/>
        </w:rPr>
        <w:t xml:space="preserve">                </w:t>
      </w:r>
      <w:r>
        <w:rPr>
          <w:rFonts w:hint="eastAsia" w:ascii="宋体" w:hAnsi="宋体" w:cs="仿宋_GB2312"/>
          <w:color w:val="auto"/>
          <w:sz w:val="24"/>
        </w:rPr>
        <w:t>性     别：</w:t>
      </w:r>
      <w:r>
        <w:rPr>
          <w:rFonts w:hint="eastAsia" w:ascii="宋体" w:hAnsi="宋体" w:cs="仿宋_GB2312"/>
          <w:color w:val="auto"/>
          <w:sz w:val="24"/>
          <w:u w:val="single"/>
        </w:rPr>
        <w:t xml:space="preserve">                </w:t>
      </w:r>
    </w:p>
    <w:p w14:paraId="66D5C6C8">
      <w:pPr>
        <w:spacing w:line="360" w:lineRule="auto"/>
        <w:ind w:left="540"/>
        <w:contextualSpacing/>
        <w:rPr>
          <w:rFonts w:ascii="宋体" w:hAnsi="宋体" w:cs="仿宋_GB2312"/>
          <w:color w:val="auto"/>
          <w:sz w:val="24"/>
          <w:u w:val="single"/>
        </w:rPr>
      </w:pPr>
      <w:r>
        <w:rPr>
          <w:rFonts w:hint="eastAsia" w:ascii="宋体" w:hAnsi="宋体" w:cs="仿宋_GB2312"/>
          <w:color w:val="auto"/>
          <w:sz w:val="24"/>
        </w:rPr>
        <w:t>年    龄：</w:t>
      </w:r>
      <w:r>
        <w:rPr>
          <w:rFonts w:hint="eastAsia" w:ascii="宋体" w:hAnsi="宋体" w:cs="仿宋_GB2312"/>
          <w:color w:val="auto"/>
          <w:sz w:val="24"/>
          <w:u w:val="single"/>
        </w:rPr>
        <w:t xml:space="preserve">                </w:t>
      </w:r>
      <w:r>
        <w:rPr>
          <w:rFonts w:hint="eastAsia" w:ascii="宋体" w:hAnsi="宋体" w:cs="仿宋_GB2312"/>
          <w:color w:val="auto"/>
          <w:sz w:val="24"/>
        </w:rPr>
        <w:t>职     务：</w:t>
      </w:r>
      <w:r>
        <w:rPr>
          <w:rFonts w:hint="eastAsia" w:ascii="宋体" w:hAnsi="宋体" w:cs="仿宋_GB2312"/>
          <w:color w:val="auto"/>
          <w:sz w:val="24"/>
          <w:u w:val="single"/>
        </w:rPr>
        <w:t xml:space="preserve">                </w:t>
      </w:r>
    </w:p>
    <w:p w14:paraId="73C7395F">
      <w:pPr>
        <w:spacing w:line="360" w:lineRule="auto"/>
        <w:ind w:left="540"/>
        <w:contextualSpacing/>
        <w:rPr>
          <w:rFonts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p>
    <w:p w14:paraId="0BEB64C9">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的法定代表人。</w:t>
      </w:r>
    </w:p>
    <w:p w14:paraId="4CAD3D71">
      <w:pPr>
        <w:spacing w:line="360" w:lineRule="auto"/>
        <w:ind w:left="540"/>
        <w:contextualSpacing/>
        <w:rPr>
          <w:rFonts w:ascii="宋体" w:hAnsi="宋体" w:cs="仿宋_GB2312"/>
          <w:color w:val="auto"/>
          <w:sz w:val="24"/>
        </w:rPr>
      </w:pPr>
      <w:r>
        <w:rPr>
          <w:rFonts w:hint="eastAsia" w:ascii="宋体" w:hAnsi="宋体" w:cs="仿宋_GB2312"/>
          <w:color w:val="auto"/>
          <w:sz w:val="24"/>
        </w:rPr>
        <w:t>特此证明。</w:t>
      </w:r>
    </w:p>
    <w:p w14:paraId="133F66A4">
      <w:pPr>
        <w:spacing w:line="360" w:lineRule="auto"/>
        <w:ind w:left="540"/>
        <w:contextualSpacing/>
        <w:rPr>
          <w:rFonts w:ascii="宋体" w:hAnsi="宋体" w:cs="仿宋_GB2312"/>
          <w:color w:val="auto"/>
          <w:sz w:val="24"/>
        </w:rPr>
      </w:pPr>
    </w:p>
    <w:p w14:paraId="70E798BE">
      <w:pPr>
        <w:spacing w:line="360" w:lineRule="auto"/>
        <w:ind w:left="540"/>
        <w:contextualSpacing/>
        <w:rPr>
          <w:rFonts w:ascii="宋体" w:hAnsi="宋体" w:cs="仿宋_GB2312"/>
          <w:color w:val="auto"/>
          <w:sz w:val="24"/>
        </w:rPr>
      </w:pPr>
    </w:p>
    <w:p w14:paraId="45654C27">
      <w:pPr>
        <w:spacing w:line="360" w:lineRule="auto"/>
        <w:ind w:left="540"/>
        <w:contextualSpacing/>
        <w:rPr>
          <w:rFonts w:ascii="宋体" w:hAnsi="宋体" w:cs="仿宋_GB2312"/>
          <w:color w:val="auto"/>
          <w:sz w:val="24"/>
        </w:rPr>
      </w:pPr>
    </w:p>
    <w:p w14:paraId="276D7299">
      <w:pPr>
        <w:spacing w:line="360" w:lineRule="auto"/>
        <w:ind w:left="540"/>
        <w:contextualSpacing/>
        <w:rPr>
          <w:rFonts w:ascii="宋体" w:hAnsi="宋体" w:cs="仿宋_GB2312"/>
          <w:color w:val="auto"/>
          <w:sz w:val="24"/>
        </w:rPr>
      </w:pPr>
      <w:r>
        <w:rPr>
          <w:rFonts w:hint="eastAsia" w:ascii="宋体" w:hAnsi="宋体" w:cs="仿宋_GB2312"/>
          <w:color w:val="auto"/>
          <w:sz w:val="24"/>
        </w:rPr>
        <w:t>附件：法定代表人有效身份证正反面复印件</w:t>
      </w:r>
    </w:p>
    <w:p w14:paraId="2C0C4E15">
      <w:pPr>
        <w:spacing w:line="360" w:lineRule="auto"/>
        <w:ind w:left="540"/>
        <w:contextualSpacing/>
        <w:jc w:val="right"/>
        <w:rPr>
          <w:rFonts w:ascii="宋体" w:hAnsi="宋体" w:cs="仿宋_GB2312"/>
          <w:color w:val="auto"/>
          <w:sz w:val="24"/>
        </w:rPr>
      </w:pPr>
    </w:p>
    <w:p w14:paraId="41BFD78B">
      <w:pPr>
        <w:rPr>
          <w:color w:val="auto"/>
          <w:sz w:val="24"/>
        </w:rPr>
      </w:pPr>
      <w:r>
        <w:rPr>
          <w:rFonts w:hint="eastAsia"/>
          <w:color w:val="auto"/>
          <w:sz w:val="24"/>
        </w:rPr>
        <w:t xml:space="preserve">                                  供应商电子签章：               </w:t>
      </w:r>
    </w:p>
    <w:p w14:paraId="38E60B55">
      <w:pPr>
        <w:spacing w:line="360" w:lineRule="auto"/>
        <w:ind w:firstLine="4080" w:firstLineChars="1700"/>
        <w:contextualSpacing/>
        <w:rPr>
          <w:rFonts w:ascii="宋体" w:hAnsi="宋体" w:cs="仿宋_GB2312"/>
          <w:color w:val="auto"/>
          <w:sz w:val="24"/>
        </w:rPr>
      </w:pPr>
      <w:r>
        <w:rPr>
          <w:rFonts w:hint="eastAsia" w:ascii="宋体" w:hAnsi="宋体" w:cs="仿宋_GB2312"/>
          <w:color w:val="auto"/>
          <w:sz w:val="24"/>
          <w:u w:val="single"/>
        </w:rPr>
        <w:t xml:space="preserve">     </w:t>
      </w:r>
      <w:r>
        <w:rPr>
          <w:rFonts w:hint="eastAsia" w:ascii="宋体" w:hAnsi="宋体" w:cs="仿宋_GB2312"/>
          <w:color w:val="auto"/>
          <w:sz w:val="24"/>
        </w:rPr>
        <w:t>年</w:t>
      </w:r>
      <w:r>
        <w:rPr>
          <w:rFonts w:hint="eastAsia" w:ascii="宋体" w:hAnsi="宋体" w:cs="仿宋_GB2312"/>
          <w:color w:val="auto"/>
          <w:sz w:val="24"/>
          <w:u w:val="single"/>
        </w:rPr>
        <w:t xml:space="preserve">     </w:t>
      </w:r>
      <w:r>
        <w:rPr>
          <w:rFonts w:hint="eastAsia" w:ascii="宋体" w:hAnsi="宋体" w:cs="仿宋_GB2312"/>
          <w:color w:val="auto"/>
          <w:sz w:val="24"/>
        </w:rPr>
        <w:t>月</w:t>
      </w:r>
      <w:r>
        <w:rPr>
          <w:rFonts w:hint="eastAsia" w:ascii="宋体" w:hAnsi="宋体" w:cs="仿宋_GB2312"/>
          <w:color w:val="auto"/>
          <w:sz w:val="24"/>
          <w:u w:val="single"/>
        </w:rPr>
        <w:t xml:space="preserve">     </w:t>
      </w:r>
      <w:r>
        <w:rPr>
          <w:rFonts w:hint="eastAsia" w:ascii="宋体" w:hAnsi="宋体" w:cs="仿宋_GB2312"/>
          <w:color w:val="auto"/>
          <w:sz w:val="24"/>
        </w:rPr>
        <w:t>日</w:t>
      </w:r>
    </w:p>
    <w:p w14:paraId="73048105">
      <w:pPr>
        <w:spacing w:line="360" w:lineRule="auto"/>
        <w:contextualSpacing/>
        <w:jc w:val="center"/>
        <w:rPr>
          <w:rFonts w:ascii="宋体" w:hAnsi="宋体" w:cs="仿宋_GB2312"/>
          <w:b/>
          <w:color w:val="auto"/>
          <w:sz w:val="24"/>
        </w:rPr>
      </w:pPr>
    </w:p>
    <w:p w14:paraId="78024C98">
      <w:pPr>
        <w:spacing w:line="360" w:lineRule="auto"/>
        <w:contextualSpacing/>
        <w:jc w:val="left"/>
        <w:rPr>
          <w:rFonts w:ascii="宋体" w:hAnsi="宋体" w:cs="仿宋_GB2312"/>
          <w:color w:val="auto"/>
          <w:sz w:val="24"/>
        </w:rPr>
      </w:pPr>
    </w:p>
    <w:p w14:paraId="41FDE444">
      <w:pPr>
        <w:spacing w:line="360" w:lineRule="auto"/>
        <w:contextualSpacing/>
        <w:jc w:val="left"/>
        <w:rPr>
          <w:rFonts w:ascii="宋体" w:hAnsi="宋体" w:cs="仿宋_GB2312"/>
          <w:color w:val="auto"/>
          <w:sz w:val="24"/>
        </w:rPr>
      </w:pPr>
      <w:r>
        <w:rPr>
          <w:rFonts w:hint="eastAsia" w:ascii="宋体" w:hAnsi="宋体" w:cs="仿宋_GB2312"/>
          <w:color w:val="auto"/>
          <w:sz w:val="24"/>
        </w:rPr>
        <w:t>注：自然人竞标的无需提供，联合体竞标的只需牵头人出具。</w:t>
      </w:r>
    </w:p>
    <w:p w14:paraId="6E5847C1">
      <w:pPr>
        <w:adjustRightInd w:val="0"/>
        <w:snapToGrid w:val="0"/>
        <w:spacing w:line="300" w:lineRule="auto"/>
        <w:jc w:val="left"/>
        <w:rPr>
          <w:rFonts w:ascii="宋体" w:hAnsi="宋体"/>
          <w:b/>
          <w:color w:val="auto"/>
          <w:szCs w:val="21"/>
        </w:rPr>
      </w:pPr>
    </w:p>
    <w:p w14:paraId="60F3D884">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r>
        <w:rPr>
          <w:rFonts w:ascii="方正小标宋简体" w:hAnsi="方正小标宋简体" w:eastAsia="方正小标宋简体" w:cs="方正小标宋简体"/>
          <w:color w:val="auto"/>
          <w:sz w:val="44"/>
          <w:szCs w:val="44"/>
        </w:rPr>
        <w:t xml:space="preserve"> </w:t>
      </w:r>
    </w:p>
    <w:p w14:paraId="46319F1D">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授权委托书（非联合体竞标格式）</w:t>
      </w:r>
    </w:p>
    <w:p w14:paraId="52163E64">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（如有委托时）</w:t>
      </w:r>
    </w:p>
    <w:p w14:paraId="2B6E8F3B">
      <w:pPr>
        <w:spacing w:line="520" w:lineRule="exact"/>
        <w:rPr>
          <w:rFonts w:ascii="仿宋_GB2312" w:hAnsi="仿宋_GB2312" w:eastAsia="仿宋_GB2312" w:cs="仿宋_GB2312"/>
          <w:color w:val="auto"/>
          <w:sz w:val="32"/>
          <w:szCs w:val="32"/>
        </w:rPr>
      </w:pPr>
    </w:p>
    <w:p w14:paraId="60A74472">
      <w:pPr>
        <w:spacing w:line="360" w:lineRule="auto"/>
        <w:contextualSpacing/>
        <w:rPr>
          <w:rFonts w:ascii="宋体" w:hAnsi="宋体" w:cs="仿宋_GB2312"/>
          <w:color w:val="auto"/>
          <w:sz w:val="24"/>
        </w:rPr>
      </w:pPr>
      <w:r>
        <w:rPr>
          <w:rFonts w:hint="eastAsia" w:ascii="宋体" w:hAnsi="宋体" w:cs="仿宋_GB2312"/>
          <w:color w:val="auto"/>
          <w:sz w:val="24"/>
        </w:rPr>
        <w:t>致：</w:t>
      </w:r>
      <w:r>
        <w:rPr>
          <w:rFonts w:hint="eastAsia" w:ascii="宋体" w:hAnsi="宋体" w:cs="仿宋_GB2312"/>
          <w:color w:val="auto"/>
          <w:sz w:val="24"/>
          <w:u w:val="single"/>
        </w:rPr>
        <w:t>（采购人名称）</w:t>
      </w:r>
      <w:r>
        <w:rPr>
          <w:rFonts w:hint="eastAsia" w:ascii="宋体" w:hAnsi="宋体" w:cs="仿宋_GB2312"/>
          <w:color w:val="auto"/>
          <w:sz w:val="24"/>
        </w:rPr>
        <w:t>：</w:t>
      </w:r>
    </w:p>
    <w:p w14:paraId="11F226C9">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我</w:t>
      </w:r>
      <w:r>
        <w:rPr>
          <w:rFonts w:hint="eastAsia" w:ascii="宋体" w:hAnsi="宋体" w:cs="仿宋_GB2312"/>
          <w:color w:val="auto"/>
          <w:sz w:val="24"/>
          <w:u w:val="single"/>
        </w:rPr>
        <w:t xml:space="preserve">  （姓名）  </w:t>
      </w:r>
      <w:r>
        <w:rPr>
          <w:rFonts w:hint="eastAsia" w:ascii="宋体" w:hAnsi="宋体" w:cs="仿宋_GB2312"/>
          <w:color w:val="auto"/>
          <w:sz w:val="24"/>
        </w:rPr>
        <w:t>系</w:t>
      </w:r>
      <w:r>
        <w:rPr>
          <w:rFonts w:hint="eastAsia" w:ascii="宋体" w:hAnsi="宋体" w:cs="仿宋_GB2312"/>
          <w:color w:val="auto"/>
          <w:sz w:val="24"/>
          <w:u w:val="single"/>
        </w:rPr>
        <w:t xml:space="preserve">  （供应商名称）  </w:t>
      </w:r>
      <w:r>
        <w:rPr>
          <w:rFonts w:hint="eastAsia" w:ascii="宋体" w:hAnsi="宋体" w:cs="仿宋_GB2312"/>
          <w:color w:val="auto"/>
          <w:sz w:val="24"/>
        </w:rPr>
        <w:t>的（</w:t>
      </w:r>
      <w:r>
        <w:rPr>
          <w:rFonts w:hint="eastAsia" w:ascii="宋体" w:hAnsi="宋体" w:cs="仿宋_GB2312"/>
          <w:color w:val="auto"/>
          <w:sz w:val="24"/>
          <w:u w:val="single"/>
        </w:rPr>
        <w:t>□法定代表人/□负责人/□自然人本人</w:t>
      </w:r>
      <w:r>
        <w:rPr>
          <w:rFonts w:hint="eastAsia" w:ascii="宋体" w:hAnsi="宋体" w:cs="仿宋_GB2312"/>
          <w:color w:val="auto"/>
          <w:sz w:val="24"/>
        </w:rPr>
        <w:t>），现授权</w:t>
      </w:r>
      <w:r>
        <w:rPr>
          <w:rFonts w:hint="eastAsia" w:ascii="宋体" w:hAnsi="宋体" w:cs="仿宋_GB2312"/>
          <w:color w:val="auto"/>
          <w:sz w:val="24"/>
          <w:u w:val="single"/>
        </w:rPr>
        <w:t xml:space="preserve"> （姓名） </w:t>
      </w:r>
      <w:r>
        <w:rPr>
          <w:rFonts w:hint="eastAsia" w:ascii="宋体" w:hAnsi="宋体" w:cs="仿宋_GB2312"/>
          <w:color w:val="auto"/>
          <w:sz w:val="24"/>
        </w:rPr>
        <w:t>以我方的名义参加</w:t>
      </w:r>
      <w:r>
        <w:rPr>
          <w:rFonts w:hint="eastAsia" w:ascii="宋体" w:hAnsi="宋体" w:cs="仿宋_GB2312"/>
          <w:color w:val="auto"/>
          <w:sz w:val="24"/>
          <w:u w:val="single"/>
        </w:rPr>
        <w:t xml:space="preserve">              </w:t>
      </w:r>
      <w:r>
        <w:rPr>
          <w:rFonts w:hint="eastAsia" w:ascii="宋体" w:hAnsi="宋体" w:cs="仿宋_GB2312"/>
          <w:color w:val="auto"/>
          <w:sz w:val="24"/>
        </w:rPr>
        <w:t>项目的竞标活动，并代表我方全权办理针对上述项目的所有采购程序和环节的具体事务和签署相关文件。</w:t>
      </w:r>
    </w:p>
    <w:p w14:paraId="63C43019">
      <w:pPr>
        <w:spacing w:line="360" w:lineRule="auto"/>
        <w:contextualSpacing/>
        <w:rPr>
          <w:rFonts w:ascii="宋体" w:hAnsi="宋体" w:cs="仿宋_GB2312"/>
          <w:color w:val="auto"/>
          <w:sz w:val="24"/>
        </w:rPr>
      </w:pPr>
      <w:r>
        <w:rPr>
          <w:rFonts w:hint="eastAsia" w:ascii="宋体" w:hAnsi="宋体" w:cs="仿宋_GB2312"/>
          <w:color w:val="auto"/>
          <w:sz w:val="24"/>
        </w:rPr>
        <w:t xml:space="preserve">    我方对委托代理人的签字</w:t>
      </w:r>
      <w:r>
        <w:rPr>
          <w:rFonts w:hint="eastAsia" w:ascii="宋体" w:hAnsi="宋体"/>
          <w:color w:val="auto"/>
          <w:sz w:val="24"/>
        </w:rPr>
        <w:t>或者电子签名</w:t>
      </w:r>
      <w:r>
        <w:rPr>
          <w:rFonts w:hint="eastAsia" w:ascii="宋体" w:hAnsi="宋体" w:cs="仿宋_GB2312"/>
          <w:color w:val="auto"/>
          <w:sz w:val="24"/>
        </w:rPr>
        <w:t>事项负全部责任。</w:t>
      </w:r>
    </w:p>
    <w:p w14:paraId="7E4A990D">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14:paraId="0954D261">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委托代理人无转委托权，特此委托。</w:t>
      </w:r>
    </w:p>
    <w:p w14:paraId="47293A2C">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附：法定代表人身份证明书及委托代理人有效身份证正反面复印件</w:t>
      </w:r>
    </w:p>
    <w:p w14:paraId="37892701">
      <w:pPr>
        <w:spacing w:line="360" w:lineRule="auto"/>
        <w:contextualSpacing/>
        <w:rPr>
          <w:rFonts w:ascii="宋体" w:hAnsi="宋体" w:cs="仿宋_GB2312"/>
          <w:color w:val="auto"/>
          <w:sz w:val="24"/>
        </w:rPr>
      </w:pPr>
    </w:p>
    <w:p w14:paraId="3EA749DC">
      <w:pPr>
        <w:spacing w:line="360" w:lineRule="auto"/>
        <w:contextualSpacing/>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olor w:val="auto"/>
          <w:sz w:val="24"/>
        </w:rPr>
        <w:t>签字</w:t>
      </w:r>
      <w:r>
        <w:rPr>
          <w:rFonts w:hint="eastAsia" w:ascii="宋体" w:hAnsi="宋体" w:cs="仿宋_GB2312"/>
          <w:color w:val="auto"/>
          <w:sz w:val="24"/>
        </w:rPr>
        <w:t>（</w:t>
      </w:r>
      <w:r>
        <w:rPr>
          <w:rFonts w:hint="eastAsia" w:ascii="宋体" w:hAnsi="宋体"/>
          <w:color w:val="auto"/>
          <w:sz w:val="24"/>
        </w:rPr>
        <w:t>或者电子签名</w:t>
      </w:r>
      <w:r>
        <w:rPr>
          <w:rFonts w:hint="eastAsia" w:ascii="宋体" w:hAnsi="宋体" w:cs="仿宋_GB2312"/>
          <w:color w:val="auto"/>
          <w:sz w:val="24"/>
        </w:rPr>
        <w:t xml:space="preserve">）：     法定代表人签字（或者盖章或者电子签名）：                    </w:t>
      </w:r>
    </w:p>
    <w:p w14:paraId="657D7682">
      <w:pPr>
        <w:spacing w:line="360" w:lineRule="auto"/>
        <w:contextualSpacing/>
        <w:rPr>
          <w:rFonts w:ascii="宋体" w:hAnsi="宋体" w:cs="仿宋_GB2312"/>
          <w:color w:val="auto"/>
          <w:sz w:val="24"/>
        </w:rPr>
      </w:pPr>
      <w:r>
        <w:rPr>
          <w:rFonts w:hint="eastAsia" w:ascii="宋体" w:hAnsi="宋体" w:cs="仿宋_GB2312"/>
          <w:color w:val="auto"/>
          <w:sz w:val="24"/>
        </w:rPr>
        <w:t xml:space="preserve">委托代理人身份证号码：                              </w:t>
      </w:r>
    </w:p>
    <w:p w14:paraId="6B04AEEE">
      <w:pPr>
        <w:spacing w:line="360" w:lineRule="auto"/>
        <w:contextualSpacing/>
        <w:rPr>
          <w:rFonts w:ascii="宋体" w:hAnsi="宋体" w:cs="仿宋_GB2312"/>
          <w:color w:val="auto"/>
          <w:sz w:val="24"/>
        </w:rPr>
      </w:pPr>
      <w:r>
        <w:rPr>
          <w:rFonts w:hint="eastAsia" w:ascii="宋体" w:hAnsi="宋体" w:cs="仿宋_GB2312"/>
          <w:color w:val="auto"/>
          <w:sz w:val="24"/>
        </w:rPr>
        <w:t xml:space="preserve">                                </w:t>
      </w:r>
    </w:p>
    <w:p w14:paraId="2B5CCEFF">
      <w:pPr>
        <w:spacing w:line="360" w:lineRule="auto"/>
        <w:contextualSpacing/>
        <w:rPr>
          <w:rFonts w:ascii="宋体" w:hAnsi="宋体" w:cs="仿宋_GB2312"/>
          <w:color w:val="auto"/>
          <w:sz w:val="24"/>
        </w:rPr>
      </w:pPr>
      <w:r>
        <w:rPr>
          <w:rFonts w:hint="eastAsia" w:ascii="宋体" w:hAnsi="宋体" w:cs="仿宋_GB2312"/>
          <w:color w:val="auto"/>
          <w:sz w:val="24"/>
        </w:rPr>
        <w:t xml:space="preserve">                         供应商电子签章：                      </w:t>
      </w:r>
    </w:p>
    <w:p w14:paraId="13F9FD58">
      <w:pPr>
        <w:spacing w:line="360" w:lineRule="auto"/>
        <w:contextualSpacing/>
        <w:rPr>
          <w:rFonts w:ascii="宋体" w:hAnsi="宋体" w:cs="仿宋_GB2312"/>
          <w:color w:val="auto"/>
          <w:sz w:val="24"/>
        </w:rPr>
      </w:pPr>
      <w:r>
        <w:rPr>
          <w:rFonts w:hint="eastAsia" w:ascii="宋体" w:hAnsi="宋体" w:cs="仿宋_GB2312"/>
          <w:color w:val="auto"/>
          <w:sz w:val="24"/>
        </w:rPr>
        <w:t xml:space="preserve">                                         年    月    日</w:t>
      </w:r>
    </w:p>
    <w:p w14:paraId="0736FCC1">
      <w:pPr>
        <w:spacing w:line="360" w:lineRule="auto"/>
        <w:contextualSpacing/>
        <w:rPr>
          <w:rFonts w:ascii="宋体" w:hAnsi="宋体" w:cs="仿宋_GB2312"/>
          <w:color w:val="auto"/>
          <w:sz w:val="24"/>
        </w:rPr>
      </w:pPr>
    </w:p>
    <w:p w14:paraId="0740A021">
      <w:pPr>
        <w:spacing w:line="360" w:lineRule="auto"/>
        <w:contextualSpacing/>
        <w:rPr>
          <w:rFonts w:ascii="宋体" w:hAnsi="宋体" w:cs="仿宋_GB2312"/>
          <w:color w:val="auto"/>
          <w:sz w:val="24"/>
        </w:rPr>
      </w:pPr>
      <w:r>
        <w:rPr>
          <w:rFonts w:hint="eastAsia" w:ascii="宋体" w:hAnsi="宋体" w:cs="仿宋_GB2312"/>
          <w:color w:val="auto"/>
          <w:sz w:val="24"/>
        </w:rPr>
        <w:t>注：1.法定代表人必须在授权委托书上签字（或者盖章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否则其响应文件按无效响应处理。</w:t>
      </w:r>
    </w:p>
    <w:p w14:paraId="60CE3331">
      <w:pPr>
        <w:spacing w:line="360" w:lineRule="auto"/>
        <w:ind w:firstLine="480" w:firstLineChars="200"/>
        <w:contextualSpacing/>
        <w:jc w:val="left"/>
        <w:rPr>
          <w:rFonts w:ascii="宋体" w:hAnsi="宋体" w:cs="仿宋_GB2312"/>
          <w:color w:val="auto"/>
          <w:sz w:val="24"/>
        </w:rPr>
      </w:pPr>
      <w:r>
        <w:rPr>
          <w:rFonts w:ascii="宋体" w:hAnsi="宋体" w:cs="仿宋_GB2312"/>
          <w:color w:val="auto"/>
          <w:sz w:val="24"/>
        </w:rPr>
        <w:t>2.</w:t>
      </w:r>
      <w:bookmarkStart w:id="95" w:name="_Hlk65853109"/>
      <w:bookmarkStart w:id="96" w:name="_Hlk65853542"/>
      <w:r>
        <w:rPr>
          <w:rFonts w:hint="eastAsia" w:ascii="宋体" w:hAnsi="宋体" w:cs="仿宋_GB2312"/>
          <w:color w:val="auto"/>
          <w:sz w:val="24"/>
        </w:rPr>
        <w:t>法人、其他组织竞标时“我方”是指“我单位”，自然人竞标时“我方”是指“本人”。</w:t>
      </w:r>
      <w:bookmarkEnd w:id="95"/>
    </w:p>
    <w:bookmarkEnd w:id="96"/>
    <w:p w14:paraId="5D65C615">
      <w:pPr>
        <w:spacing w:line="360" w:lineRule="auto"/>
        <w:ind w:firstLine="420" w:firstLineChars="200"/>
        <w:jc w:val="left"/>
        <w:rPr>
          <w:rFonts w:ascii="仿宋_GB2312" w:hAnsi="仿宋_GB2312" w:eastAsia="仿宋_GB2312" w:cs="仿宋_GB2312"/>
          <w:color w:val="auto"/>
          <w:szCs w:val="21"/>
        </w:rPr>
      </w:pPr>
    </w:p>
    <w:p w14:paraId="6CA679D2">
      <w:pPr>
        <w:spacing w:line="500" w:lineRule="exact"/>
        <w:jc w:val="center"/>
        <w:rPr>
          <w:rFonts w:ascii="方正小标宋简体" w:hAnsi="方正小标宋简体" w:eastAsia="方正小标宋简体" w:cs="方正小标宋简体"/>
          <w:color w:val="auto"/>
          <w:sz w:val="44"/>
          <w:szCs w:val="44"/>
        </w:rPr>
      </w:pPr>
      <w:r>
        <w:rPr>
          <w:rFonts w:ascii="仿宋_GB2312" w:hAnsi="仿宋_GB2312" w:eastAsia="仿宋_GB2312" w:cs="仿宋_GB2312"/>
          <w:color w:val="auto"/>
          <w:szCs w:val="21"/>
        </w:rPr>
        <w:br w:type="page"/>
      </w:r>
      <w:r>
        <w:rPr>
          <w:rFonts w:hint="eastAsia" w:ascii="方正小标宋简体" w:hAnsi="方正小标宋简体" w:eastAsia="方正小标宋简体" w:cs="方正小标宋简体"/>
          <w:color w:val="auto"/>
          <w:sz w:val="44"/>
          <w:szCs w:val="44"/>
        </w:rPr>
        <w:t>授权委托书（联合体竞标格式）</w:t>
      </w:r>
    </w:p>
    <w:p w14:paraId="1FFEFE16">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（如有委托时）</w:t>
      </w:r>
    </w:p>
    <w:p w14:paraId="470DE3AA">
      <w:pPr>
        <w:spacing w:line="500" w:lineRule="exact"/>
        <w:jc w:val="center"/>
        <w:rPr>
          <w:rFonts w:ascii="方正小标宋简体" w:hAnsi="方正小标宋简体" w:eastAsia="方正小标宋简体" w:cs="方正小标宋简体"/>
          <w:color w:val="auto"/>
          <w:sz w:val="44"/>
          <w:szCs w:val="44"/>
        </w:rPr>
      </w:pPr>
    </w:p>
    <w:p w14:paraId="065B1ABD">
      <w:pPr>
        <w:spacing w:line="500" w:lineRule="exact"/>
        <w:jc w:val="center"/>
        <w:rPr>
          <w:rFonts w:ascii="仿宋_GB2312" w:hAnsi="仿宋_GB2312" w:eastAsia="仿宋_GB2312" w:cs="仿宋_GB2312"/>
          <w:color w:val="auto"/>
          <w:sz w:val="32"/>
          <w:szCs w:val="32"/>
        </w:rPr>
      </w:pPr>
    </w:p>
    <w:p w14:paraId="41FD4207">
      <w:pPr>
        <w:spacing w:line="360" w:lineRule="auto"/>
        <w:ind w:firstLine="480" w:firstLineChars="200"/>
        <w:contextualSpacing/>
        <w:jc w:val="left"/>
        <w:rPr>
          <w:rFonts w:ascii="宋体" w:hAnsi="宋体" w:cs="仿宋_GB2312"/>
          <w:color w:val="auto"/>
          <w:sz w:val="24"/>
        </w:rPr>
      </w:pPr>
      <w:r>
        <w:rPr>
          <w:rFonts w:hint="eastAsia" w:ascii="宋体" w:hAnsi="宋体" w:cs="仿宋_GB2312"/>
          <w:color w:val="auto"/>
          <w:sz w:val="24"/>
        </w:rPr>
        <w:t>本授权委托书声明：根据</w:t>
      </w:r>
      <w:r>
        <w:rPr>
          <w:rFonts w:hint="eastAsia" w:ascii="宋体" w:hAnsi="宋体" w:cs="仿宋_GB2312"/>
          <w:color w:val="auto"/>
          <w:sz w:val="24"/>
          <w:u w:val="single"/>
        </w:rPr>
        <w:t xml:space="preserve">                </w:t>
      </w:r>
      <w:r>
        <w:rPr>
          <w:rFonts w:hint="eastAsia" w:ascii="宋体" w:hAnsi="宋体" w:cs="仿宋_GB2312"/>
          <w:color w:val="auto"/>
          <w:sz w:val="24"/>
        </w:rPr>
        <w:t>（牵头人名称）与</w:t>
      </w:r>
      <w:r>
        <w:rPr>
          <w:rFonts w:hint="eastAsia" w:ascii="宋体" w:hAnsi="宋体" w:cs="仿宋_GB2312"/>
          <w:color w:val="auto"/>
          <w:sz w:val="24"/>
          <w:u w:val="single"/>
        </w:rPr>
        <w:t xml:space="preserve">              </w:t>
      </w:r>
      <w:r>
        <w:rPr>
          <w:rFonts w:hint="eastAsia" w:ascii="宋体" w:hAnsi="宋体" w:cs="仿宋_GB2312"/>
          <w:color w:val="auto"/>
          <w:sz w:val="24"/>
        </w:rPr>
        <w:t>（联合体其他成员名称）签订的《联合体竞标协议书》的内容，</w:t>
      </w:r>
      <w:r>
        <w:rPr>
          <w:rFonts w:hint="eastAsia" w:ascii="宋体" w:hAnsi="宋体" w:cs="仿宋_GB2312"/>
          <w:color w:val="auto"/>
          <w:sz w:val="24"/>
          <w:u w:val="single"/>
        </w:rPr>
        <w:t xml:space="preserve">                       </w:t>
      </w:r>
      <w:r>
        <w:rPr>
          <w:rFonts w:hint="eastAsia" w:ascii="宋体" w:hAnsi="宋体" w:cs="仿宋_GB2312"/>
          <w:color w:val="auto"/>
          <w:sz w:val="24"/>
        </w:rPr>
        <w:t>（牵头人名称）的法定代表人</w:t>
      </w:r>
      <w:r>
        <w:rPr>
          <w:rFonts w:hint="eastAsia" w:ascii="宋体" w:hAnsi="宋体" w:cs="仿宋_GB2312"/>
          <w:color w:val="auto"/>
          <w:sz w:val="24"/>
          <w:u w:val="single"/>
        </w:rPr>
        <w:t xml:space="preserve">      </w:t>
      </w:r>
      <w:r>
        <w:rPr>
          <w:rFonts w:hint="eastAsia" w:ascii="宋体" w:hAnsi="宋体" w:cs="仿宋_GB2312"/>
          <w:color w:val="auto"/>
          <w:sz w:val="24"/>
        </w:rPr>
        <w:t>（姓名）现授权</w:t>
      </w:r>
      <w:r>
        <w:rPr>
          <w:rFonts w:hint="eastAsia" w:ascii="宋体" w:hAnsi="宋体" w:cs="仿宋_GB2312"/>
          <w:color w:val="auto"/>
          <w:sz w:val="24"/>
          <w:u w:val="single"/>
        </w:rPr>
        <w:t xml:space="preserve">      </w:t>
      </w:r>
      <w:r>
        <w:rPr>
          <w:rFonts w:hint="eastAsia" w:ascii="宋体" w:hAnsi="宋体" w:cs="仿宋_GB2312"/>
          <w:color w:val="auto"/>
          <w:sz w:val="24"/>
        </w:rPr>
        <w:t>（姓名）为联合委托代理人，并代表我方全权办理针对上述项目的所有采购程序和环节的具体事务和签署相关文件。</w:t>
      </w:r>
    </w:p>
    <w:p w14:paraId="6CB8E7D2">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我方对委托代理人的</w:t>
      </w:r>
      <w:r>
        <w:rPr>
          <w:rFonts w:hint="eastAsia" w:ascii="宋体" w:hAnsi="宋体"/>
          <w:color w:val="auto"/>
          <w:sz w:val="24"/>
        </w:rPr>
        <w:t>签字或者电子签名</w:t>
      </w:r>
      <w:r>
        <w:rPr>
          <w:rFonts w:hint="eastAsia" w:ascii="宋体" w:hAnsi="宋体" w:cs="仿宋_GB2312"/>
          <w:color w:val="auto"/>
          <w:sz w:val="24"/>
        </w:rPr>
        <w:t>事项负全部责任。</w:t>
      </w:r>
    </w:p>
    <w:p w14:paraId="6EE3BC4D">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14:paraId="50662892">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委托代理人无转委托权，特此委托。</w:t>
      </w:r>
    </w:p>
    <w:p w14:paraId="1DE035D7">
      <w:pPr>
        <w:spacing w:line="360" w:lineRule="auto"/>
        <w:contextualSpacing/>
        <w:rPr>
          <w:rFonts w:ascii="宋体" w:hAnsi="宋体" w:cs="仿宋_GB2312"/>
          <w:color w:val="auto"/>
          <w:sz w:val="24"/>
        </w:rPr>
      </w:pPr>
      <w:r>
        <w:rPr>
          <w:rFonts w:hint="eastAsia" w:ascii="宋体" w:hAnsi="宋体" w:cs="仿宋_GB2312"/>
          <w:color w:val="auto"/>
          <w:sz w:val="24"/>
        </w:rPr>
        <w:t xml:space="preserve">    附：法定代表人身份证明书及委托代理人有效身份证正反面复印件</w:t>
      </w:r>
    </w:p>
    <w:p w14:paraId="3A8A3CEF">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牵头人法定代表人签字（或者盖章或者电子签名）：</w:t>
      </w:r>
    </w:p>
    <w:p w14:paraId="569FE8B9">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牵头人公章（或者电子签章）：</w:t>
      </w:r>
    </w:p>
    <w:p w14:paraId="1EA8AB98">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14:paraId="5A9BEB85">
      <w:pPr>
        <w:spacing w:line="360" w:lineRule="auto"/>
        <w:contextualSpacing/>
        <w:rPr>
          <w:rFonts w:ascii="宋体" w:hAnsi="宋体" w:cs="仿宋_GB2312"/>
          <w:color w:val="auto"/>
          <w:sz w:val="24"/>
        </w:rPr>
      </w:pPr>
    </w:p>
    <w:p w14:paraId="34E65F10">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被授权人签字（或者电子签名）：</w:t>
      </w:r>
    </w:p>
    <w:p w14:paraId="72425FE4">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14:paraId="549E0312">
      <w:pPr>
        <w:spacing w:line="360" w:lineRule="auto"/>
        <w:contextualSpacing/>
        <w:rPr>
          <w:rFonts w:ascii="宋体" w:hAnsi="宋体" w:cs="仿宋_GB2312"/>
          <w:color w:val="auto"/>
          <w:sz w:val="24"/>
        </w:rPr>
      </w:pPr>
    </w:p>
    <w:p w14:paraId="5A955D28">
      <w:pPr>
        <w:spacing w:line="360" w:lineRule="auto"/>
        <w:contextualSpacing/>
        <w:rPr>
          <w:rFonts w:ascii="宋体" w:hAnsi="宋体" w:cs="仿宋_GB2312"/>
          <w:color w:val="auto"/>
          <w:sz w:val="24"/>
        </w:rPr>
      </w:pPr>
      <w:r>
        <w:rPr>
          <w:rFonts w:hint="eastAsia" w:ascii="宋体" w:hAnsi="宋体" w:cs="仿宋_GB2312"/>
          <w:color w:val="auto"/>
          <w:sz w:val="24"/>
        </w:rPr>
        <w:t>注：1.法定代表人必须在授权委托书上签字（或者盖章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否则其响应文件按无效响应处理。</w:t>
      </w:r>
    </w:p>
    <w:p w14:paraId="1F8D8A16">
      <w:pPr>
        <w:spacing w:line="360" w:lineRule="auto"/>
        <w:ind w:firstLine="480" w:firstLineChars="200"/>
        <w:contextualSpacing/>
        <w:jc w:val="left"/>
        <w:rPr>
          <w:rFonts w:ascii="宋体" w:hAnsi="宋体" w:cs="仿宋_GB2312"/>
          <w:color w:val="auto"/>
          <w:sz w:val="24"/>
        </w:rPr>
      </w:pPr>
      <w:r>
        <w:rPr>
          <w:rFonts w:ascii="宋体" w:hAnsi="宋体" w:cs="仿宋_GB2312"/>
          <w:color w:val="auto"/>
          <w:sz w:val="24"/>
        </w:rPr>
        <w:t>2.</w:t>
      </w:r>
      <w:r>
        <w:rPr>
          <w:rFonts w:hint="eastAsia" w:ascii="宋体" w:hAnsi="宋体" w:cs="仿宋_GB2312"/>
          <w:color w:val="auto"/>
          <w:sz w:val="24"/>
        </w:rPr>
        <w:t>法人、其他组织竞标时“我方”是指“我单位”，自然人竞标时“我方”是指“本人”。</w:t>
      </w:r>
    </w:p>
    <w:p w14:paraId="083D01FE">
      <w:pPr>
        <w:spacing w:line="500" w:lineRule="exact"/>
        <w:jc w:val="center"/>
        <w:rPr>
          <w:rFonts w:ascii="方正小标宋简体" w:hAnsi="方正小标宋简体" w:eastAsia="方正小标宋简体" w:cs="方正小标宋简体"/>
          <w:bCs/>
          <w:color w:val="auto"/>
          <w:sz w:val="44"/>
          <w:szCs w:val="44"/>
        </w:rPr>
      </w:pPr>
      <w:r>
        <w:rPr>
          <w:rFonts w:hint="eastAsia" w:ascii="仿宋_GB2312" w:hAnsi="仿宋_GB2312" w:eastAsia="仿宋_GB2312" w:cs="仿宋_GB2312"/>
          <w:color w:val="auto"/>
          <w:sz w:val="32"/>
          <w:szCs w:val="32"/>
        </w:rPr>
        <w:br w:type="page"/>
      </w:r>
      <w:r>
        <w:rPr>
          <w:rFonts w:hint="eastAsia" w:ascii="方正小标宋简体" w:hAnsi="方正小标宋简体" w:eastAsia="方正小标宋简体" w:cs="方正小标宋简体"/>
          <w:bCs/>
          <w:color w:val="auto"/>
          <w:sz w:val="44"/>
          <w:szCs w:val="44"/>
        </w:rPr>
        <w:t>商务要求响应承诺书</w:t>
      </w:r>
    </w:p>
    <w:p w14:paraId="358C5D34">
      <w:pPr>
        <w:spacing w:line="500" w:lineRule="exact"/>
        <w:jc w:val="center"/>
        <w:rPr>
          <w:rFonts w:ascii="宋体" w:hAnsi="宋体"/>
          <w:b/>
          <w:i/>
          <w:color w:val="auto"/>
          <w:sz w:val="32"/>
          <w:szCs w:val="32"/>
        </w:rPr>
      </w:pPr>
    </w:p>
    <w:tbl>
      <w:tblPr>
        <w:tblStyle w:val="28"/>
        <w:tblW w:w="48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7475"/>
      </w:tblGrid>
      <w:tr w14:paraId="371F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80" w:type="pct"/>
            <w:tcBorders>
              <w:top w:val="single" w:color="auto" w:sz="4" w:space="0"/>
              <w:left w:val="single" w:color="auto" w:sz="4" w:space="0"/>
              <w:bottom w:val="single" w:color="auto" w:sz="4" w:space="0"/>
              <w:right w:val="single" w:color="auto" w:sz="4" w:space="0"/>
            </w:tcBorders>
            <w:vAlign w:val="center"/>
          </w:tcPr>
          <w:p w14:paraId="0E87394A">
            <w:pPr>
              <w:snapToGrid w:val="0"/>
              <w:spacing w:before="50"/>
              <w:jc w:val="center"/>
              <w:rPr>
                <w:rFonts w:ascii="宋体" w:hAnsi="宋体"/>
                <w:color w:val="auto"/>
                <w:sz w:val="24"/>
              </w:rPr>
            </w:pPr>
            <w:r>
              <w:rPr>
                <w:rFonts w:hint="eastAsia" w:ascii="宋体" w:hAnsi="宋体"/>
                <w:color w:val="auto"/>
                <w:sz w:val="24"/>
              </w:rPr>
              <w:t>条款</w:t>
            </w:r>
          </w:p>
        </w:tc>
        <w:tc>
          <w:tcPr>
            <w:tcW w:w="4219" w:type="pct"/>
            <w:tcBorders>
              <w:top w:val="single" w:color="auto" w:sz="4" w:space="0"/>
              <w:left w:val="single" w:color="auto" w:sz="4" w:space="0"/>
              <w:bottom w:val="single" w:color="auto" w:sz="4" w:space="0"/>
              <w:right w:val="single" w:color="auto" w:sz="4" w:space="0"/>
            </w:tcBorders>
            <w:vAlign w:val="center"/>
          </w:tcPr>
          <w:p w14:paraId="2CAD5DA7">
            <w:pPr>
              <w:snapToGrid w:val="0"/>
              <w:spacing w:before="50"/>
              <w:jc w:val="center"/>
              <w:rPr>
                <w:rFonts w:ascii="宋体" w:hAnsi="宋体"/>
                <w:color w:val="auto"/>
                <w:sz w:val="24"/>
              </w:rPr>
            </w:pPr>
            <w:r>
              <w:rPr>
                <w:rFonts w:hint="eastAsia" w:ascii="宋体" w:hAnsi="宋体"/>
                <w:color w:val="auto"/>
                <w:sz w:val="24"/>
              </w:rPr>
              <w:t>对照第三章采购需求中的“商务要求”，供应商的详细商务响应情况</w:t>
            </w:r>
          </w:p>
        </w:tc>
      </w:tr>
      <w:tr w14:paraId="446E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0" w:type="pct"/>
            <w:tcBorders>
              <w:top w:val="single" w:color="auto" w:sz="4" w:space="0"/>
              <w:left w:val="single" w:color="auto" w:sz="4" w:space="0"/>
              <w:bottom w:val="single" w:color="auto" w:sz="4" w:space="0"/>
              <w:right w:val="single" w:color="auto" w:sz="4" w:space="0"/>
            </w:tcBorders>
            <w:vAlign w:val="center"/>
          </w:tcPr>
          <w:p w14:paraId="3EEB653A">
            <w:pPr>
              <w:snapToGrid w:val="0"/>
              <w:spacing w:before="50"/>
              <w:jc w:val="center"/>
              <w:rPr>
                <w:rFonts w:ascii="宋体" w:hAnsi="宋体"/>
                <w:color w:val="auto"/>
                <w:sz w:val="24"/>
              </w:rPr>
            </w:pPr>
            <w:r>
              <w:rPr>
                <w:rFonts w:hint="eastAsia" w:ascii="宋体" w:hAnsi="宋体"/>
                <w:color w:val="auto"/>
                <w:sz w:val="24"/>
              </w:rPr>
              <w:t>（一）服务期及地点</w:t>
            </w:r>
          </w:p>
        </w:tc>
        <w:tc>
          <w:tcPr>
            <w:tcW w:w="4219" w:type="pct"/>
            <w:tcBorders>
              <w:top w:val="single" w:color="auto" w:sz="4" w:space="0"/>
              <w:left w:val="single" w:color="auto" w:sz="4" w:space="0"/>
              <w:bottom w:val="single" w:color="auto" w:sz="4" w:space="0"/>
              <w:right w:val="single" w:color="auto" w:sz="4" w:space="0"/>
            </w:tcBorders>
            <w:vAlign w:val="center"/>
          </w:tcPr>
          <w:p w14:paraId="2084F96B">
            <w:pPr>
              <w:snapToGrid w:val="0"/>
              <w:spacing w:before="50"/>
              <w:jc w:val="center"/>
              <w:rPr>
                <w:rFonts w:ascii="宋体" w:hAnsi="宋体"/>
                <w:color w:val="auto"/>
                <w:sz w:val="24"/>
              </w:rPr>
            </w:pPr>
          </w:p>
        </w:tc>
      </w:tr>
      <w:tr w14:paraId="421E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0" w:type="pct"/>
            <w:tcBorders>
              <w:top w:val="single" w:color="auto" w:sz="4" w:space="0"/>
              <w:left w:val="single" w:color="auto" w:sz="4" w:space="0"/>
              <w:bottom w:val="single" w:color="auto" w:sz="4" w:space="0"/>
              <w:right w:val="single" w:color="auto" w:sz="4" w:space="0"/>
            </w:tcBorders>
            <w:vAlign w:val="center"/>
          </w:tcPr>
          <w:p w14:paraId="3F2AE5BB">
            <w:pPr>
              <w:snapToGrid w:val="0"/>
              <w:spacing w:before="50"/>
              <w:jc w:val="center"/>
              <w:rPr>
                <w:rFonts w:ascii="宋体" w:hAnsi="宋体"/>
                <w:color w:val="auto"/>
                <w:sz w:val="24"/>
              </w:rPr>
            </w:pPr>
            <w:r>
              <w:rPr>
                <w:rFonts w:hint="eastAsia" w:ascii="宋体" w:hAnsi="宋体"/>
                <w:color w:val="auto"/>
                <w:sz w:val="24"/>
              </w:rPr>
              <w:t>（二）付款方式及条件</w:t>
            </w:r>
          </w:p>
        </w:tc>
        <w:tc>
          <w:tcPr>
            <w:tcW w:w="4219" w:type="pct"/>
            <w:tcBorders>
              <w:top w:val="single" w:color="auto" w:sz="4" w:space="0"/>
              <w:left w:val="single" w:color="auto" w:sz="4" w:space="0"/>
              <w:bottom w:val="single" w:color="auto" w:sz="4" w:space="0"/>
              <w:right w:val="single" w:color="auto" w:sz="4" w:space="0"/>
            </w:tcBorders>
            <w:vAlign w:val="center"/>
          </w:tcPr>
          <w:p w14:paraId="78A9BBB4">
            <w:pPr>
              <w:snapToGrid w:val="0"/>
              <w:spacing w:before="50"/>
              <w:jc w:val="center"/>
              <w:rPr>
                <w:rFonts w:ascii="宋体" w:hAnsi="宋体"/>
                <w:color w:val="auto"/>
                <w:sz w:val="24"/>
              </w:rPr>
            </w:pPr>
          </w:p>
        </w:tc>
      </w:tr>
      <w:tr w14:paraId="38FC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0" w:type="pct"/>
            <w:tcBorders>
              <w:top w:val="single" w:color="auto" w:sz="4" w:space="0"/>
              <w:left w:val="single" w:color="auto" w:sz="4" w:space="0"/>
              <w:bottom w:val="single" w:color="auto" w:sz="4" w:space="0"/>
              <w:right w:val="single" w:color="auto" w:sz="4" w:space="0"/>
            </w:tcBorders>
            <w:vAlign w:val="center"/>
          </w:tcPr>
          <w:p w14:paraId="522747CE">
            <w:pPr>
              <w:snapToGrid w:val="0"/>
              <w:spacing w:before="50"/>
              <w:jc w:val="center"/>
              <w:rPr>
                <w:rFonts w:ascii="宋体" w:hAnsi="宋体"/>
                <w:color w:val="auto"/>
                <w:sz w:val="24"/>
              </w:rPr>
            </w:pPr>
            <w:r>
              <w:rPr>
                <w:rFonts w:hint="eastAsia" w:ascii="宋体" w:hAnsi="宋体"/>
                <w:color w:val="auto"/>
                <w:sz w:val="24"/>
              </w:rPr>
              <w:t>（三）合同签订时间</w:t>
            </w:r>
          </w:p>
        </w:tc>
        <w:tc>
          <w:tcPr>
            <w:tcW w:w="4219" w:type="pct"/>
            <w:tcBorders>
              <w:top w:val="single" w:color="auto" w:sz="4" w:space="0"/>
              <w:left w:val="single" w:color="auto" w:sz="4" w:space="0"/>
              <w:bottom w:val="single" w:color="auto" w:sz="4" w:space="0"/>
              <w:right w:val="single" w:color="auto" w:sz="4" w:space="0"/>
            </w:tcBorders>
            <w:vAlign w:val="center"/>
          </w:tcPr>
          <w:p w14:paraId="0BD59B06">
            <w:pPr>
              <w:snapToGrid w:val="0"/>
              <w:spacing w:before="50"/>
              <w:jc w:val="center"/>
              <w:rPr>
                <w:rFonts w:ascii="宋体" w:hAnsi="宋体"/>
                <w:color w:val="auto"/>
                <w:sz w:val="24"/>
              </w:rPr>
            </w:pPr>
          </w:p>
        </w:tc>
      </w:tr>
      <w:tr w14:paraId="314D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0" w:type="pct"/>
            <w:tcBorders>
              <w:top w:val="single" w:color="auto" w:sz="4" w:space="0"/>
              <w:left w:val="single" w:color="auto" w:sz="4" w:space="0"/>
              <w:bottom w:val="single" w:color="auto" w:sz="4" w:space="0"/>
              <w:right w:val="single" w:color="auto" w:sz="4" w:space="0"/>
            </w:tcBorders>
            <w:vAlign w:val="center"/>
          </w:tcPr>
          <w:p w14:paraId="0C966935">
            <w:pPr>
              <w:snapToGrid w:val="0"/>
              <w:spacing w:before="50"/>
              <w:jc w:val="center"/>
              <w:rPr>
                <w:rFonts w:ascii="宋体" w:hAnsi="宋体"/>
                <w:color w:val="auto"/>
                <w:sz w:val="24"/>
              </w:rPr>
            </w:pPr>
            <w:r>
              <w:rPr>
                <w:rFonts w:hint="eastAsia" w:ascii="宋体" w:hAnsi="宋体"/>
                <w:color w:val="auto"/>
                <w:sz w:val="24"/>
              </w:rPr>
              <w:t>（</w:t>
            </w:r>
            <w:r>
              <w:rPr>
                <w:rFonts w:hint="eastAsia" w:ascii="宋体" w:hAnsi="宋体"/>
                <w:color w:val="auto"/>
                <w:sz w:val="24"/>
                <w:lang w:eastAsia="zh-CN"/>
              </w:rPr>
              <w:t>四</w:t>
            </w:r>
            <w:r>
              <w:rPr>
                <w:rFonts w:hint="eastAsia" w:ascii="宋体" w:hAnsi="宋体"/>
                <w:color w:val="auto"/>
                <w:sz w:val="24"/>
              </w:rPr>
              <w:t>）付款方式</w:t>
            </w:r>
          </w:p>
        </w:tc>
        <w:tc>
          <w:tcPr>
            <w:tcW w:w="4219" w:type="pct"/>
            <w:tcBorders>
              <w:top w:val="single" w:color="auto" w:sz="4" w:space="0"/>
              <w:left w:val="single" w:color="auto" w:sz="4" w:space="0"/>
              <w:bottom w:val="single" w:color="auto" w:sz="4" w:space="0"/>
              <w:right w:val="single" w:color="auto" w:sz="4" w:space="0"/>
            </w:tcBorders>
            <w:vAlign w:val="center"/>
          </w:tcPr>
          <w:p w14:paraId="2DAFD843">
            <w:pPr>
              <w:snapToGrid w:val="0"/>
              <w:spacing w:before="50"/>
              <w:jc w:val="center"/>
              <w:rPr>
                <w:rFonts w:ascii="宋体" w:hAnsi="宋体"/>
                <w:color w:val="auto"/>
                <w:sz w:val="24"/>
              </w:rPr>
            </w:pPr>
          </w:p>
        </w:tc>
      </w:tr>
      <w:tr w14:paraId="7E36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0" w:type="pct"/>
            <w:tcBorders>
              <w:top w:val="single" w:color="auto" w:sz="4" w:space="0"/>
              <w:left w:val="single" w:color="auto" w:sz="4" w:space="0"/>
              <w:bottom w:val="single" w:color="auto" w:sz="4" w:space="0"/>
              <w:right w:val="single" w:color="auto" w:sz="4" w:space="0"/>
            </w:tcBorders>
            <w:vAlign w:val="center"/>
          </w:tcPr>
          <w:p w14:paraId="3B17F39E">
            <w:pPr>
              <w:snapToGrid w:val="0"/>
              <w:spacing w:before="50"/>
              <w:jc w:val="center"/>
              <w:rPr>
                <w:rFonts w:ascii="宋体" w:hAnsi="宋体"/>
                <w:color w:val="auto"/>
                <w:sz w:val="24"/>
              </w:rPr>
            </w:pPr>
            <w:r>
              <w:rPr>
                <w:rFonts w:hint="eastAsia" w:ascii="宋体" w:hAnsi="宋体"/>
                <w:color w:val="auto"/>
                <w:sz w:val="24"/>
              </w:rPr>
              <w:t>（</w:t>
            </w:r>
            <w:r>
              <w:rPr>
                <w:rFonts w:hint="eastAsia" w:ascii="宋体" w:hAnsi="宋体"/>
                <w:color w:val="auto"/>
                <w:sz w:val="24"/>
                <w:lang w:eastAsia="zh-CN"/>
              </w:rPr>
              <w:t>五</w:t>
            </w:r>
            <w:r>
              <w:rPr>
                <w:rFonts w:hint="eastAsia" w:ascii="宋体" w:hAnsi="宋体"/>
                <w:color w:val="auto"/>
                <w:sz w:val="24"/>
              </w:rPr>
              <w:t>）保险</w:t>
            </w:r>
          </w:p>
        </w:tc>
        <w:tc>
          <w:tcPr>
            <w:tcW w:w="4219" w:type="pct"/>
            <w:tcBorders>
              <w:top w:val="single" w:color="auto" w:sz="4" w:space="0"/>
              <w:left w:val="single" w:color="auto" w:sz="4" w:space="0"/>
              <w:bottom w:val="single" w:color="auto" w:sz="4" w:space="0"/>
              <w:right w:val="single" w:color="auto" w:sz="4" w:space="0"/>
            </w:tcBorders>
            <w:vAlign w:val="center"/>
          </w:tcPr>
          <w:p w14:paraId="1808EECD">
            <w:pPr>
              <w:snapToGrid w:val="0"/>
              <w:spacing w:before="50"/>
              <w:jc w:val="center"/>
              <w:rPr>
                <w:rFonts w:ascii="宋体" w:hAnsi="宋体"/>
                <w:color w:val="auto"/>
                <w:sz w:val="24"/>
              </w:rPr>
            </w:pPr>
          </w:p>
        </w:tc>
      </w:tr>
      <w:tr w14:paraId="40EB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0" w:type="pct"/>
            <w:tcBorders>
              <w:top w:val="single" w:color="auto" w:sz="4" w:space="0"/>
              <w:left w:val="single" w:color="auto" w:sz="4" w:space="0"/>
              <w:bottom w:val="single" w:color="auto" w:sz="4" w:space="0"/>
              <w:right w:val="single" w:color="auto" w:sz="4" w:space="0"/>
            </w:tcBorders>
            <w:vAlign w:val="center"/>
          </w:tcPr>
          <w:p w14:paraId="3C5E7381">
            <w:pPr>
              <w:snapToGrid w:val="0"/>
              <w:spacing w:before="50"/>
              <w:jc w:val="center"/>
              <w:rPr>
                <w:rFonts w:ascii="宋体" w:hAnsi="宋体"/>
                <w:color w:val="auto"/>
                <w:sz w:val="24"/>
              </w:rPr>
            </w:pPr>
            <w:r>
              <w:rPr>
                <w:rFonts w:hint="eastAsia" w:ascii="宋体" w:hAnsi="宋体"/>
                <w:color w:val="auto"/>
                <w:sz w:val="24"/>
              </w:rPr>
              <w:t>（</w:t>
            </w:r>
            <w:r>
              <w:rPr>
                <w:rFonts w:hint="eastAsia" w:ascii="宋体" w:hAnsi="宋体"/>
                <w:color w:val="auto"/>
                <w:sz w:val="24"/>
                <w:lang w:eastAsia="zh-CN"/>
              </w:rPr>
              <w:t>六</w:t>
            </w:r>
            <w:r>
              <w:rPr>
                <w:rFonts w:hint="eastAsia" w:ascii="宋体" w:hAnsi="宋体"/>
                <w:color w:val="auto"/>
                <w:sz w:val="24"/>
              </w:rPr>
              <w:t>）验收标准</w:t>
            </w:r>
          </w:p>
        </w:tc>
        <w:tc>
          <w:tcPr>
            <w:tcW w:w="4219" w:type="pct"/>
            <w:tcBorders>
              <w:top w:val="single" w:color="auto" w:sz="4" w:space="0"/>
              <w:left w:val="single" w:color="auto" w:sz="4" w:space="0"/>
              <w:bottom w:val="single" w:color="auto" w:sz="4" w:space="0"/>
              <w:right w:val="single" w:color="auto" w:sz="4" w:space="0"/>
            </w:tcBorders>
            <w:vAlign w:val="center"/>
          </w:tcPr>
          <w:p w14:paraId="6DCEF103">
            <w:pPr>
              <w:snapToGrid w:val="0"/>
              <w:spacing w:before="50"/>
              <w:jc w:val="center"/>
              <w:rPr>
                <w:rFonts w:ascii="宋体" w:hAnsi="宋体"/>
                <w:color w:val="auto"/>
                <w:sz w:val="24"/>
              </w:rPr>
            </w:pPr>
          </w:p>
        </w:tc>
      </w:tr>
    </w:tbl>
    <w:p w14:paraId="71FA4308">
      <w:pPr>
        <w:pStyle w:val="13"/>
        <w:spacing w:after="0" w:line="360" w:lineRule="auto"/>
        <w:contextualSpacing/>
        <w:rPr>
          <w:rFonts w:ascii="宋体" w:hAnsi="宋体"/>
          <w:color w:val="auto"/>
          <w:kern w:val="0"/>
          <w:sz w:val="24"/>
          <w:szCs w:val="24"/>
        </w:rPr>
      </w:pPr>
    </w:p>
    <w:p w14:paraId="0A5316A9">
      <w:pPr>
        <w:pStyle w:val="13"/>
        <w:spacing w:after="0" w:line="360" w:lineRule="auto"/>
        <w:contextualSpacing/>
        <w:rPr>
          <w:rFonts w:ascii="宋体" w:hAnsi="宋体"/>
          <w:color w:val="auto"/>
          <w:kern w:val="0"/>
          <w:sz w:val="24"/>
          <w:szCs w:val="24"/>
        </w:rPr>
      </w:pPr>
      <w:r>
        <w:rPr>
          <w:rFonts w:hint="eastAsia" w:ascii="宋体" w:hAnsi="宋体"/>
          <w:color w:val="auto"/>
          <w:kern w:val="0"/>
          <w:sz w:val="24"/>
          <w:szCs w:val="24"/>
        </w:rPr>
        <w:t>注：应对照磋商文件“第三章 采购需求”中的商务要求逐条作出明确响应。</w:t>
      </w:r>
    </w:p>
    <w:p w14:paraId="45A15B96">
      <w:pPr>
        <w:spacing w:line="360" w:lineRule="auto"/>
        <w:ind w:right="-817" w:rightChars="-389"/>
        <w:contextualSpacing/>
        <w:rPr>
          <w:rFonts w:ascii="宋体" w:hAnsi="宋体" w:cs="仿宋_GB2312"/>
          <w:color w:val="auto"/>
          <w:sz w:val="24"/>
        </w:rPr>
      </w:pPr>
    </w:p>
    <w:p w14:paraId="11894FBC">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法定代表人或者委托代理人签字（或者电子签名）：</w:t>
      </w:r>
    </w:p>
    <w:p w14:paraId="2273C0F8">
      <w:pPr>
        <w:spacing w:line="360" w:lineRule="auto"/>
        <w:ind w:right="-817" w:rightChars="-389" w:firstLine="2880" w:firstLineChars="1200"/>
        <w:contextualSpacing/>
        <w:rPr>
          <w:rFonts w:ascii="宋体" w:hAnsi="宋体" w:cs="仿宋_GB2312"/>
          <w:color w:val="auto"/>
          <w:sz w:val="24"/>
        </w:rPr>
      </w:pPr>
      <w:r>
        <w:rPr>
          <w:rFonts w:hint="eastAsia" w:ascii="宋体" w:hAnsi="宋体" w:cs="仿宋_GB2312"/>
          <w:color w:val="auto"/>
          <w:sz w:val="24"/>
        </w:rPr>
        <w:t xml:space="preserve">供应商电子签章：      </w:t>
      </w:r>
    </w:p>
    <w:p w14:paraId="6B5779E8">
      <w:pPr>
        <w:spacing w:line="360" w:lineRule="auto"/>
        <w:ind w:right="-817" w:rightChars="-389" w:firstLine="4080" w:firstLineChars="1700"/>
        <w:contextualSpacing/>
        <w:rPr>
          <w:rFonts w:ascii="仿宋_GB2312" w:hAnsi="仿宋_GB2312" w:eastAsia="仿宋_GB2312" w:cs="仿宋_GB2312"/>
          <w:b/>
          <w:color w:val="auto"/>
          <w:sz w:val="32"/>
          <w:szCs w:val="32"/>
        </w:rPr>
      </w:pPr>
      <w:r>
        <w:rPr>
          <w:rFonts w:hint="eastAsia" w:ascii="宋体" w:hAnsi="宋体" w:cs="仿宋_GB2312"/>
          <w:color w:val="auto"/>
          <w:sz w:val="24"/>
        </w:rPr>
        <w:t>日期：   年   月   日</w:t>
      </w:r>
    </w:p>
    <w:p w14:paraId="3E087867">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rPr>
      </w:pPr>
    </w:p>
    <w:p w14:paraId="36033886">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rPr>
      </w:pPr>
    </w:p>
    <w:p w14:paraId="5776A234">
      <w:pPr>
        <w:spacing w:line="500" w:lineRule="exact"/>
        <w:jc w:val="center"/>
        <w:rPr>
          <w:rFonts w:ascii="方正小标宋简体" w:hAnsi="方正小标宋简体" w:eastAsia="方正小标宋简体" w:cs="方正小标宋简体"/>
          <w:bCs/>
          <w:color w:val="auto"/>
          <w:sz w:val="44"/>
          <w:szCs w:val="44"/>
        </w:rPr>
      </w:pPr>
      <w:r>
        <w:rPr>
          <w:rFonts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技术（服务）要求响应表格式</w:t>
      </w:r>
    </w:p>
    <w:p w14:paraId="2F0B3AB3">
      <w:pPr>
        <w:spacing w:line="500" w:lineRule="exact"/>
        <w:rPr>
          <w:rFonts w:ascii="宋体" w:hAnsi="宋体"/>
          <w:color w:val="auto"/>
          <w:sz w:val="32"/>
          <w:szCs w:val="32"/>
          <w:u w:val="single"/>
        </w:rPr>
      </w:pPr>
    </w:p>
    <w:p w14:paraId="49C01CC9">
      <w:pPr>
        <w:spacing w:line="500" w:lineRule="exact"/>
        <w:rPr>
          <w:rFonts w:ascii="宋体" w:hAnsi="宋体"/>
          <w:color w:val="auto"/>
          <w:sz w:val="24"/>
        </w:rPr>
      </w:pPr>
      <w:r>
        <w:rPr>
          <w:rFonts w:hint="eastAsia" w:ascii="宋体" w:hAnsi="宋体"/>
          <w:color w:val="auto"/>
          <w:sz w:val="32"/>
          <w:szCs w:val="32"/>
        </w:rPr>
        <w:t xml:space="preserve"> </w:t>
      </w:r>
    </w:p>
    <w:tbl>
      <w:tblPr>
        <w:tblStyle w:val="28"/>
        <w:tblpPr w:leftFromText="180" w:rightFromText="180" w:vertAnchor="text" w:horzAnchor="margin" w:tblpY="-9"/>
        <w:tblOverlap w:val="never"/>
        <w:tblW w:w="93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1"/>
        <w:gridCol w:w="2837"/>
        <w:gridCol w:w="1519"/>
        <w:gridCol w:w="2925"/>
      </w:tblGrid>
      <w:tr w14:paraId="39B9A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2091" w:type="dxa"/>
            <w:tcBorders>
              <w:top w:val="single" w:color="auto" w:sz="4" w:space="0"/>
              <w:left w:val="single" w:color="auto" w:sz="4" w:space="0"/>
              <w:bottom w:val="single" w:color="auto" w:sz="4" w:space="0"/>
              <w:right w:val="single" w:color="auto" w:sz="4" w:space="0"/>
            </w:tcBorders>
            <w:vAlign w:val="center"/>
          </w:tcPr>
          <w:p w14:paraId="6A14F89A">
            <w:pPr>
              <w:snapToGrid w:val="0"/>
              <w:spacing w:line="400" w:lineRule="exact"/>
              <w:jc w:val="center"/>
              <w:rPr>
                <w:rFonts w:ascii="宋体" w:hAnsi="宋体" w:cs="宋体"/>
                <w:color w:val="auto"/>
                <w:sz w:val="24"/>
              </w:rPr>
            </w:pPr>
            <w:r>
              <w:rPr>
                <w:rFonts w:hint="eastAsia" w:ascii="宋体" w:hAnsi="宋体" w:cs="宋体"/>
                <w:color w:val="auto"/>
                <w:sz w:val="24"/>
              </w:rPr>
              <w:t>项号</w:t>
            </w:r>
          </w:p>
          <w:p w14:paraId="1D3C994A">
            <w:pPr>
              <w:snapToGrid w:val="0"/>
              <w:spacing w:line="400" w:lineRule="exact"/>
              <w:jc w:val="center"/>
              <w:rPr>
                <w:rFonts w:ascii="宋体" w:hAnsi="宋体" w:cs="宋体"/>
                <w:color w:val="auto"/>
                <w:sz w:val="24"/>
              </w:rPr>
            </w:pPr>
            <w:r>
              <w:rPr>
                <w:rFonts w:hint="eastAsia" w:ascii="宋体" w:hAnsi="宋体" w:cs="宋体"/>
                <w:color w:val="auto"/>
                <w:sz w:val="24"/>
              </w:rPr>
              <w:t>标的名称</w:t>
            </w:r>
          </w:p>
        </w:tc>
        <w:tc>
          <w:tcPr>
            <w:tcW w:w="2837" w:type="dxa"/>
            <w:tcBorders>
              <w:top w:val="single" w:color="auto" w:sz="4" w:space="0"/>
              <w:left w:val="single" w:color="auto" w:sz="4" w:space="0"/>
              <w:bottom w:val="single" w:color="auto" w:sz="4" w:space="0"/>
              <w:right w:val="single" w:color="auto" w:sz="4" w:space="0"/>
            </w:tcBorders>
            <w:vAlign w:val="center"/>
          </w:tcPr>
          <w:p w14:paraId="0824C84C">
            <w:pPr>
              <w:snapToGrid w:val="0"/>
              <w:spacing w:line="400" w:lineRule="exact"/>
              <w:jc w:val="center"/>
              <w:rPr>
                <w:rFonts w:ascii="宋体" w:hAnsi="宋体" w:cs="宋体"/>
                <w:color w:val="auto"/>
                <w:sz w:val="24"/>
              </w:rPr>
            </w:pPr>
            <w:r>
              <w:rPr>
                <w:rFonts w:hint="eastAsia" w:ascii="宋体" w:hAnsi="宋体" w:cs="宋体"/>
                <w:color w:val="auto"/>
                <w:sz w:val="24"/>
              </w:rPr>
              <w:t>竞争性磋商文件的“技术（服务）要求”</w:t>
            </w:r>
          </w:p>
        </w:tc>
        <w:tc>
          <w:tcPr>
            <w:tcW w:w="1519" w:type="dxa"/>
            <w:tcBorders>
              <w:top w:val="single" w:color="auto" w:sz="4" w:space="0"/>
              <w:left w:val="single" w:color="auto" w:sz="4" w:space="0"/>
              <w:bottom w:val="single" w:color="auto" w:sz="4" w:space="0"/>
              <w:right w:val="single" w:color="auto" w:sz="4" w:space="0"/>
            </w:tcBorders>
            <w:vAlign w:val="center"/>
          </w:tcPr>
          <w:p w14:paraId="048829AA">
            <w:pPr>
              <w:snapToGrid w:val="0"/>
              <w:spacing w:line="400" w:lineRule="exact"/>
              <w:jc w:val="center"/>
              <w:rPr>
                <w:rFonts w:ascii="宋体" w:hAnsi="宋体" w:cs="宋体"/>
                <w:color w:val="auto"/>
                <w:sz w:val="24"/>
              </w:rPr>
            </w:pPr>
            <w:r>
              <w:rPr>
                <w:rFonts w:hint="eastAsia" w:ascii="宋体" w:hAnsi="宋体" w:cs="宋体"/>
                <w:color w:val="auto"/>
                <w:sz w:val="24"/>
              </w:rPr>
              <w:t>是否偏离</w:t>
            </w:r>
          </w:p>
        </w:tc>
        <w:tc>
          <w:tcPr>
            <w:tcW w:w="2925" w:type="dxa"/>
            <w:tcBorders>
              <w:top w:val="single" w:color="auto" w:sz="4" w:space="0"/>
              <w:left w:val="single" w:color="auto" w:sz="4" w:space="0"/>
              <w:bottom w:val="single" w:color="auto" w:sz="4" w:space="0"/>
              <w:right w:val="single" w:color="auto" w:sz="4" w:space="0"/>
            </w:tcBorders>
            <w:vAlign w:val="center"/>
          </w:tcPr>
          <w:p w14:paraId="38F58C0A">
            <w:pPr>
              <w:snapToGrid w:val="0"/>
              <w:spacing w:line="400" w:lineRule="exact"/>
              <w:jc w:val="center"/>
              <w:rPr>
                <w:rFonts w:ascii="宋体" w:hAnsi="宋体" w:cs="宋体"/>
                <w:color w:val="auto"/>
                <w:sz w:val="24"/>
              </w:rPr>
            </w:pPr>
            <w:r>
              <w:rPr>
                <w:rFonts w:hint="eastAsia" w:ascii="宋体" w:hAnsi="宋体" w:cs="宋体"/>
                <w:color w:val="auto"/>
                <w:sz w:val="24"/>
              </w:rPr>
              <w:t>供应商对应“技术（服务）要求”的详细承诺或响应</w:t>
            </w:r>
          </w:p>
        </w:tc>
      </w:tr>
      <w:tr w14:paraId="035E8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0" w:hRule="atLeast"/>
        </w:trPr>
        <w:tc>
          <w:tcPr>
            <w:tcW w:w="2091" w:type="dxa"/>
            <w:tcBorders>
              <w:top w:val="single" w:color="auto" w:sz="4" w:space="0"/>
              <w:left w:val="single" w:color="auto" w:sz="4" w:space="0"/>
              <w:bottom w:val="single" w:color="auto" w:sz="4" w:space="0"/>
              <w:right w:val="single" w:color="auto" w:sz="4" w:space="0"/>
            </w:tcBorders>
            <w:vAlign w:val="center"/>
          </w:tcPr>
          <w:p w14:paraId="246F59F5">
            <w:pPr>
              <w:snapToGrid w:val="0"/>
              <w:spacing w:line="400" w:lineRule="exact"/>
              <w:jc w:val="center"/>
              <w:rPr>
                <w:rFonts w:ascii="宋体" w:hAnsi="宋体" w:cs="宋体"/>
                <w:color w:val="auto"/>
                <w:sz w:val="32"/>
                <w:szCs w:val="32"/>
              </w:rPr>
            </w:pPr>
          </w:p>
        </w:tc>
        <w:tc>
          <w:tcPr>
            <w:tcW w:w="2837" w:type="dxa"/>
            <w:tcBorders>
              <w:top w:val="single" w:color="auto" w:sz="4" w:space="0"/>
              <w:left w:val="single" w:color="auto" w:sz="4" w:space="0"/>
              <w:bottom w:val="single" w:color="auto" w:sz="4" w:space="0"/>
              <w:right w:val="single" w:color="auto" w:sz="4" w:space="0"/>
            </w:tcBorders>
            <w:vAlign w:val="center"/>
          </w:tcPr>
          <w:p w14:paraId="6E621A7C">
            <w:pPr>
              <w:snapToGrid w:val="0"/>
              <w:spacing w:line="400" w:lineRule="exact"/>
              <w:jc w:val="center"/>
              <w:rPr>
                <w:rFonts w:ascii="宋体" w:hAnsi="宋体" w:cs="宋体"/>
                <w:color w:val="auto"/>
                <w:sz w:val="32"/>
                <w:szCs w:val="32"/>
              </w:rPr>
            </w:pPr>
          </w:p>
        </w:tc>
        <w:tc>
          <w:tcPr>
            <w:tcW w:w="1519" w:type="dxa"/>
            <w:tcBorders>
              <w:top w:val="single" w:color="auto" w:sz="4" w:space="0"/>
              <w:left w:val="single" w:color="auto" w:sz="4" w:space="0"/>
              <w:bottom w:val="single" w:color="auto" w:sz="4" w:space="0"/>
              <w:right w:val="single" w:color="auto" w:sz="4" w:space="0"/>
            </w:tcBorders>
            <w:vAlign w:val="center"/>
          </w:tcPr>
          <w:p w14:paraId="0E28A4CC">
            <w:pPr>
              <w:snapToGrid w:val="0"/>
              <w:spacing w:line="400" w:lineRule="exact"/>
              <w:ind w:left="43"/>
              <w:jc w:val="center"/>
              <w:rPr>
                <w:rFonts w:ascii="宋体" w:hAnsi="宋体" w:cs="宋体"/>
                <w:color w:val="auto"/>
                <w:sz w:val="32"/>
                <w:szCs w:val="32"/>
              </w:rPr>
            </w:pPr>
          </w:p>
        </w:tc>
        <w:tc>
          <w:tcPr>
            <w:tcW w:w="2925" w:type="dxa"/>
            <w:tcBorders>
              <w:top w:val="single" w:color="auto" w:sz="4" w:space="0"/>
              <w:left w:val="single" w:color="auto" w:sz="4" w:space="0"/>
              <w:bottom w:val="single" w:color="auto" w:sz="4" w:space="0"/>
              <w:right w:val="single" w:color="auto" w:sz="4" w:space="0"/>
            </w:tcBorders>
            <w:vAlign w:val="center"/>
          </w:tcPr>
          <w:p w14:paraId="4A927453">
            <w:pPr>
              <w:snapToGrid w:val="0"/>
              <w:spacing w:line="400" w:lineRule="exact"/>
              <w:ind w:left="43"/>
              <w:jc w:val="center"/>
              <w:rPr>
                <w:rFonts w:ascii="宋体" w:hAnsi="宋体" w:cs="宋体"/>
                <w:color w:val="auto"/>
                <w:sz w:val="32"/>
                <w:szCs w:val="32"/>
              </w:rPr>
            </w:pPr>
          </w:p>
        </w:tc>
      </w:tr>
    </w:tbl>
    <w:p w14:paraId="626766F8">
      <w:pPr>
        <w:spacing w:line="360" w:lineRule="auto"/>
        <w:contextualSpacing/>
        <w:rPr>
          <w:rFonts w:ascii="宋体" w:hAnsi="宋体"/>
          <w:color w:val="auto"/>
          <w:kern w:val="0"/>
          <w:sz w:val="24"/>
        </w:rPr>
      </w:pPr>
      <w:r>
        <w:rPr>
          <w:rFonts w:hint="eastAsia" w:ascii="宋体" w:hAnsi="宋体"/>
          <w:color w:val="auto"/>
          <w:kern w:val="0"/>
          <w:sz w:val="24"/>
        </w:rPr>
        <w:t>注：</w:t>
      </w:r>
    </w:p>
    <w:p w14:paraId="0E48CB5A">
      <w:pPr>
        <w:spacing w:line="360" w:lineRule="auto"/>
        <w:contextualSpacing/>
        <w:rPr>
          <w:rFonts w:ascii="宋体" w:hAnsi="宋体"/>
          <w:color w:val="auto"/>
          <w:kern w:val="0"/>
          <w:sz w:val="24"/>
        </w:rPr>
      </w:pPr>
      <w:r>
        <w:rPr>
          <w:rFonts w:hint="eastAsia" w:ascii="宋体" w:hAnsi="宋体"/>
          <w:color w:val="auto"/>
          <w:kern w:val="0"/>
          <w:sz w:val="24"/>
        </w:rPr>
        <w:t>1.说明：供应商应对照磋商文件“第三章 采购需求”中“技术（服务）要求”逐条作出明确响应，并作出偏离说明。</w:t>
      </w:r>
    </w:p>
    <w:p w14:paraId="2A66E49C">
      <w:pPr>
        <w:spacing w:line="360" w:lineRule="auto"/>
        <w:contextualSpacing/>
        <w:jc w:val="left"/>
        <w:rPr>
          <w:rFonts w:ascii="宋体" w:hAnsi="宋体" w:cs="仿宋_GB2312"/>
          <w:color w:val="auto"/>
          <w:sz w:val="24"/>
          <w:u w:val="single"/>
        </w:rPr>
      </w:pPr>
      <w:r>
        <w:rPr>
          <w:rFonts w:hint="eastAsia" w:ascii="宋体" w:hAnsi="宋体"/>
          <w:color w:val="auto"/>
          <w:kern w:val="0"/>
          <w:sz w:val="24"/>
        </w:rPr>
        <w:t>2.供应商应根据自身的承诺，对照磋商文件要求在“偏离说明”中注明“正偏离”、“负偏离”或者“无偏离”。既不属于“正偏离”也不属于“负偏离”即为“无偏离”。</w:t>
      </w:r>
    </w:p>
    <w:p w14:paraId="5F60BEB6">
      <w:pPr>
        <w:spacing w:line="360" w:lineRule="auto"/>
        <w:ind w:right="-817" w:rightChars="-389"/>
        <w:contextualSpacing/>
        <w:rPr>
          <w:rFonts w:ascii="宋体" w:hAnsi="宋体" w:cs="仿宋_GB2312"/>
          <w:color w:val="auto"/>
          <w:sz w:val="24"/>
        </w:rPr>
      </w:pPr>
      <w:r>
        <w:rPr>
          <w:rFonts w:hint="eastAsia" w:ascii="宋体" w:hAnsi="宋体" w:cs="仿宋_GB2312"/>
          <w:color w:val="auto"/>
          <w:sz w:val="24"/>
        </w:rPr>
        <w:t>3.供应商认为其竞标响应有正偏离的，请在技术（服务）要求响应表中列明，且在响应文件中提供相应证明材料作为佐证。</w:t>
      </w:r>
    </w:p>
    <w:p w14:paraId="1C274284">
      <w:pPr>
        <w:spacing w:line="360" w:lineRule="auto"/>
        <w:ind w:right="-817" w:rightChars="-389"/>
        <w:contextualSpacing/>
        <w:jc w:val="center"/>
        <w:rPr>
          <w:rFonts w:ascii="宋体" w:hAnsi="宋体" w:cs="仿宋_GB2312"/>
          <w:color w:val="auto"/>
          <w:sz w:val="24"/>
        </w:rPr>
      </w:pPr>
    </w:p>
    <w:p w14:paraId="54D3D43C">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法定代表人或者委托代理人（签字或者电子签名）：</w:t>
      </w:r>
    </w:p>
    <w:p w14:paraId="16F3ECF8">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14:paraId="255BFF47">
      <w:pPr>
        <w:adjustRightInd w:val="0"/>
        <w:snapToGrid w:val="0"/>
        <w:spacing w:line="300" w:lineRule="auto"/>
        <w:jc w:val="center"/>
        <w:rPr>
          <w:rFonts w:ascii="宋体" w:hAnsi="宋体" w:cs="仿宋_GB2312"/>
          <w:color w:val="auto"/>
          <w:sz w:val="24"/>
        </w:rPr>
      </w:pPr>
      <w:r>
        <w:rPr>
          <w:rFonts w:hint="eastAsia" w:ascii="宋体" w:hAnsi="宋体" w:cs="仿宋_GB2312"/>
          <w:color w:val="auto"/>
          <w:sz w:val="24"/>
        </w:rPr>
        <w:t>日期：   年   月   日</w:t>
      </w:r>
    </w:p>
    <w:p w14:paraId="3C57CA46">
      <w:pPr>
        <w:spacing w:line="500" w:lineRule="exact"/>
        <w:jc w:val="center"/>
        <w:rPr>
          <w:rFonts w:ascii="宋体" w:hAnsi="宋体"/>
          <w:b/>
          <w:bCs/>
          <w:color w:val="auto"/>
          <w:sz w:val="24"/>
        </w:rPr>
      </w:pPr>
      <w:r>
        <w:rPr>
          <w:rFonts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项目实施方案</w:t>
      </w:r>
    </w:p>
    <w:p w14:paraId="69CD1931">
      <w:pPr>
        <w:spacing w:line="360" w:lineRule="auto"/>
        <w:contextualSpacing/>
        <w:jc w:val="left"/>
        <w:rPr>
          <w:rFonts w:ascii="宋体" w:hAnsi="宋体"/>
          <w:b/>
          <w:bCs/>
          <w:color w:val="auto"/>
          <w:sz w:val="24"/>
        </w:rPr>
      </w:pPr>
    </w:p>
    <w:p w14:paraId="1081A0EA">
      <w:pPr>
        <w:spacing w:line="360" w:lineRule="auto"/>
        <w:contextualSpacing/>
        <w:jc w:val="left"/>
        <w:rPr>
          <w:rFonts w:ascii="宋体" w:hAnsi="宋体"/>
          <w:b/>
          <w:bCs/>
          <w:color w:val="auto"/>
          <w:sz w:val="24"/>
        </w:rPr>
      </w:pPr>
    </w:p>
    <w:p w14:paraId="12A493DB">
      <w:pPr>
        <w:spacing w:line="360" w:lineRule="auto"/>
        <w:contextualSpacing/>
        <w:jc w:val="left"/>
        <w:rPr>
          <w:rFonts w:ascii="宋体" w:hAnsi="宋体"/>
          <w:b/>
          <w:bCs/>
          <w:color w:val="auto"/>
          <w:sz w:val="24"/>
        </w:rPr>
      </w:pPr>
      <w:r>
        <w:rPr>
          <w:rFonts w:hint="eastAsia" w:ascii="宋体" w:hAnsi="宋体"/>
          <w:b/>
          <w:bCs/>
          <w:color w:val="auto"/>
          <w:sz w:val="24"/>
        </w:rPr>
        <w:t>一、维保实施方案</w:t>
      </w:r>
    </w:p>
    <w:p w14:paraId="0D83802E">
      <w:pPr>
        <w:spacing w:line="360" w:lineRule="auto"/>
        <w:contextualSpacing/>
        <w:jc w:val="left"/>
        <w:rPr>
          <w:rFonts w:ascii="宋体" w:hAnsi="宋体"/>
          <w:b/>
          <w:bCs/>
          <w:color w:val="auto"/>
          <w:sz w:val="24"/>
        </w:rPr>
      </w:pPr>
      <w:r>
        <w:rPr>
          <w:rFonts w:hint="eastAsia" w:ascii="宋体" w:hAnsi="宋体"/>
          <w:b/>
          <w:bCs/>
          <w:color w:val="auto"/>
          <w:sz w:val="24"/>
        </w:rPr>
        <w:t>……</w:t>
      </w:r>
    </w:p>
    <w:p w14:paraId="27919908">
      <w:pPr>
        <w:spacing w:line="360" w:lineRule="auto"/>
        <w:contextualSpacing/>
        <w:jc w:val="left"/>
        <w:rPr>
          <w:rFonts w:ascii="宋体" w:hAnsi="宋体"/>
          <w:b/>
          <w:bCs/>
          <w:color w:val="auto"/>
          <w:sz w:val="24"/>
        </w:rPr>
      </w:pPr>
      <w:r>
        <w:rPr>
          <w:rFonts w:hint="eastAsia" w:ascii="宋体" w:hAnsi="宋体"/>
          <w:b/>
          <w:bCs/>
          <w:color w:val="auto"/>
          <w:sz w:val="24"/>
        </w:rPr>
        <w:t>二、服务计划</w:t>
      </w:r>
    </w:p>
    <w:p w14:paraId="3E6B6DA4">
      <w:pPr>
        <w:spacing w:line="360" w:lineRule="auto"/>
        <w:contextualSpacing/>
        <w:jc w:val="left"/>
        <w:rPr>
          <w:rFonts w:ascii="宋体" w:hAnsi="宋体"/>
          <w:b/>
          <w:bCs/>
          <w:color w:val="auto"/>
          <w:sz w:val="24"/>
        </w:rPr>
      </w:pPr>
      <w:r>
        <w:rPr>
          <w:rFonts w:hint="eastAsia" w:ascii="宋体" w:hAnsi="宋体"/>
          <w:b/>
          <w:bCs/>
          <w:color w:val="auto"/>
          <w:sz w:val="24"/>
        </w:rPr>
        <w:t>……</w:t>
      </w:r>
    </w:p>
    <w:p w14:paraId="40929F5B">
      <w:pPr>
        <w:spacing w:line="360" w:lineRule="auto"/>
        <w:contextualSpacing/>
        <w:jc w:val="left"/>
        <w:rPr>
          <w:rFonts w:ascii="宋体" w:hAnsi="宋体"/>
          <w:b/>
          <w:bCs/>
          <w:color w:val="auto"/>
          <w:sz w:val="24"/>
        </w:rPr>
      </w:pPr>
      <w:r>
        <w:rPr>
          <w:rFonts w:hint="eastAsia" w:ascii="宋体" w:hAnsi="宋体"/>
          <w:b/>
          <w:bCs/>
          <w:color w:val="auto"/>
          <w:sz w:val="24"/>
        </w:rPr>
        <w:t>三、各项服务流程</w:t>
      </w:r>
    </w:p>
    <w:p w14:paraId="4AF949A6">
      <w:pPr>
        <w:spacing w:line="360" w:lineRule="auto"/>
        <w:contextualSpacing/>
        <w:jc w:val="left"/>
        <w:rPr>
          <w:rFonts w:ascii="宋体" w:hAnsi="宋体"/>
          <w:b/>
          <w:bCs/>
          <w:color w:val="auto"/>
          <w:sz w:val="24"/>
        </w:rPr>
      </w:pPr>
      <w:r>
        <w:rPr>
          <w:rFonts w:hint="eastAsia" w:ascii="宋体" w:hAnsi="宋体"/>
          <w:b/>
          <w:bCs/>
          <w:color w:val="auto"/>
          <w:sz w:val="24"/>
        </w:rPr>
        <w:t>……</w:t>
      </w:r>
    </w:p>
    <w:p w14:paraId="15C5A0A0">
      <w:pPr>
        <w:spacing w:line="360" w:lineRule="auto"/>
        <w:contextualSpacing/>
        <w:jc w:val="left"/>
        <w:rPr>
          <w:rFonts w:ascii="宋体" w:hAnsi="宋体"/>
          <w:b/>
          <w:bCs/>
          <w:color w:val="auto"/>
          <w:sz w:val="24"/>
        </w:rPr>
      </w:pPr>
      <w:r>
        <w:rPr>
          <w:rFonts w:hint="eastAsia" w:ascii="宋体" w:hAnsi="宋体"/>
          <w:b/>
          <w:bCs/>
          <w:color w:val="auto"/>
          <w:sz w:val="24"/>
        </w:rPr>
        <w:t>四、应急处理措施</w:t>
      </w:r>
    </w:p>
    <w:p w14:paraId="089ED878">
      <w:pPr>
        <w:spacing w:line="360" w:lineRule="auto"/>
        <w:contextualSpacing/>
        <w:jc w:val="left"/>
        <w:rPr>
          <w:rFonts w:ascii="宋体" w:hAnsi="宋体"/>
          <w:b/>
          <w:bCs/>
          <w:color w:val="auto"/>
          <w:sz w:val="24"/>
        </w:rPr>
      </w:pPr>
      <w:r>
        <w:rPr>
          <w:rFonts w:hint="eastAsia" w:ascii="宋体" w:hAnsi="宋体"/>
          <w:b/>
          <w:bCs/>
          <w:color w:val="auto"/>
          <w:sz w:val="24"/>
        </w:rPr>
        <w:t>……</w:t>
      </w:r>
    </w:p>
    <w:p w14:paraId="3B98EC22">
      <w:pPr>
        <w:spacing w:line="360" w:lineRule="auto"/>
        <w:contextualSpacing/>
        <w:jc w:val="left"/>
        <w:rPr>
          <w:rFonts w:ascii="宋体" w:hAnsi="宋体"/>
          <w:b/>
          <w:bCs/>
          <w:color w:val="auto"/>
          <w:sz w:val="24"/>
        </w:rPr>
      </w:pPr>
    </w:p>
    <w:p w14:paraId="01AE70AC">
      <w:pPr>
        <w:spacing w:line="360" w:lineRule="auto"/>
        <w:contextualSpacing/>
        <w:jc w:val="left"/>
        <w:rPr>
          <w:rFonts w:ascii="宋体" w:hAnsi="宋体"/>
          <w:b/>
          <w:bCs/>
          <w:color w:val="auto"/>
          <w:sz w:val="24"/>
        </w:rPr>
      </w:pPr>
    </w:p>
    <w:p w14:paraId="01DB578D">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法定代表人或者委托代理人签字（或者电子签名）：</w:t>
      </w:r>
    </w:p>
    <w:p w14:paraId="46EF3571">
      <w:pPr>
        <w:spacing w:line="360" w:lineRule="auto"/>
        <w:ind w:right="-817" w:rightChars="-389" w:firstLine="2880" w:firstLineChars="1200"/>
        <w:contextualSpacing/>
        <w:rPr>
          <w:rFonts w:ascii="宋体" w:hAnsi="宋体" w:cs="仿宋_GB2312"/>
          <w:color w:val="auto"/>
          <w:sz w:val="24"/>
        </w:rPr>
      </w:pPr>
      <w:r>
        <w:rPr>
          <w:rFonts w:hint="eastAsia" w:ascii="宋体" w:hAnsi="宋体" w:cs="宋体"/>
          <w:color w:val="auto"/>
          <w:sz w:val="24"/>
        </w:rPr>
        <w:t>供应商</w:t>
      </w:r>
      <w:r>
        <w:rPr>
          <w:rFonts w:hint="eastAsia" w:ascii="宋体" w:hAnsi="宋体"/>
          <w:color w:val="auto"/>
          <w:sz w:val="24"/>
        </w:rPr>
        <w:t>电子签章</w:t>
      </w:r>
      <w:r>
        <w:rPr>
          <w:rFonts w:hint="eastAsia" w:ascii="宋体" w:hAnsi="宋体" w:cs="仿宋_GB2312"/>
          <w:color w:val="auto"/>
          <w:sz w:val="24"/>
        </w:rPr>
        <w:t xml:space="preserve">：      </w:t>
      </w:r>
    </w:p>
    <w:p w14:paraId="35A63C9E">
      <w:pPr>
        <w:spacing w:line="360" w:lineRule="auto"/>
        <w:ind w:right="480"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14:paraId="3F1E2D21">
      <w:pPr>
        <w:spacing w:line="360" w:lineRule="auto"/>
        <w:ind w:right="480" w:firstLine="3840" w:firstLineChars="1600"/>
        <w:contextualSpacing/>
        <w:rPr>
          <w:rFonts w:ascii="宋体" w:hAnsi="宋体" w:cs="仿宋_GB2312"/>
          <w:color w:val="auto"/>
          <w:sz w:val="24"/>
        </w:rPr>
      </w:pPr>
    </w:p>
    <w:p w14:paraId="5BB5D185">
      <w:pPr>
        <w:spacing w:line="360" w:lineRule="auto"/>
        <w:ind w:right="480" w:firstLine="7040" w:firstLineChars="1600"/>
        <w:contextualSpacing/>
        <w:rPr>
          <w:rFonts w:ascii="方正小标宋简体" w:hAnsi="方正小标宋简体" w:eastAsia="方正小标宋简体" w:cs="方正小标宋简体"/>
          <w:bCs/>
          <w:color w:val="auto"/>
          <w:sz w:val="44"/>
          <w:szCs w:val="44"/>
        </w:rPr>
      </w:pPr>
    </w:p>
    <w:p w14:paraId="75991234">
      <w:pPr>
        <w:spacing w:line="360" w:lineRule="auto"/>
        <w:ind w:right="480"/>
        <w:contextualSpacing/>
        <w:jc w:val="center"/>
        <w:rPr>
          <w:rFonts w:ascii="方正小标宋简体" w:hAnsi="方正小标宋简体" w:eastAsia="方正小标宋简体" w:cs="方正小标宋简体"/>
          <w:bCs/>
          <w:color w:val="auto"/>
          <w:sz w:val="44"/>
          <w:szCs w:val="44"/>
        </w:rPr>
      </w:pPr>
      <w:r>
        <w:rPr>
          <w:rFonts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拟投入维护保养实施人员方案</w:t>
      </w:r>
    </w:p>
    <w:p w14:paraId="5BE3EED3">
      <w:pPr>
        <w:spacing w:line="300" w:lineRule="auto"/>
        <w:rPr>
          <w:rFonts w:ascii="宋体" w:hAnsi="宋体"/>
          <w:color w:val="auto"/>
          <w:szCs w:val="21"/>
        </w:rPr>
      </w:pPr>
    </w:p>
    <w:p w14:paraId="6FAE602A">
      <w:pPr>
        <w:spacing w:line="360" w:lineRule="auto"/>
        <w:contextualSpacing/>
        <w:jc w:val="left"/>
        <w:rPr>
          <w:rFonts w:ascii="宋体" w:hAnsi="宋体"/>
          <w:b/>
          <w:bCs/>
          <w:color w:val="auto"/>
          <w:sz w:val="24"/>
        </w:rPr>
      </w:pPr>
    </w:p>
    <w:p w14:paraId="6F1233FD">
      <w:pPr>
        <w:spacing w:line="360" w:lineRule="auto"/>
        <w:contextualSpacing/>
        <w:jc w:val="left"/>
        <w:rPr>
          <w:rFonts w:ascii="宋体" w:hAnsi="宋体"/>
          <w:b/>
          <w:bCs/>
          <w:color w:val="auto"/>
          <w:sz w:val="24"/>
        </w:rPr>
      </w:pPr>
      <w:r>
        <w:rPr>
          <w:rFonts w:hint="eastAsia" w:ascii="宋体" w:hAnsi="宋体"/>
          <w:b/>
          <w:bCs/>
          <w:color w:val="auto"/>
          <w:sz w:val="24"/>
        </w:rPr>
        <w:t>一、实施人员管理组织架构</w:t>
      </w:r>
    </w:p>
    <w:p w14:paraId="30611940">
      <w:pPr>
        <w:spacing w:line="360" w:lineRule="auto"/>
        <w:contextualSpacing/>
        <w:jc w:val="left"/>
        <w:rPr>
          <w:rFonts w:ascii="宋体" w:hAnsi="宋体"/>
          <w:b/>
          <w:bCs/>
          <w:color w:val="auto"/>
          <w:sz w:val="24"/>
        </w:rPr>
      </w:pPr>
      <w:r>
        <w:rPr>
          <w:rFonts w:hint="eastAsia" w:ascii="宋体" w:hAnsi="宋体"/>
          <w:b/>
          <w:bCs/>
          <w:color w:val="auto"/>
          <w:sz w:val="24"/>
        </w:rPr>
        <w:t>……</w:t>
      </w:r>
    </w:p>
    <w:p w14:paraId="2E3D7574">
      <w:pPr>
        <w:spacing w:line="360" w:lineRule="auto"/>
        <w:contextualSpacing/>
        <w:jc w:val="left"/>
        <w:rPr>
          <w:rFonts w:ascii="宋体" w:hAnsi="宋体"/>
          <w:b/>
          <w:bCs/>
          <w:color w:val="auto"/>
          <w:sz w:val="24"/>
        </w:rPr>
      </w:pPr>
      <w:r>
        <w:rPr>
          <w:rFonts w:hint="eastAsia" w:ascii="宋体" w:hAnsi="宋体"/>
          <w:b/>
          <w:bCs/>
          <w:color w:val="auto"/>
          <w:sz w:val="24"/>
        </w:rPr>
        <w:t>二、人员分工</w:t>
      </w:r>
    </w:p>
    <w:p w14:paraId="4B9D339B">
      <w:pPr>
        <w:spacing w:line="360" w:lineRule="auto"/>
        <w:contextualSpacing/>
        <w:jc w:val="left"/>
        <w:rPr>
          <w:rFonts w:ascii="宋体" w:hAnsi="宋体"/>
          <w:b/>
          <w:bCs/>
          <w:color w:val="auto"/>
          <w:sz w:val="24"/>
        </w:rPr>
      </w:pPr>
      <w:r>
        <w:rPr>
          <w:rFonts w:hint="eastAsia" w:ascii="宋体" w:hAnsi="宋体"/>
          <w:b/>
          <w:bCs/>
          <w:color w:val="auto"/>
          <w:sz w:val="24"/>
        </w:rPr>
        <w:t>……</w:t>
      </w:r>
    </w:p>
    <w:p w14:paraId="1C4FC1DD">
      <w:pPr>
        <w:spacing w:line="360" w:lineRule="auto"/>
        <w:contextualSpacing/>
        <w:jc w:val="left"/>
        <w:rPr>
          <w:rFonts w:ascii="宋体" w:hAnsi="宋体"/>
          <w:b/>
          <w:bCs/>
          <w:color w:val="auto"/>
          <w:sz w:val="24"/>
        </w:rPr>
      </w:pPr>
      <w:r>
        <w:rPr>
          <w:rFonts w:hint="eastAsia" w:ascii="宋体" w:hAnsi="宋体"/>
          <w:b/>
          <w:bCs/>
          <w:color w:val="auto"/>
          <w:sz w:val="24"/>
        </w:rPr>
        <w:t>三、应急维护人员调配方案</w:t>
      </w:r>
    </w:p>
    <w:p w14:paraId="52306E3D">
      <w:pPr>
        <w:spacing w:line="360" w:lineRule="auto"/>
        <w:contextualSpacing/>
        <w:jc w:val="left"/>
        <w:rPr>
          <w:rFonts w:ascii="宋体" w:hAnsi="宋体"/>
          <w:b/>
          <w:bCs/>
          <w:color w:val="auto"/>
          <w:sz w:val="24"/>
        </w:rPr>
      </w:pPr>
      <w:r>
        <w:rPr>
          <w:rFonts w:hint="eastAsia" w:ascii="宋体" w:hAnsi="宋体"/>
          <w:b/>
          <w:bCs/>
          <w:color w:val="auto"/>
          <w:sz w:val="24"/>
        </w:rPr>
        <w:t>……</w:t>
      </w:r>
    </w:p>
    <w:p w14:paraId="765EDAA7">
      <w:pPr>
        <w:spacing w:line="360" w:lineRule="auto"/>
        <w:contextualSpacing/>
        <w:jc w:val="left"/>
        <w:rPr>
          <w:rFonts w:ascii="宋体" w:hAnsi="宋体"/>
          <w:color w:val="auto"/>
          <w:sz w:val="24"/>
          <w:szCs w:val="20"/>
        </w:rPr>
      </w:pPr>
    </w:p>
    <w:p w14:paraId="3DFD3F76">
      <w:pPr>
        <w:spacing w:line="360" w:lineRule="auto"/>
        <w:contextualSpacing/>
        <w:jc w:val="left"/>
        <w:rPr>
          <w:rFonts w:ascii="宋体" w:hAnsi="宋体"/>
          <w:color w:val="auto"/>
          <w:sz w:val="24"/>
          <w:szCs w:val="20"/>
        </w:rPr>
      </w:pPr>
    </w:p>
    <w:p w14:paraId="5BF3DF0A">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法定代表人或者委托代理人签字（或者电子签名）：</w:t>
      </w:r>
    </w:p>
    <w:p w14:paraId="7EB94738">
      <w:pPr>
        <w:spacing w:line="360" w:lineRule="auto"/>
        <w:ind w:right="-817" w:rightChars="-389" w:firstLine="2880" w:firstLineChars="1200"/>
        <w:contextualSpacing/>
        <w:rPr>
          <w:rFonts w:ascii="宋体" w:hAnsi="宋体" w:cs="仿宋_GB2312"/>
          <w:color w:val="auto"/>
          <w:sz w:val="24"/>
        </w:rPr>
      </w:pPr>
      <w:r>
        <w:rPr>
          <w:rFonts w:hint="eastAsia" w:ascii="宋体" w:hAnsi="宋体" w:cs="宋体"/>
          <w:color w:val="auto"/>
          <w:sz w:val="24"/>
        </w:rPr>
        <w:t>供应商</w:t>
      </w:r>
      <w:r>
        <w:rPr>
          <w:rFonts w:hint="eastAsia" w:ascii="宋体" w:hAnsi="宋体"/>
          <w:color w:val="auto"/>
          <w:sz w:val="24"/>
        </w:rPr>
        <w:t>电子签章</w:t>
      </w:r>
      <w:r>
        <w:rPr>
          <w:rFonts w:hint="eastAsia" w:ascii="宋体" w:hAnsi="宋体" w:cs="仿宋_GB2312"/>
          <w:color w:val="auto"/>
          <w:sz w:val="24"/>
        </w:rPr>
        <w:t xml:space="preserve">：      </w:t>
      </w:r>
    </w:p>
    <w:p w14:paraId="26798E5C">
      <w:pPr>
        <w:spacing w:line="360" w:lineRule="auto"/>
        <w:contextualSpacing/>
        <w:jc w:val="center"/>
        <w:rPr>
          <w:rFonts w:ascii="宋体" w:hAnsi="宋体"/>
          <w:color w:val="auto"/>
          <w:sz w:val="24"/>
          <w:szCs w:val="20"/>
        </w:rPr>
      </w:pPr>
      <w:r>
        <w:rPr>
          <w:rFonts w:hint="eastAsia" w:ascii="宋体" w:hAnsi="宋体" w:cs="仿宋_GB2312"/>
          <w:color w:val="auto"/>
          <w:sz w:val="24"/>
        </w:rPr>
        <w:t>日期：   年   月   日</w:t>
      </w:r>
    </w:p>
    <w:p w14:paraId="6BE213B6">
      <w:pPr>
        <w:adjustRightInd w:val="0"/>
        <w:snapToGrid w:val="0"/>
        <w:spacing w:line="520" w:lineRule="exact"/>
        <w:jc w:val="center"/>
        <w:rPr>
          <w:rFonts w:ascii="宋体" w:hAnsi="宋体"/>
          <w:b/>
          <w:bCs/>
          <w:color w:val="auto"/>
          <w:sz w:val="24"/>
        </w:rPr>
      </w:pPr>
    </w:p>
    <w:p w14:paraId="154EFC26">
      <w:pPr>
        <w:spacing w:line="360" w:lineRule="auto"/>
        <w:ind w:right="480"/>
        <w:contextualSpacing/>
        <w:jc w:val="center"/>
        <w:rPr>
          <w:rFonts w:ascii="方正小标宋简体" w:hAnsi="方正小标宋简体" w:eastAsia="方正小标宋简体" w:cs="方正小标宋简体"/>
          <w:bCs/>
          <w:color w:val="auto"/>
          <w:sz w:val="44"/>
          <w:szCs w:val="44"/>
        </w:rPr>
      </w:pPr>
    </w:p>
    <w:p w14:paraId="16287A15">
      <w:pPr>
        <w:spacing w:line="360" w:lineRule="auto"/>
        <w:ind w:right="480"/>
        <w:contextualSpacing/>
        <w:jc w:val="center"/>
        <w:rPr>
          <w:rFonts w:ascii="方正小标宋简体" w:hAnsi="方正小标宋简体" w:eastAsia="方正小标宋简体" w:cs="方正小标宋简体"/>
          <w:bCs/>
          <w:color w:val="auto"/>
          <w:sz w:val="44"/>
          <w:szCs w:val="44"/>
        </w:rPr>
      </w:pPr>
    </w:p>
    <w:p w14:paraId="0FF8BB42">
      <w:pPr>
        <w:spacing w:line="360" w:lineRule="auto"/>
        <w:ind w:right="480"/>
        <w:contextualSpacing/>
        <w:jc w:val="center"/>
        <w:rPr>
          <w:rFonts w:ascii="方正小标宋简体" w:hAnsi="方正小标宋简体" w:eastAsia="方正小标宋简体" w:cs="方正小标宋简体"/>
          <w:bCs/>
          <w:color w:val="auto"/>
          <w:sz w:val="44"/>
          <w:szCs w:val="44"/>
        </w:rPr>
      </w:pPr>
    </w:p>
    <w:p w14:paraId="48B8D513">
      <w:pPr>
        <w:spacing w:line="360" w:lineRule="auto"/>
        <w:ind w:right="480"/>
        <w:contextualSpacing/>
        <w:jc w:val="center"/>
        <w:rPr>
          <w:rFonts w:ascii="方正小标宋简体" w:hAnsi="方正小标宋简体" w:eastAsia="方正小标宋简体" w:cs="方正小标宋简体"/>
          <w:bCs/>
          <w:color w:val="auto"/>
          <w:sz w:val="44"/>
          <w:szCs w:val="44"/>
        </w:rPr>
      </w:pPr>
    </w:p>
    <w:p w14:paraId="38620A87">
      <w:pPr>
        <w:spacing w:line="360" w:lineRule="auto"/>
        <w:ind w:right="480"/>
        <w:contextualSpacing/>
        <w:jc w:val="center"/>
        <w:rPr>
          <w:rFonts w:ascii="方正小标宋简体" w:hAnsi="方正小标宋简体" w:eastAsia="方正小标宋简体" w:cs="方正小标宋简体"/>
          <w:bCs/>
          <w:color w:val="auto"/>
          <w:sz w:val="44"/>
          <w:szCs w:val="44"/>
        </w:rPr>
      </w:pPr>
    </w:p>
    <w:p w14:paraId="0CD53445">
      <w:pPr>
        <w:spacing w:line="360" w:lineRule="auto"/>
        <w:ind w:right="480"/>
        <w:contextualSpacing/>
        <w:jc w:val="center"/>
        <w:rPr>
          <w:rFonts w:ascii="方正小标宋简体" w:hAnsi="方正小标宋简体" w:eastAsia="方正小标宋简体" w:cs="方正小标宋简体"/>
          <w:bCs/>
          <w:color w:val="auto"/>
          <w:sz w:val="44"/>
          <w:szCs w:val="44"/>
        </w:rPr>
      </w:pPr>
    </w:p>
    <w:p w14:paraId="189802A2">
      <w:pPr>
        <w:spacing w:line="360" w:lineRule="auto"/>
        <w:ind w:right="480"/>
        <w:contextualSpacing/>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培训方案</w:t>
      </w:r>
    </w:p>
    <w:p w14:paraId="379CA7BD">
      <w:pPr>
        <w:spacing w:line="300" w:lineRule="auto"/>
        <w:rPr>
          <w:rFonts w:ascii="宋体" w:hAnsi="宋体"/>
          <w:color w:val="auto"/>
          <w:szCs w:val="21"/>
        </w:rPr>
      </w:pPr>
    </w:p>
    <w:p w14:paraId="14EB3300">
      <w:pPr>
        <w:spacing w:line="360" w:lineRule="auto"/>
        <w:contextualSpacing/>
        <w:jc w:val="left"/>
        <w:rPr>
          <w:rFonts w:ascii="宋体" w:hAnsi="宋体"/>
          <w:b/>
          <w:bCs/>
          <w:color w:val="auto"/>
          <w:sz w:val="24"/>
        </w:rPr>
      </w:pPr>
    </w:p>
    <w:p w14:paraId="1DF634B1">
      <w:pPr>
        <w:spacing w:line="360" w:lineRule="auto"/>
        <w:contextualSpacing/>
        <w:jc w:val="left"/>
        <w:rPr>
          <w:rFonts w:ascii="宋体" w:hAnsi="宋体"/>
          <w:b/>
          <w:bCs/>
          <w:color w:val="auto"/>
          <w:sz w:val="24"/>
        </w:rPr>
      </w:pPr>
      <w:r>
        <w:rPr>
          <w:rFonts w:hint="eastAsia" w:ascii="宋体" w:hAnsi="宋体"/>
          <w:b/>
          <w:bCs/>
          <w:color w:val="auto"/>
          <w:sz w:val="24"/>
        </w:rPr>
        <w:t>一、师资人员安排</w:t>
      </w:r>
    </w:p>
    <w:p w14:paraId="189A417D">
      <w:pPr>
        <w:spacing w:line="360" w:lineRule="auto"/>
        <w:contextualSpacing/>
        <w:jc w:val="left"/>
        <w:rPr>
          <w:rFonts w:ascii="宋体" w:hAnsi="宋体"/>
          <w:b/>
          <w:bCs/>
          <w:color w:val="auto"/>
          <w:sz w:val="24"/>
        </w:rPr>
      </w:pPr>
      <w:r>
        <w:rPr>
          <w:rFonts w:hint="eastAsia" w:ascii="宋体" w:hAnsi="宋体"/>
          <w:b/>
          <w:bCs/>
          <w:color w:val="auto"/>
          <w:sz w:val="24"/>
        </w:rPr>
        <w:t>……</w:t>
      </w:r>
    </w:p>
    <w:p w14:paraId="635F03E3">
      <w:pPr>
        <w:spacing w:line="360" w:lineRule="auto"/>
        <w:contextualSpacing/>
        <w:jc w:val="left"/>
        <w:rPr>
          <w:rFonts w:ascii="宋体" w:hAnsi="宋体"/>
          <w:b/>
          <w:bCs/>
          <w:color w:val="auto"/>
          <w:sz w:val="24"/>
        </w:rPr>
      </w:pPr>
      <w:r>
        <w:rPr>
          <w:rFonts w:hint="eastAsia" w:ascii="宋体" w:hAnsi="宋体"/>
          <w:b/>
          <w:bCs/>
          <w:color w:val="auto"/>
          <w:sz w:val="24"/>
        </w:rPr>
        <w:t>二、培训内容安排（包括设备功能理论及设备应用培训计划、设备常见问题的基本维修及保养、操作培训计划）</w:t>
      </w:r>
    </w:p>
    <w:p w14:paraId="019E51B2">
      <w:pPr>
        <w:spacing w:line="360" w:lineRule="auto"/>
        <w:contextualSpacing/>
        <w:jc w:val="left"/>
        <w:rPr>
          <w:rFonts w:ascii="宋体" w:hAnsi="宋体"/>
          <w:b/>
          <w:bCs/>
          <w:color w:val="auto"/>
          <w:sz w:val="24"/>
        </w:rPr>
      </w:pPr>
      <w:r>
        <w:rPr>
          <w:rFonts w:hint="eastAsia" w:ascii="宋体" w:hAnsi="宋体"/>
          <w:b/>
          <w:bCs/>
          <w:color w:val="auto"/>
          <w:sz w:val="24"/>
        </w:rPr>
        <w:t>……</w:t>
      </w:r>
    </w:p>
    <w:p w14:paraId="2811D045">
      <w:pPr>
        <w:spacing w:line="360" w:lineRule="auto"/>
        <w:contextualSpacing/>
        <w:jc w:val="left"/>
        <w:rPr>
          <w:rFonts w:ascii="宋体" w:hAnsi="宋体"/>
          <w:b/>
          <w:bCs/>
          <w:color w:val="auto"/>
          <w:sz w:val="24"/>
        </w:rPr>
      </w:pPr>
    </w:p>
    <w:p w14:paraId="17A98E7D">
      <w:pPr>
        <w:spacing w:line="360" w:lineRule="auto"/>
        <w:contextualSpacing/>
        <w:jc w:val="left"/>
        <w:rPr>
          <w:rFonts w:ascii="宋体" w:hAnsi="宋体"/>
          <w:color w:val="auto"/>
          <w:sz w:val="24"/>
          <w:szCs w:val="20"/>
        </w:rPr>
      </w:pPr>
    </w:p>
    <w:p w14:paraId="397B056C">
      <w:pPr>
        <w:spacing w:line="360" w:lineRule="auto"/>
        <w:contextualSpacing/>
        <w:jc w:val="left"/>
        <w:rPr>
          <w:rFonts w:ascii="宋体" w:hAnsi="宋体"/>
          <w:color w:val="auto"/>
          <w:sz w:val="24"/>
          <w:szCs w:val="20"/>
        </w:rPr>
      </w:pPr>
    </w:p>
    <w:p w14:paraId="502F107F">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法定代表人或者委托代理人签字（或者电子签名）：</w:t>
      </w:r>
    </w:p>
    <w:p w14:paraId="6EA8E425">
      <w:pPr>
        <w:spacing w:line="360" w:lineRule="auto"/>
        <w:ind w:right="-817" w:rightChars="-389" w:firstLine="2880" w:firstLineChars="1200"/>
        <w:contextualSpacing/>
        <w:rPr>
          <w:rFonts w:ascii="宋体" w:hAnsi="宋体" w:cs="仿宋_GB2312"/>
          <w:color w:val="auto"/>
          <w:sz w:val="24"/>
        </w:rPr>
      </w:pPr>
      <w:r>
        <w:rPr>
          <w:rFonts w:hint="eastAsia" w:ascii="宋体" w:hAnsi="宋体" w:cs="宋体"/>
          <w:color w:val="auto"/>
          <w:sz w:val="24"/>
        </w:rPr>
        <w:t>供应商</w:t>
      </w:r>
      <w:r>
        <w:rPr>
          <w:rFonts w:hint="eastAsia" w:ascii="宋体" w:hAnsi="宋体"/>
          <w:color w:val="auto"/>
          <w:sz w:val="24"/>
        </w:rPr>
        <w:t>电子签章</w:t>
      </w:r>
      <w:r>
        <w:rPr>
          <w:rFonts w:hint="eastAsia" w:ascii="宋体" w:hAnsi="宋体" w:cs="仿宋_GB2312"/>
          <w:color w:val="auto"/>
          <w:sz w:val="24"/>
        </w:rPr>
        <w:t xml:space="preserve">：      </w:t>
      </w:r>
    </w:p>
    <w:p w14:paraId="7902CA1E">
      <w:pPr>
        <w:spacing w:line="360" w:lineRule="auto"/>
        <w:contextualSpacing/>
        <w:jc w:val="center"/>
        <w:rPr>
          <w:rFonts w:ascii="宋体" w:hAnsi="宋体"/>
          <w:color w:val="auto"/>
          <w:sz w:val="24"/>
          <w:szCs w:val="20"/>
        </w:rPr>
      </w:pPr>
      <w:r>
        <w:rPr>
          <w:rFonts w:hint="eastAsia" w:ascii="宋体" w:hAnsi="宋体" w:cs="仿宋_GB2312"/>
          <w:color w:val="auto"/>
          <w:sz w:val="24"/>
        </w:rPr>
        <w:t>日期：   年   月   日</w:t>
      </w:r>
    </w:p>
    <w:p w14:paraId="28633DB0">
      <w:pPr>
        <w:adjustRightInd w:val="0"/>
        <w:snapToGrid w:val="0"/>
        <w:spacing w:line="520" w:lineRule="exact"/>
        <w:jc w:val="center"/>
        <w:rPr>
          <w:rFonts w:ascii="宋体" w:hAnsi="宋体"/>
          <w:b/>
          <w:bCs/>
          <w:color w:val="auto"/>
          <w:sz w:val="24"/>
        </w:rPr>
      </w:pPr>
    </w:p>
    <w:p w14:paraId="4C326A8A">
      <w:pPr>
        <w:adjustRightInd w:val="0"/>
        <w:snapToGrid w:val="0"/>
        <w:spacing w:line="520" w:lineRule="exact"/>
        <w:jc w:val="center"/>
        <w:rPr>
          <w:rFonts w:ascii="宋体" w:hAnsi="宋体"/>
          <w:b/>
          <w:bCs/>
          <w:color w:val="auto"/>
          <w:sz w:val="24"/>
        </w:rPr>
      </w:pPr>
    </w:p>
    <w:p w14:paraId="515F8C9E">
      <w:pPr>
        <w:adjustRightInd w:val="0"/>
        <w:snapToGrid w:val="0"/>
        <w:spacing w:line="520" w:lineRule="exact"/>
        <w:jc w:val="center"/>
        <w:rPr>
          <w:rFonts w:ascii="宋体" w:hAnsi="宋体"/>
          <w:b/>
          <w:bCs/>
          <w:color w:val="auto"/>
          <w:sz w:val="24"/>
        </w:rPr>
      </w:pPr>
    </w:p>
    <w:p w14:paraId="2F537899">
      <w:pPr>
        <w:adjustRightInd w:val="0"/>
        <w:snapToGrid w:val="0"/>
        <w:spacing w:line="520" w:lineRule="exact"/>
        <w:jc w:val="center"/>
        <w:rPr>
          <w:rFonts w:ascii="宋体" w:hAnsi="宋体"/>
          <w:b/>
          <w:bCs/>
          <w:color w:val="auto"/>
          <w:sz w:val="24"/>
        </w:rPr>
      </w:pPr>
    </w:p>
    <w:p w14:paraId="31F36C53">
      <w:pPr>
        <w:adjustRightInd w:val="0"/>
        <w:snapToGrid w:val="0"/>
        <w:spacing w:line="520" w:lineRule="exact"/>
        <w:jc w:val="center"/>
        <w:rPr>
          <w:rFonts w:ascii="宋体" w:hAnsi="宋体"/>
          <w:b/>
          <w:bCs/>
          <w:color w:val="auto"/>
          <w:sz w:val="24"/>
        </w:rPr>
      </w:pPr>
    </w:p>
    <w:p w14:paraId="3571070D">
      <w:pPr>
        <w:adjustRightInd w:val="0"/>
        <w:snapToGrid w:val="0"/>
        <w:spacing w:line="520" w:lineRule="exact"/>
        <w:jc w:val="center"/>
        <w:rPr>
          <w:rFonts w:ascii="宋体" w:hAnsi="宋体"/>
          <w:b/>
          <w:bCs/>
          <w:color w:val="auto"/>
          <w:sz w:val="24"/>
        </w:rPr>
      </w:pPr>
    </w:p>
    <w:p w14:paraId="7B82EA6E">
      <w:pPr>
        <w:spacing w:line="300" w:lineRule="auto"/>
        <w:rPr>
          <w:rFonts w:ascii="宋体" w:hAnsi="宋体"/>
          <w:color w:val="auto"/>
          <w:szCs w:val="21"/>
        </w:rPr>
      </w:pPr>
      <w:r>
        <w:rPr>
          <w:rFonts w:ascii="宋体" w:hAnsi="宋体"/>
          <w:b/>
          <w:bCs/>
          <w:color w:val="auto"/>
          <w:sz w:val="24"/>
        </w:rPr>
        <w:br w:type="page"/>
      </w:r>
      <w:r>
        <w:rPr>
          <w:rFonts w:hint="eastAsia" w:ascii="宋体" w:hAnsi="宋体"/>
          <w:b/>
          <w:bCs/>
          <w:color w:val="auto"/>
          <w:sz w:val="24"/>
        </w:rPr>
        <w:t>其他文书、文件格式</w:t>
      </w:r>
    </w:p>
    <w:p w14:paraId="3A259C3A">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中小企业声明函（服务）</w:t>
      </w:r>
    </w:p>
    <w:p w14:paraId="772014F8">
      <w:pPr>
        <w:spacing w:before="2" w:line="500" w:lineRule="exact"/>
        <w:ind w:firstLine="708" w:firstLineChars="294"/>
        <w:rPr>
          <w:rFonts w:ascii="宋体" w:hAnsi="宋体" w:cs="宋体"/>
          <w:b/>
          <w:bCs/>
          <w:color w:val="auto"/>
          <w:sz w:val="24"/>
        </w:rPr>
      </w:pPr>
    </w:p>
    <w:p w14:paraId="2FBEE02A">
      <w:pPr>
        <w:spacing w:line="480" w:lineRule="exact"/>
        <w:ind w:firstLine="482"/>
        <w:rPr>
          <w:rFonts w:ascii="宋体" w:hAnsi="宋体"/>
          <w:color w:val="auto"/>
          <w:kern w:val="0"/>
          <w:sz w:val="24"/>
        </w:rPr>
      </w:pPr>
      <w:r>
        <w:rPr>
          <w:rFonts w:hint="eastAsia" w:ascii="宋体" w:hAnsi="宋体"/>
          <w:color w:val="auto"/>
          <w:kern w:val="0"/>
          <w:sz w:val="24"/>
        </w:rPr>
        <w:t>本公司郑重声明，根据《政府采购促进中小企业发展管理办法》（财库﹝2020﹞46 号）的规定，本公司参加</w:t>
      </w:r>
      <w:r>
        <w:rPr>
          <w:rFonts w:hint="eastAsia" w:ascii="宋体" w:hAnsi="宋体"/>
          <w:color w:val="auto"/>
          <w:kern w:val="0"/>
          <w:sz w:val="24"/>
          <w:u w:val="single"/>
        </w:rPr>
        <w:t>（单位名称）</w:t>
      </w:r>
      <w:r>
        <w:rPr>
          <w:rFonts w:hint="eastAsia" w:ascii="宋体" w:hAnsi="宋体"/>
          <w:color w:val="auto"/>
          <w:kern w:val="0"/>
          <w:sz w:val="24"/>
        </w:rPr>
        <w:t>的</w:t>
      </w:r>
      <w:r>
        <w:rPr>
          <w:rFonts w:hint="eastAsia" w:ascii="宋体" w:hAnsi="宋体"/>
          <w:color w:val="auto"/>
          <w:kern w:val="0"/>
          <w:sz w:val="24"/>
          <w:u w:val="single"/>
        </w:rPr>
        <w:t>（项目名称）</w:t>
      </w:r>
      <w:r>
        <w:rPr>
          <w:rFonts w:hint="eastAsia" w:ascii="宋体" w:hAnsi="宋体"/>
          <w:color w:val="auto"/>
          <w:kern w:val="0"/>
          <w:sz w:val="24"/>
        </w:rPr>
        <w:t>采购活动，服务全部由符合政策要求的中小企业承接）。相关企业的具体情况如下：</w:t>
      </w:r>
    </w:p>
    <w:p w14:paraId="271C2CDB">
      <w:pPr>
        <w:spacing w:line="480" w:lineRule="exact"/>
        <w:ind w:firstLine="482"/>
        <w:rPr>
          <w:rFonts w:ascii="宋体" w:hAnsi="宋体"/>
          <w:color w:val="auto"/>
          <w:kern w:val="0"/>
          <w:sz w:val="24"/>
        </w:rPr>
      </w:pPr>
      <w:r>
        <w:rPr>
          <w:rFonts w:hint="eastAsia" w:ascii="宋体" w:hAnsi="宋体"/>
          <w:color w:val="auto"/>
          <w:kern w:val="0"/>
          <w:sz w:val="24"/>
          <w:u w:val="single"/>
        </w:rPr>
        <w:t>（标的名称）</w:t>
      </w:r>
      <w:r>
        <w:rPr>
          <w:rFonts w:hint="eastAsia" w:ascii="宋体" w:hAnsi="宋体"/>
          <w:color w:val="auto"/>
          <w:kern w:val="0"/>
          <w:sz w:val="24"/>
        </w:rPr>
        <w:t>，属于</w:t>
      </w:r>
      <w:r>
        <w:rPr>
          <w:rFonts w:hint="eastAsia" w:ascii="宋体" w:hAnsi="宋体"/>
          <w:color w:val="auto"/>
          <w:kern w:val="0"/>
          <w:sz w:val="24"/>
          <w:u w:val="single"/>
        </w:rPr>
        <w:t xml:space="preserve">         </w:t>
      </w:r>
      <w:r>
        <w:rPr>
          <w:rFonts w:hint="eastAsia" w:ascii="宋体" w:hAnsi="宋体"/>
          <w:color w:val="auto"/>
          <w:kern w:val="0"/>
          <w:sz w:val="24"/>
        </w:rPr>
        <w:t xml:space="preserve"> 行业；承接企业为</w:t>
      </w:r>
      <w:r>
        <w:rPr>
          <w:rFonts w:hint="eastAsia" w:ascii="宋体" w:hAnsi="宋体"/>
          <w:color w:val="auto"/>
          <w:kern w:val="0"/>
          <w:sz w:val="24"/>
          <w:u w:val="single"/>
        </w:rPr>
        <w:t>（企业名称）</w:t>
      </w:r>
      <w:r>
        <w:rPr>
          <w:rFonts w:hint="eastAsia" w:ascii="宋体" w:hAnsi="宋体"/>
          <w:color w:val="auto"/>
          <w:kern w:val="0"/>
          <w:sz w:val="24"/>
        </w:rPr>
        <w:t>，从业人员</w:t>
      </w:r>
      <w:r>
        <w:rPr>
          <w:rFonts w:hint="eastAsia" w:ascii="宋体" w:hAnsi="宋体"/>
          <w:color w:val="auto"/>
          <w:kern w:val="0"/>
          <w:sz w:val="24"/>
          <w:u w:val="single"/>
        </w:rPr>
        <w:t xml:space="preserve">   </w:t>
      </w:r>
      <w:r>
        <w:rPr>
          <w:rFonts w:hint="eastAsia" w:ascii="宋体" w:hAnsi="宋体"/>
          <w:color w:val="auto"/>
          <w:kern w:val="0"/>
          <w:sz w:val="24"/>
        </w:rPr>
        <w:t>人，营业收入为</w:t>
      </w:r>
      <w:r>
        <w:rPr>
          <w:rFonts w:hint="eastAsia" w:ascii="宋体" w:hAnsi="宋体"/>
          <w:color w:val="auto"/>
          <w:kern w:val="0"/>
          <w:sz w:val="24"/>
          <w:u w:val="single"/>
        </w:rPr>
        <w:t xml:space="preserve">    </w:t>
      </w:r>
      <w:r>
        <w:rPr>
          <w:rFonts w:hint="eastAsia" w:ascii="宋体" w:hAnsi="宋体"/>
          <w:color w:val="auto"/>
          <w:kern w:val="0"/>
          <w:sz w:val="24"/>
        </w:rPr>
        <w:t>万元，资产总额为</w:t>
      </w:r>
      <w:r>
        <w:rPr>
          <w:rFonts w:hint="eastAsia" w:ascii="宋体" w:hAnsi="宋体"/>
          <w:color w:val="auto"/>
          <w:kern w:val="0"/>
          <w:sz w:val="24"/>
          <w:u w:val="single"/>
        </w:rPr>
        <w:t xml:space="preserve">     </w:t>
      </w:r>
      <w:r>
        <w:rPr>
          <w:rFonts w:hint="eastAsia" w:ascii="宋体" w:hAnsi="宋体"/>
          <w:color w:val="auto"/>
          <w:kern w:val="0"/>
          <w:sz w:val="24"/>
        </w:rPr>
        <w:t>万元，属于</w:t>
      </w:r>
      <w:r>
        <w:rPr>
          <w:rFonts w:hint="eastAsia" w:ascii="宋体" w:hAnsi="宋体"/>
          <w:color w:val="auto"/>
          <w:kern w:val="0"/>
          <w:sz w:val="24"/>
          <w:u w:val="single"/>
        </w:rPr>
        <w:t>（中型企业、小型企业、微型企业）</w:t>
      </w:r>
      <w:r>
        <w:rPr>
          <w:rFonts w:hint="eastAsia" w:ascii="宋体" w:hAnsi="宋体"/>
          <w:color w:val="auto"/>
          <w:kern w:val="0"/>
          <w:sz w:val="24"/>
        </w:rPr>
        <w:t>；</w:t>
      </w:r>
    </w:p>
    <w:p w14:paraId="1FD6C0CD">
      <w:pPr>
        <w:spacing w:line="480" w:lineRule="exact"/>
        <w:ind w:firstLine="482"/>
        <w:rPr>
          <w:rFonts w:ascii="宋体" w:hAnsi="宋体"/>
          <w:color w:val="auto"/>
          <w:kern w:val="0"/>
          <w:sz w:val="24"/>
        </w:rPr>
      </w:pPr>
      <w:r>
        <w:rPr>
          <w:rFonts w:hint="eastAsia" w:ascii="宋体" w:hAnsi="宋体"/>
          <w:color w:val="auto"/>
          <w:kern w:val="0"/>
          <w:sz w:val="24"/>
        </w:rPr>
        <w:t>以上企业，不属于大企业的分支机构，不存在控股股东为大企业的情形，也不存在与大企业的负责人为同一人的情形。</w:t>
      </w:r>
    </w:p>
    <w:p w14:paraId="77F49D81">
      <w:pPr>
        <w:spacing w:line="480" w:lineRule="exact"/>
        <w:ind w:firstLine="482"/>
        <w:rPr>
          <w:rFonts w:ascii="宋体" w:hAnsi="宋体"/>
          <w:color w:val="auto"/>
          <w:kern w:val="0"/>
          <w:sz w:val="24"/>
        </w:rPr>
      </w:pPr>
      <w:r>
        <w:rPr>
          <w:rFonts w:hint="eastAsia" w:ascii="宋体" w:hAnsi="宋体"/>
          <w:color w:val="auto"/>
          <w:kern w:val="0"/>
          <w:sz w:val="24"/>
        </w:rPr>
        <w:t>本企业对上述声明内容的真实性负责。如有虚假，将依法承担相应责任。</w:t>
      </w:r>
    </w:p>
    <w:p w14:paraId="3F85DD4E">
      <w:pPr>
        <w:pStyle w:val="14"/>
        <w:spacing w:before="25" w:line="500" w:lineRule="exact"/>
        <w:ind w:right="142" w:firstLine="705" w:firstLineChars="294"/>
        <w:rPr>
          <w:rFonts w:ascii="宋体" w:hAnsi="宋体"/>
          <w:color w:val="auto"/>
          <w:sz w:val="24"/>
        </w:rPr>
      </w:pPr>
    </w:p>
    <w:p w14:paraId="54282940">
      <w:pPr>
        <w:pStyle w:val="14"/>
        <w:spacing w:before="56" w:line="500" w:lineRule="exact"/>
        <w:ind w:right="1808" w:firstLine="705" w:firstLineChars="294"/>
        <w:rPr>
          <w:rFonts w:ascii="宋体" w:hAnsi="宋体"/>
          <w:color w:val="auto"/>
          <w:sz w:val="24"/>
        </w:rPr>
      </w:pPr>
    </w:p>
    <w:p w14:paraId="4FBDAB55">
      <w:pPr>
        <w:pStyle w:val="14"/>
        <w:spacing w:before="56" w:line="500" w:lineRule="exact"/>
        <w:ind w:right="650" w:firstLine="5625" w:firstLineChars="2344"/>
        <w:rPr>
          <w:rFonts w:ascii="宋体" w:hAnsi="宋体"/>
          <w:color w:val="auto"/>
          <w:sz w:val="24"/>
        </w:rPr>
      </w:pPr>
      <w:r>
        <w:rPr>
          <w:rFonts w:ascii="宋体" w:hAnsi="宋体"/>
          <w:color w:val="auto"/>
          <w:sz w:val="24"/>
        </w:rPr>
        <w:t>企业名称（</w:t>
      </w:r>
      <w:r>
        <w:rPr>
          <w:rFonts w:hint="eastAsia" w:ascii="宋体" w:hAnsi="宋体"/>
          <w:color w:val="auto"/>
          <w:sz w:val="24"/>
        </w:rPr>
        <w:t>电子签章</w:t>
      </w:r>
      <w:r>
        <w:rPr>
          <w:rFonts w:ascii="宋体" w:hAnsi="宋体"/>
          <w:color w:val="auto"/>
          <w:sz w:val="24"/>
        </w:rPr>
        <w:t xml:space="preserve">）： </w:t>
      </w:r>
    </w:p>
    <w:p w14:paraId="4C612392">
      <w:pPr>
        <w:pStyle w:val="14"/>
        <w:spacing w:before="56" w:line="500" w:lineRule="exact"/>
        <w:ind w:right="1808" w:firstLine="5625" w:firstLineChars="2344"/>
        <w:rPr>
          <w:rFonts w:ascii="宋体" w:hAnsi="宋体"/>
          <w:color w:val="auto"/>
          <w:sz w:val="24"/>
        </w:rPr>
      </w:pPr>
      <w:r>
        <w:rPr>
          <w:rFonts w:ascii="宋体" w:hAnsi="宋体"/>
          <w:color w:val="auto"/>
          <w:sz w:val="24"/>
        </w:rPr>
        <w:t>日 期：</w:t>
      </w:r>
    </w:p>
    <w:p w14:paraId="2E79FA44">
      <w:pPr>
        <w:spacing w:line="360" w:lineRule="auto"/>
        <w:contextualSpacing/>
        <w:jc w:val="left"/>
        <w:rPr>
          <w:rFonts w:ascii="宋体" w:hAnsi="宋体" w:cs="仿宋_GB2312"/>
          <w:color w:val="auto"/>
          <w:sz w:val="24"/>
        </w:rPr>
      </w:pPr>
      <w:r>
        <w:rPr>
          <w:rFonts w:hint="eastAsia" w:ascii="宋体" w:hAnsi="宋体" w:cs="仿宋_GB2312"/>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731382E">
      <w:pPr>
        <w:spacing w:line="360" w:lineRule="auto"/>
        <w:contextualSpacing/>
        <w:jc w:val="center"/>
        <w:rPr>
          <w:rFonts w:ascii="仿宋_GB2312" w:hAnsi="仿宋_GB2312" w:eastAsia="仿宋_GB2312" w:cs="仿宋_GB2312"/>
          <w:color w:val="auto"/>
          <w:sz w:val="32"/>
          <w:szCs w:val="32"/>
        </w:rPr>
      </w:pPr>
      <w:r>
        <w:rPr>
          <w:rFonts w:ascii="宋体" w:hAnsi="宋体" w:cs="仿宋_GB2312"/>
          <w:color w:val="auto"/>
          <w:sz w:val="24"/>
        </w:rPr>
        <w:br w:type="page"/>
      </w:r>
      <w:r>
        <w:rPr>
          <w:rFonts w:hint="eastAsia" w:ascii="方正小标宋简体" w:hAnsi="方正小标宋简体" w:eastAsia="方正小标宋简体" w:cs="方正小标宋简体"/>
          <w:color w:val="auto"/>
          <w:sz w:val="44"/>
          <w:szCs w:val="44"/>
        </w:rPr>
        <w:t>残疾人福利性单位声明函</w:t>
      </w:r>
    </w:p>
    <w:p w14:paraId="43B455CC">
      <w:pPr>
        <w:spacing w:line="360" w:lineRule="auto"/>
        <w:contextualSpacing/>
        <w:rPr>
          <w:rFonts w:ascii="仿宋_GB2312" w:hAnsi="仿宋_GB2312" w:eastAsia="仿宋_GB2312" w:cs="仿宋_GB2312"/>
          <w:color w:val="auto"/>
          <w:sz w:val="32"/>
          <w:szCs w:val="32"/>
        </w:rPr>
      </w:pPr>
    </w:p>
    <w:p w14:paraId="00E0AAF9">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u w:val="single"/>
        </w:rPr>
        <w:t xml:space="preserve">       </w:t>
      </w:r>
      <w:r>
        <w:rPr>
          <w:rFonts w:hint="eastAsia" w:ascii="宋体" w:hAnsi="宋体" w:cs="仿宋_GB2312"/>
          <w:color w:val="auto"/>
          <w:sz w:val="24"/>
        </w:rPr>
        <w:t>单位的</w:t>
      </w:r>
      <w:r>
        <w:rPr>
          <w:rFonts w:hint="eastAsia" w:ascii="宋体" w:hAnsi="宋体" w:cs="仿宋_GB2312"/>
          <w:color w:val="auto"/>
          <w:sz w:val="24"/>
          <w:u w:val="single"/>
        </w:rPr>
        <w:t xml:space="preserve">        </w:t>
      </w:r>
      <w:r>
        <w:rPr>
          <w:rFonts w:hint="eastAsia" w:ascii="宋体" w:hAnsi="宋体" w:cs="仿宋_GB2312"/>
          <w:color w:val="auto"/>
          <w:sz w:val="24"/>
        </w:rPr>
        <w:t>项目采购活动提供本单位制造的货物（由本单位承担工程/提供服务），或者提供其他残疾人福利性单位制造的货物（不包括使用非残疾人福利性单位注册商标的货物）。</w:t>
      </w:r>
    </w:p>
    <w:p w14:paraId="05274C03">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本单位对上述声明的真实性负责。如有虚假，将依法承担相应责任。</w:t>
      </w:r>
    </w:p>
    <w:p w14:paraId="1A352819">
      <w:pPr>
        <w:spacing w:line="360" w:lineRule="auto"/>
        <w:contextualSpacing/>
        <w:rPr>
          <w:rFonts w:ascii="宋体" w:hAnsi="宋体" w:cs="仿宋_GB2312"/>
          <w:color w:val="auto"/>
          <w:sz w:val="24"/>
        </w:rPr>
      </w:pPr>
    </w:p>
    <w:p w14:paraId="659E2224">
      <w:pPr>
        <w:spacing w:line="360" w:lineRule="auto"/>
        <w:contextualSpacing/>
        <w:rPr>
          <w:rFonts w:ascii="宋体" w:hAnsi="宋体" w:cs="仿宋_GB2312"/>
          <w:color w:val="auto"/>
          <w:sz w:val="24"/>
        </w:rPr>
      </w:pPr>
    </w:p>
    <w:p w14:paraId="2332CAAA">
      <w:pPr>
        <w:spacing w:line="360" w:lineRule="auto"/>
        <w:contextualSpacing/>
        <w:rPr>
          <w:rFonts w:ascii="宋体" w:hAnsi="宋体" w:cs="仿宋_GB2312"/>
          <w:color w:val="auto"/>
          <w:sz w:val="24"/>
        </w:rPr>
      </w:pPr>
    </w:p>
    <w:p w14:paraId="533084DC">
      <w:pPr>
        <w:spacing w:line="360" w:lineRule="auto"/>
        <w:ind w:firstLine="2640" w:firstLineChars="1100"/>
        <w:contextualSpacing/>
        <w:rPr>
          <w:rFonts w:ascii="宋体" w:hAnsi="宋体" w:cs="仿宋_GB2312"/>
          <w:color w:val="auto"/>
          <w:sz w:val="24"/>
        </w:rPr>
      </w:pPr>
      <w:r>
        <w:rPr>
          <w:rFonts w:hint="eastAsia" w:ascii="宋体" w:hAnsi="宋体" w:cs="宋体"/>
          <w:color w:val="auto"/>
          <w:sz w:val="24"/>
        </w:rPr>
        <w:t>供应商</w:t>
      </w:r>
      <w:r>
        <w:rPr>
          <w:rFonts w:hint="eastAsia" w:ascii="宋体" w:hAnsi="宋体"/>
          <w:color w:val="auto"/>
          <w:sz w:val="24"/>
        </w:rPr>
        <w:t>电子签章</w:t>
      </w:r>
      <w:r>
        <w:rPr>
          <w:rFonts w:hint="eastAsia" w:ascii="宋体" w:hAnsi="宋体" w:cs="仿宋_GB2312"/>
          <w:color w:val="auto"/>
          <w:sz w:val="24"/>
        </w:rPr>
        <w:t>：</w:t>
      </w:r>
    </w:p>
    <w:p w14:paraId="228FE10E">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日  期：</w:t>
      </w:r>
    </w:p>
    <w:p w14:paraId="4DB818BD">
      <w:pPr>
        <w:spacing w:line="360" w:lineRule="auto"/>
        <w:rPr>
          <w:rFonts w:ascii="宋体" w:hAnsi="宋体" w:cs="仿宋_GB2312"/>
          <w:color w:val="auto"/>
          <w:sz w:val="24"/>
        </w:rPr>
      </w:pPr>
    </w:p>
    <w:p w14:paraId="1443B246">
      <w:pPr>
        <w:spacing w:line="360" w:lineRule="auto"/>
        <w:rPr>
          <w:rFonts w:ascii="宋体" w:hAnsi="宋体" w:cs="仿宋_GB2312"/>
          <w:color w:val="auto"/>
          <w:sz w:val="24"/>
        </w:rPr>
      </w:pPr>
    </w:p>
    <w:p w14:paraId="5B73139E">
      <w:pPr>
        <w:spacing w:line="360" w:lineRule="auto"/>
        <w:contextualSpacing/>
        <w:rPr>
          <w:rFonts w:ascii="宋体" w:hAnsi="宋体" w:cs="仿宋_GB2312"/>
          <w:color w:val="auto"/>
          <w:sz w:val="24"/>
        </w:rPr>
      </w:pPr>
    </w:p>
    <w:p w14:paraId="191ED775">
      <w:pPr>
        <w:spacing w:line="360" w:lineRule="auto"/>
        <w:contextualSpacing/>
        <w:rPr>
          <w:rFonts w:ascii="宋体" w:hAns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14:paraId="15D5F947">
      <w:pPr>
        <w:spacing w:line="360" w:lineRule="auto"/>
        <w:jc w:val="center"/>
        <w:rPr>
          <w:rFonts w:ascii="宋体" w:hAnsi="宋体"/>
          <w:b/>
          <w:bCs/>
          <w:color w:val="auto"/>
          <w:sz w:val="32"/>
          <w:szCs w:val="32"/>
        </w:rPr>
      </w:pPr>
      <w:r>
        <w:rPr>
          <w:rFonts w:ascii="宋体" w:hAnsi="宋体" w:cs="仿宋_GB2312"/>
          <w:color w:val="auto"/>
          <w:sz w:val="24"/>
        </w:rPr>
        <w:br w:type="page"/>
      </w:r>
      <w:r>
        <w:rPr>
          <w:rFonts w:hint="eastAsia" w:ascii="方正小标宋简体" w:hAnsi="方正小标宋简体" w:eastAsia="方正小标宋简体" w:cs="方正小标宋简体"/>
          <w:color w:val="auto"/>
          <w:sz w:val="44"/>
          <w:szCs w:val="44"/>
        </w:rPr>
        <w:t>质疑函（格式）</w:t>
      </w:r>
    </w:p>
    <w:p w14:paraId="4B0B6EB0">
      <w:pPr>
        <w:pStyle w:val="17"/>
        <w:snapToGrid w:val="0"/>
        <w:spacing w:line="360" w:lineRule="auto"/>
        <w:ind w:firstLine="482" w:firstLineChars="200"/>
        <w:rPr>
          <w:rFonts w:hAnsi="宋体"/>
          <w:b/>
          <w:bCs/>
          <w:color w:val="auto"/>
          <w:sz w:val="24"/>
          <w:szCs w:val="24"/>
        </w:rPr>
      </w:pPr>
      <w:r>
        <w:rPr>
          <w:rFonts w:hint="eastAsia" w:hAnsi="宋体"/>
          <w:b/>
          <w:bCs/>
          <w:color w:val="auto"/>
          <w:sz w:val="24"/>
          <w:szCs w:val="24"/>
        </w:rPr>
        <w:t>一、质疑供应商基本信息：</w:t>
      </w:r>
    </w:p>
    <w:p w14:paraId="6F99F4E0">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质疑供应商：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48F842C5">
      <w:pPr>
        <w:pStyle w:val="17"/>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5790FE27">
      <w:pPr>
        <w:pStyle w:val="17"/>
        <w:snapToGrid w:val="0"/>
        <w:spacing w:line="360" w:lineRule="auto"/>
        <w:ind w:firstLine="480" w:firstLineChars="200"/>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596FCAD6">
      <w:pPr>
        <w:pStyle w:val="17"/>
        <w:snapToGrid w:val="0"/>
        <w:spacing w:line="360" w:lineRule="auto"/>
        <w:ind w:firstLine="480" w:firstLineChars="200"/>
        <w:rPr>
          <w:rFonts w:hAnsi="宋体"/>
          <w:bCs/>
          <w:color w:val="auto"/>
          <w:sz w:val="24"/>
          <w:szCs w:val="24"/>
        </w:rPr>
      </w:pPr>
      <w:r>
        <w:rPr>
          <w:rFonts w:hint="eastAsia" w:hAnsi="宋体"/>
          <w:bCs/>
          <w:color w:val="auto"/>
          <w:sz w:val="24"/>
          <w:szCs w:val="24"/>
        </w:rPr>
        <w:t>授权代表：</w:t>
      </w:r>
      <w:r>
        <w:rPr>
          <w:rFonts w:hint="eastAsia" w:hAnsi="宋体"/>
          <w:bCs/>
          <w:color w:val="auto"/>
          <w:sz w:val="24"/>
          <w:szCs w:val="24"/>
          <w:u w:val="single"/>
        </w:rPr>
        <w:t xml:space="preserve">                      </w:t>
      </w:r>
    </w:p>
    <w:p w14:paraId="0019888C">
      <w:pPr>
        <w:pStyle w:val="17"/>
        <w:snapToGrid w:val="0"/>
        <w:spacing w:line="360" w:lineRule="auto"/>
        <w:ind w:firstLine="480" w:firstLineChars="200"/>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2A004DEB">
      <w:pPr>
        <w:pStyle w:val="17"/>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63A046F6">
      <w:pPr>
        <w:pStyle w:val="17"/>
        <w:snapToGrid w:val="0"/>
        <w:spacing w:line="360" w:lineRule="auto"/>
        <w:ind w:firstLine="482" w:firstLineChars="200"/>
        <w:rPr>
          <w:rFonts w:hAnsi="宋体"/>
          <w:b/>
          <w:bCs/>
          <w:color w:val="auto"/>
          <w:sz w:val="24"/>
          <w:szCs w:val="24"/>
        </w:rPr>
      </w:pPr>
      <w:r>
        <w:rPr>
          <w:rFonts w:hint="eastAsia" w:hAnsi="宋体"/>
          <w:b/>
          <w:bCs/>
          <w:color w:val="auto"/>
          <w:sz w:val="24"/>
          <w:szCs w:val="24"/>
        </w:rPr>
        <w:t>二、质疑项目基本情况：</w:t>
      </w:r>
    </w:p>
    <w:p w14:paraId="21452ADE">
      <w:pPr>
        <w:pStyle w:val="17"/>
        <w:spacing w:line="360" w:lineRule="auto"/>
        <w:ind w:left="25" w:leftChars="12" w:firstLine="472" w:firstLineChars="197"/>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r>
        <w:rPr>
          <w:rFonts w:hint="eastAsia" w:hAnsi="宋体"/>
          <w:bCs/>
          <w:color w:val="auto"/>
          <w:sz w:val="24"/>
          <w:szCs w:val="24"/>
          <w:u w:val="single"/>
        </w:rPr>
        <w:t xml:space="preserve">                                     </w:t>
      </w:r>
    </w:p>
    <w:p w14:paraId="5ADF9425">
      <w:pPr>
        <w:pStyle w:val="17"/>
        <w:spacing w:line="360" w:lineRule="auto"/>
        <w:ind w:left="25" w:leftChars="12" w:firstLine="472" w:firstLineChars="197"/>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r>
        <w:rPr>
          <w:rFonts w:hint="eastAsia" w:hAnsi="宋体"/>
          <w:bCs/>
          <w:color w:val="auto"/>
          <w:sz w:val="24"/>
          <w:szCs w:val="24"/>
          <w:u w:val="single"/>
        </w:rPr>
        <w:t xml:space="preserve">                                     </w:t>
      </w:r>
    </w:p>
    <w:p w14:paraId="5973DDC6">
      <w:pPr>
        <w:pStyle w:val="17"/>
        <w:spacing w:line="360" w:lineRule="auto"/>
        <w:ind w:left="25" w:leftChars="12" w:firstLine="472" w:firstLineChars="197"/>
        <w:rPr>
          <w:rFonts w:hAnsi="宋体"/>
          <w:color w:val="auto"/>
          <w:sz w:val="24"/>
          <w:szCs w:val="24"/>
        </w:rPr>
      </w:pPr>
      <w:r>
        <w:rPr>
          <w:rFonts w:hint="eastAsia" w:hAnsi="宋体"/>
          <w:color w:val="auto"/>
          <w:sz w:val="24"/>
          <w:szCs w:val="24"/>
        </w:rPr>
        <w:t>采购人名称：</w:t>
      </w:r>
      <w:r>
        <w:rPr>
          <w:rFonts w:hint="eastAsia" w:hAnsi="宋体"/>
          <w:bCs/>
          <w:color w:val="auto"/>
          <w:sz w:val="24"/>
          <w:szCs w:val="24"/>
          <w:u w:val="single"/>
        </w:rPr>
        <w:t xml:space="preserve">                                         </w:t>
      </w:r>
    </w:p>
    <w:p w14:paraId="12175B49">
      <w:pPr>
        <w:pStyle w:val="17"/>
        <w:spacing w:line="360" w:lineRule="auto"/>
        <w:ind w:left="25" w:leftChars="12" w:firstLine="472" w:firstLineChars="197"/>
        <w:rPr>
          <w:rFonts w:hAnsi="宋体"/>
          <w:color w:val="auto"/>
          <w:sz w:val="24"/>
          <w:szCs w:val="24"/>
        </w:rPr>
      </w:pPr>
      <w:r>
        <w:rPr>
          <w:rFonts w:hint="eastAsia" w:hAnsi="宋体"/>
          <w:color w:val="auto"/>
          <w:sz w:val="24"/>
          <w:szCs w:val="24"/>
        </w:rPr>
        <w:t>质疑事项：</w:t>
      </w:r>
    </w:p>
    <w:p w14:paraId="2C74DD1F">
      <w:pPr>
        <w:pStyle w:val="17"/>
        <w:spacing w:line="360" w:lineRule="auto"/>
        <w:ind w:left="25" w:leftChars="12" w:firstLine="352" w:firstLineChars="147"/>
        <w:rPr>
          <w:rFonts w:hAnsi="宋体"/>
          <w:color w:val="auto"/>
          <w:sz w:val="24"/>
          <w:szCs w:val="24"/>
        </w:rPr>
      </w:pPr>
      <w:r>
        <w:rPr>
          <w:rFonts w:hint="eastAsia" w:hAnsi="宋体"/>
          <w:color w:val="auto"/>
          <w:sz w:val="24"/>
          <w:szCs w:val="24"/>
        </w:rPr>
        <w:t>□采购文件   采购文件获取日期：</w:t>
      </w:r>
      <w:r>
        <w:rPr>
          <w:rFonts w:hint="eastAsia" w:hAnsi="宋体"/>
          <w:bCs/>
          <w:color w:val="auto"/>
          <w:sz w:val="24"/>
          <w:szCs w:val="24"/>
          <w:u w:val="single"/>
        </w:rPr>
        <w:t xml:space="preserve">                                   </w:t>
      </w:r>
    </w:p>
    <w:p w14:paraId="3232A006">
      <w:pPr>
        <w:pStyle w:val="17"/>
        <w:spacing w:line="360" w:lineRule="auto"/>
        <w:ind w:left="25" w:leftChars="12" w:firstLine="352" w:firstLineChars="147"/>
        <w:rPr>
          <w:rFonts w:hAnsi="宋体"/>
          <w:color w:val="auto"/>
          <w:sz w:val="24"/>
          <w:szCs w:val="24"/>
        </w:rPr>
      </w:pPr>
      <w:r>
        <w:rPr>
          <w:rFonts w:hint="eastAsia" w:hAnsi="宋体"/>
          <w:color w:val="auto"/>
          <w:sz w:val="24"/>
          <w:szCs w:val="24"/>
        </w:rPr>
        <w:t xml:space="preserve">□采购过程   </w:t>
      </w:r>
    </w:p>
    <w:p w14:paraId="1C4DF9D2">
      <w:pPr>
        <w:pStyle w:val="17"/>
        <w:spacing w:line="360" w:lineRule="auto"/>
        <w:ind w:left="25" w:leftChars="12" w:firstLine="352" w:firstLineChars="147"/>
        <w:rPr>
          <w:rFonts w:hAnsi="宋体"/>
          <w:bCs/>
          <w:color w:val="auto"/>
          <w:sz w:val="24"/>
          <w:szCs w:val="24"/>
          <w:u w:val="single"/>
        </w:rPr>
      </w:pPr>
      <w:r>
        <w:rPr>
          <w:rFonts w:hint="eastAsia" w:hAnsi="宋体"/>
          <w:color w:val="auto"/>
          <w:sz w:val="24"/>
          <w:szCs w:val="24"/>
        </w:rPr>
        <w:t xml:space="preserve">□成交结果   </w:t>
      </w:r>
    </w:p>
    <w:p w14:paraId="29AB6750">
      <w:pPr>
        <w:pStyle w:val="17"/>
        <w:spacing w:line="360" w:lineRule="auto"/>
        <w:ind w:left="25" w:leftChars="12" w:firstLine="472" w:firstLineChars="196"/>
        <w:rPr>
          <w:rFonts w:hAnsi="宋体"/>
          <w:b/>
          <w:color w:val="auto"/>
          <w:sz w:val="24"/>
          <w:szCs w:val="24"/>
        </w:rPr>
      </w:pPr>
      <w:r>
        <w:rPr>
          <w:rFonts w:hint="eastAsia" w:hAnsi="宋体"/>
          <w:b/>
          <w:color w:val="auto"/>
          <w:sz w:val="24"/>
          <w:szCs w:val="24"/>
        </w:rPr>
        <w:t>三、质疑事项具体内容</w:t>
      </w:r>
    </w:p>
    <w:p w14:paraId="0AC262D3">
      <w:pPr>
        <w:pStyle w:val="17"/>
        <w:spacing w:line="360" w:lineRule="auto"/>
        <w:ind w:left="25" w:leftChars="12" w:firstLine="472" w:firstLineChars="197"/>
        <w:rPr>
          <w:rFonts w:hAnsi="宋体"/>
          <w:color w:val="auto"/>
          <w:sz w:val="24"/>
          <w:szCs w:val="24"/>
        </w:rPr>
      </w:pPr>
      <w:r>
        <w:rPr>
          <w:rFonts w:hint="eastAsia" w:hAnsi="宋体"/>
          <w:color w:val="auto"/>
          <w:sz w:val="24"/>
          <w:szCs w:val="24"/>
        </w:rPr>
        <w:t>质疑事项1：</w:t>
      </w:r>
      <w:r>
        <w:rPr>
          <w:rFonts w:hint="eastAsia" w:hAnsi="宋体"/>
          <w:bCs/>
          <w:color w:val="auto"/>
          <w:sz w:val="24"/>
          <w:szCs w:val="24"/>
          <w:u w:val="single"/>
        </w:rPr>
        <w:t xml:space="preserve">                                                                    </w:t>
      </w:r>
    </w:p>
    <w:p w14:paraId="4A337FCF">
      <w:pPr>
        <w:pStyle w:val="17"/>
        <w:spacing w:line="360" w:lineRule="auto"/>
        <w:ind w:left="25" w:leftChars="12" w:firstLine="472" w:firstLineChars="197"/>
        <w:rPr>
          <w:rFonts w:hAnsi="宋体"/>
          <w:color w:val="auto"/>
          <w:sz w:val="24"/>
          <w:szCs w:val="24"/>
        </w:rPr>
      </w:pPr>
      <w:r>
        <w:rPr>
          <w:rFonts w:hint="eastAsia" w:hAnsi="宋体"/>
          <w:color w:val="auto"/>
          <w:sz w:val="24"/>
          <w:szCs w:val="24"/>
        </w:rPr>
        <w:t>事实依据：</w:t>
      </w:r>
      <w:r>
        <w:rPr>
          <w:rFonts w:hint="eastAsia" w:hAnsi="宋体"/>
          <w:bCs/>
          <w:color w:val="auto"/>
          <w:sz w:val="24"/>
          <w:szCs w:val="24"/>
          <w:u w:val="single"/>
        </w:rPr>
        <w:t xml:space="preserve">                                                                      </w:t>
      </w:r>
    </w:p>
    <w:p w14:paraId="665949C6">
      <w:pPr>
        <w:pStyle w:val="17"/>
        <w:spacing w:line="360" w:lineRule="auto"/>
        <w:ind w:left="25" w:leftChars="12" w:firstLine="472" w:firstLineChars="197"/>
        <w:rPr>
          <w:rFonts w:hAnsi="宋体"/>
          <w:color w:val="auto"/>
          <w:sz w:val="24"/>
          <w:szCs w:val="24"/>
        </w:rPr>
      </w:pPr>
      <w:r>
        <w:rPr>
          <w:rFonts w:hint="eastAsia" w:hAnsi="宋体"/>
          <w:color w:val="auto"/>
          <w:sz w:val="24"/>
          <w:szCs w:val="24"/>
        </w:rPr>
        <w:t>法律依据：</w:t>
      </w:r>
      <w:r>
        <w:rPr>
          <w:rFonts w:hint="eastAsia" w:hAnsi="宋体"/>
          <w:color w:val="auto"/>
          <w:sz w:val="24"/>
          <w:szCs w:val="24"/>
          <w:u w:val="single"/>
        </w:rPr>
        <w:t xml:space="preserve">                                                        </w:t>
      </w:r>
      <w:r>
        <w:rPr>
          <w:rFonts w:hint="eastAsia" w:hAnsi="宋体"/>
          <w:bCs/>
          <w:color w:val="auto"/>
          <w:sz w:val="24"/>
          <w:szCs w:val="24"/>
          <w:u w:val="single"/>
        </w:rPr>
        <w:t xml:space="preserve">               </w:t>
      </w:r>
    </w:p>
    <w:p w14:paraId="03BBD828">
      <w:pPr>
        <w:pStyle w:val="17"/>
        <w:spacing w:line="360" w:lineRule="auto"/>
        <w:ind w:left="25" w:leftChars="12" w:firstLine="472" w:firstLineChars="197"/>
        <w:rPr>
          <w:rFonts w:hAnsi="宋体"/>
          <w:color w:val="auto"/>
          <w:sz w:val="24"/>
          <w:szCs w:val="24"/>
        </w:rPr>
      </w:pPr>
      <w:r>
        <w:rPr>
          <w:rFonts w:hint="eastAsia" w:hAnsi="宋体"/>
          <w:color w:val="auto"/>
          <w:sz w:val="24"/>
          <w:szCs w:val="24"/>
        </w:rPr>
        <w:t>质疑事项2</w:t>
      </w:r>
    </w:p>
    <w:p w14:paraId="54A274B2">
      <w:pPr>
        <w:pStyle w:val="17"/>
        <w:spacing w:line="360" w:lineRule="auto"/>
        <w:ind w:left="25" w:leftChars="12" w:firstLine="472" w:firstLineChars="197"/>
        <w:rPr>
          <w:rFonts w:hAnsi="宋体"/>
          <w:color w:val="auto"/>
          <w:sz w:val="24"/>
          <w:szCs w:val="24"/>
        </w:rPr>
      </w:pPr>
      <w:r>
        <w:rPr>
          <w:rFonts w:hAnsi="宋体"/>
          <w:color w:val="auto"/>
          <w:sz w:val="24"/>
          <w:szCs w:val="24"/>
        </w:rPr>
        <w:t>……</w:t>
      </w:r>
    </w:p>
    <w:p w14:paraId="38272AA8">
      <w:pPr>
        <w:pStyle w:val="17"/>
        <w:spacing w:line="360" w:lineRule="auto"/>
        <w:ind w:left="25" w:leftChars="12" w:firstLine="472" w:firstLineChars="197"/>
        <w:rPr>
          <w:rFonts w:hAnsi="宋体"/>
          <w:color w:val="auto"/>
          <w:sz w:val="24"/>
          <w:szCs w:val="24"/>
        </w:rPr>
      </w:pPr>
      <w:r>
        <w:rPr>
          <w:rFonts w:hint="eastAsia" w:hAnsi="宋体"/>
          <w:color w:val="auto"/>
          <w:sz w:val="24"/>
          <w:szCs w:val="24"/>
        </w:rPr>
        <w:t>四、与质疑事项相关的质疑请求：</w:t>
      </w:r>
    </w:p>
    <w:p w14:paraId="26B00B90">
      <w:pPr>
        <w:pStyle w:val="17"/>
        <w:spacing w:line="360" w:lineRule="auto"/>
        <w:ind w:left="25" w:leftChars="12" w:firstLine="472" w:firstLineChars="197"/>
        <w:rPr>
          <w:rFonts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1C1F2455">
      <w:pPr>
        <w:pStyle w:val="17"/>
        <w:spacing w:line="360" w:lineRule="auto"/>
        <w:ind w:left="25" w:leftChars="12" w:firstLine="352" w:firstLineChars="147"/>
        <w:rPr>
          <w:rFonts w:hAnsi="宋体"/>
          <w:color w:val="auto"/>
          <w:sz w:val="24"/>
          <w:szCs w:val="24"/>
        </w:rPr>
      </w:pPr>
    </w:p>
    <w:p w14:paraId="1D82E8E4">
      <w:pPr>
        <w:pStyle w:val="17"/>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14:paraId="536BE643">
      <w:pPr>
        <w:pStyle w:val="17"/>
        <w:spacing w:line="360" w:lineRule="auto"/>
        <w:ind w:left="25" w:leftChars="12" w:firstLine="352" w:firstLineChars="147"/>
        <w:rPr>
          <w:rFonts w:hAnsi="宋体"/>
          <w:color w:val="auto"/>
          <w:sz w:val="24"/>
          <w:szCs w:val="24"/>
        </w:rPr>
      </w:pPr>
    </w:p>
    <w:p w14:paraId="289D1C7E">
      <w:pPr>
        <w:pStyle w:val="17"/>
        <w:spacing w:line="360" w:lineRule="auto"/>
        <w:ind w:left="25" w:leftChars="12" w:firstLine="472" w:firstLineChars="197"/>
        <w:rPr>
          <w:rFonts w:hAnsi="宋体"/>
          <w:color w:val="auto"/>
          <w:sz w:val="24"/>
          <w:szCs w:val="24"/>
        </w:rPr>
      </w:pPr>
      <w:r>
        <w:rPr>
          <w:rFonts w:hint="eastAsia" w:hAnsi="宋体"/>
          <w:color w:val="auto"/>
          <w:sz w:val="24"/>
          <w:szCs w:val="24"/>
        </w:rPr>
        <w:t>日期：</w:t>
      </w:r>
    </w:p>
    <w:p w14:paraId="26545BDD">
      <w:pPr>
        <w:pStyle w:val="17"/>
        <w:snapToGrid w:val="0"/>
        <w:spacing w:line="360" w:lineRule="auto"/>
        <w:rPr>
          <w:rFonts w:hAnsi="宋体"/>
          <w:b/>
          <w:color w:val="auto"/>
          <w:sz w:val="24"/>
          <w:szCs w:val="24"/>
        </w:rPr>
      </w:pPr>
    </w:p>
    <w:p w14:paraId="607BC7A4">
      <w:pPr>
        <w:pStyle w:val="17"/>
        <w:snapToGrid w:val="0"/>
        <w:spacing w:line="360" w:lineRule="auto"/>
        <w:rPr>
          <w:rFonts w:hAnsi="宋体"/>
          <w:b/>
          <w:color w:val="auto"/>
          <w:sz w:val="24"/>
          <w:szCs w:val="24"/>
        </w:rPr>
      </w:pPr>
      <w:r>
        <w:rPr>
          <w:rFonts w:hint="eastAsia" w:hAnsi="宋体"/>
          <w:b/>
          <w:color w:val="auto"/>
          <w:sz w:val="24"/>
          <w:szCs w:val="24"/>
        </w:rPr>
        <w:t>说明：</w:t>
      </w:r>
    </w:p>
    <w:p w14:paraId="432D26EB">
      <w:pPr>
        <w:pStyle w:val="17"/>
        <w:spacing w:line="360" w:lineRule="auto"/>
        <w:ind w:left="25" w:leftChars="12" w:firstLine="354" w:firstLineChars="147"/>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14:paraId="7D3A7C9C">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6F36F43">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3.质疑函的质疑事项应具体、明确，并有必要的事实依据和法律依据。</w:t>
      </w:r>
    </w:p>
    <w:p w14:paraId="146745B8">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4.质疑函的质疑请求应与质疑事项相关。</w:t>
      </w:r>
    </w:p>
    <w:p w14:paraId="381BE0CC">
      <w:pPr>
        <w:pStyle w:val="17"/>
        <w:spacing w:line="360" w:lineRule="auto"/>
        <w:ind w:left="25" w:leftChars="12" w:firstLine="354" w:firstLineChars="147"/>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14:paraId="72D15894">
      <w:pPr>
        <w:pStyle w:val="17"/>
        <w:snapToGrid w:val="0"/>
        <w:rPr>
          <w:b/>
          <w:color w:val="auto"/>
          <w:sz w:val="24"/>
          <w:szCs w:val="24"/>
        </w:rPr>
      </w:pPr>
    </w:p>
    <w:p w14:paraId="6E783BD1">
      <w:pPr>
        <w:spacing w:line="460" w:lineRule="exact"/>
        <w:rPr>
          <w:rFonts w:eastAsia="隶书"/>
          <w:color w:val="auto"/>
          <w:sz w:val="44"/>
        </w:rPr>
      </w:pPr>
    </w:p>
    <w:p w14:paraId="74E6CBA2">
      <w:pPr>
        <w:spacing w:line="460" w:lineRule="exact"/>
        <w:rPr>
          <w:rFonts w:eastAsia="隶书"/>
          <w:color w:val="auto"/>
          <w:sz w:val="44"/>
        </w:rPr>
      </w:pPr>
    </w:p>
    <w:p w14:paraId="13A976FC">
      <w:pPr>
        <w:spacing w:line="460" w:lineRule="exact"/>
        <w:rPr>
          <w:rFonts w:eastAsia="隶书"/>
          <w:color w:val="auto"/>
          <w:sz w:val="44"/>
        </w:rPr>
      </w:pPr>
    </w:p>
    <w:p w14:paraId="19A603CA">
      <w:pPr>
        <w:spacing w:line="460" w:lineRule="exact"/>
        <w:rPr>
          <w:rFonts w:eastAsia="隶书"/>
          <w:color w:val="auto"/>
          <w:sz w:val="44"/>
        </w:rPr>
      </w:pPr>
    </w:p>
    <w:p w14:paraId="2C71501E">
      <w:pPr>
        <w:spacing w:line="460" w:lineRule="exact"/>
        <w:rPr>
          <w:rFonts w:eastAsia="隶书"/>
          <w:color w:val="auto"/>
          <w:sz w:val="44"/>
        </w:rPr>
      </w:pPr>
    </w:p>
    <w:p w14:paraId="22ED6F22">
      <w:pPr>
        <w:spacing w:line="460" w:lineRule="exact"/>
        <w:rPr>
          <w:rFonts w:eastAsia="隶书"/>
          <w:color w:val="auto"/>
          <w:sz w:val="44"/>
        </w:rPr>
      </w:pPr>
    </w:p>
    <w:p w14:paraId="434BF64A">
      <w:pPr>
        <w:spacing w:line="460" w:lineRule="exact"/>
        <w:rPr>
          <w:rFonts w:eastAsia="隶书"/>
          <w:color w:val="auto"/>
          <w:sz w:val="44"/>
        </w:rPr>
      </w:pPr>
    </w:p>
    <w:p w14:paraId="0E5FE745">
      <w:pPr>
        <w:spacing w:line="460" w:lineRule="exact"/>
        <w:rPr>
          <w:rFonts w:eastAsia="隶书"/>
          <w:color w:val="auto"/>
          <w:sz w:val="44"/>
        </w:rPr>
      </w:pPr>
    </w:p>
    <w:p w14:paraId="0A1092C8">
      <w:pPr>
        <w:spacing w:line="460" w:lineRule="exact"/>
        <w:rPr>
          <w:rFonts w:eastAsia="隶书"/>
          <w:color w:val="auto"/>
          <w:sz w:val="44"/>
        </w:rPr>
      </w:pPr>
    </w:p>
    <w:p w14:paraId="1D80F34E">
      <w:pPr>
        <w:spacing w:line="460" w:lineRule="exact"/>
        <w:rPr>
          <w:rFonts w:eastAsia="隶书"/>
          <w:color w:val="auto"/>
          <w:sz w:val="44"/>
        </w:rPr>
      </w:pPr>
    </w:p>
    <w:p w14:paraId="0726839A">
      <w:pPr>
        <w:spacing w:line="460" w:lineRule="exact"/>
        <w:rPr>
          <w:rFonts w:eastAsia="隶书"/>
          <w:color w:val="auto"/>
          <w:sz w:val="44"/>
        </w:rPr>
      </w:pPr>
    </w:p>
    <w:p w14:paraId="28C62ECA">
      <w:pPr>
        <w:spacing w:line="460" w:lineRule="exact"/>
        <w:rPr>
          <w:rFonts w:eastAsia="隶书"/>
          <w:color w:val="auto"/>
          <w:sz w:val="44"/>
        </w:rPr>
      </w:pPr>
    </w:p>
    <w:p w14:paraId="02B92BC5">
      <w:pPr>
        <w:spacing w:line="460" w:lineRule="exact"/>
        <w:rPr>
          <w:rFonts w:eastAsia="隶书"/>
          <w:color w:val="auto"/>
          <w:sz w:val="44"/>
        </w:rPr>
      </w:pPr>
    </w:p>
    <w:p w14:paraId="60514F34">
      <w:pPr>
        <w:spacing w:line="460" w:lineRule="exact"/>
        <w:rPr>
          <w:rFonts w:eastAsia="隶书"/>
          <w:color w:val="auto"/>
          <w:sz w:val="44"/>
        </w:rPr>
      </w:pPr>
    </w:p>
    <w:p w14:paraId="7587AB0B">
      <w:pPr>
        <w:spacing w:line="460" w:lineRule="exact"/>
        <w:rPr>
          <w:rFonts w:eastAsia="隶书"/>
          <w:color w:val="auto"/>
          <w:sz w:val="44"/>
        </w:rPr>
      </w:pPr>
    </w:p>
    <w:p w14:paraId="436C5E76">
      <w:pPr>
        <w:spacing w:line="460" w:lineRule="exact"/>
        <w:rPr>
          <w:rFonts w:eastAsia="隶书"/>
          <w:color w:val="auto"/>
          <w:sz w:val="44"/>
        </w:rPr>
      </w:pPr>
    </w:p>
    <w:p w14:paraId="0E7302E8">
      <w:pPr>
        <w:spacing w:line="460" w:lineRule="exact"/>
        <w:rPr>
          <w:rFonts w:eastAsia="隶书"/>
          <w:color w:val="auto"/>
          <w:sz w:val="44"/>
        </w:rPr>
      </w:pPr>
    </w:p>
    <w:p w14:paraId="67B836B9">
      <w:pPr>
        <w:spacing w:line="460" w:lineRule="exact"/>
        <w:rPr>
          <w:rFonts w:eastAsia="隶书"/>
          <w:color w:val="auto"/>
          <w:sz w:val="44"/>
        </w:rPr>
      </w:pPr>
    </w:p>
    <w:p w14:paraId="1250A028">
      <w:pPr>
        <w:spacing w:line="360" w:lineRule="auto"/>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投诉书（格式）</w:t>
      </w:r>
    </w:p>
    <w:p w14:paraId="5BC8FAFD">
      <w:pPr>
        <w:pStyle w:val="17"/>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14:paraId="1E76883C">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4EC5518B">
      <w:pPr>
        <w:pStyle w:val="17"/>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0EC7A86D">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法定代表人/主要负责人：</w:t>
      </w:r>
      <w:r>
        <w:rPr>
          <w:rFonts w:hint="eastAsia" w:hAnsi="宋体"/>
          <w:bCs/>
          <w:color w:val="auto"/>
          <w:sz w:val="24"/>
          <w:szCs w:val="24"/>
          <w:u w:val="single"/>
        </w:rPr>
        <w:t xml:space="preserve">                                                         </w:t>
      </w:r>
    </w:p>
    <w:p w14:paraId="0930FA77">
      <w:pPr>
        <w:pStyle w:val="17"/>
        <w:snapToGrid w:val="0"/>
        <w:spacing w:line="360" w:lineRule="auto"/>
        <w:ind w:firstLine="480" w:firstLineChars="200"/>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043854B0">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0929318E">
      <w:pPr>
        <w:pStyle w:val="17"/>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p>
    <w:p w14:paraId="659E0FB0">
      <w:pPr>
        <w:pStyle w:val="17"/>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171ACD4D">
      <w:pPr>
        <w:pStyle w:val="17"/>
        <w:snapToGrid w:val="0"/>
        <w:spacing w:line="360" w:lineRule="auto"/>
        <w:ind w:firstLine="480" w:firstLineChars="200"/>
        <w:rPr>
          <w:rFonts w:hAnsi="宋体"/>
          <w:bCs/>
          <w:color w:val="auto"/>
          <w:sz w:val="24"/>
          <w:szCs w:val="24"/>
        </w:rPr>
      </w:pPr>
      <w:r>
        <w:rPr>
          <w:rFonts w:hint="eastAsia" w:hAnsi="宋体"/>
          <w:bCs/>
          <w:color w:val="auto"/>
          <w:sz w:val="24"/>
          <w:szCs w:val="24"/>
        </w:rPr>
        <w:t>被投诉人1：</w:t>
      </w:r>
    </w:p>
    <w:p w14:paraId="49ECE240">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w:t>
      </w:r>
      <w:r>
        <w:rPr>
          <w:rFonts w:hint="eastAsia" w:hAnsi="宋体"/>
          <w:bCs/>
          <w:color w:val="auto"/>
          <w:sz w:val="24"/>
          <w:szCs w:val="24"/>
          <w:u w:val="single"/>
        </w:rPr>
        <w:t xml:space="preserve">                                                            </w:t>
      </w:r>
    </w:p>
    <w:p w14:paraId="04247BD2">
      <w:pPr>
        <w:pStyle w:val="17"/>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1A5D696B">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38A49EDB">
      <w:pPr>
        <w:pStyle w:val="17"/>
        <w:snapToGrid w:val="0"/>
        <w:spacing w:line="360" w:lineRule="auto"/>
        <w:ind w:firstLine="480" w:firstLineChars="200"/>
        <w:rPr>
          <w:rFonts w:hAnsi="宋体"/>
          <w:bCs/>
          <w:color w:val="auto"/>
          <w:sz w:val="24"/>
          <w:szCs w:val="24"/>
        </w:rPr>
      </w:pPr>
      <w:r>
        <w:rPr>
          <w:rFonts w:hint="eastAsia" w:hAnsi="宋体"/>
          <w:bCs/>
          <w:color w:val="auto"/>
          <w:sz w:val="24"/>
          <w:szCs w:val="24"/>
        </w:rPr>
        <w:t>被投诉人2：</w:t>
      </w:r>
    </w:p>
    <w:p w14:paraId="7BECF826">
      <w:pPr>
        <w:pStyle w:val="17"/>
        <w:snapToGrid w:val="0"/>
        <w:spacing w:line="360" w:lineRule="auto"/>
        <w:ind w:firstLine="480" w:firstLineChars="200"/>
        <w:rPr>
          <w:rFonts w:hAnsi="宋体"/>
          <w:bCs/>
          <w:color w:val="auto"/>
          <w:sz w:val="24"/>
          <w:szCs w:val="24"/>
        </w:rPr>
      </w:pPr>
      <w:r>
        <w:rPr>
          <w:rFonts w:hAnsi="宋体"/>
          <w:bCs/>
          <w:color w:val="auto"/>
          <w:sz w:val="24"/>
          <w:szCs w:val="24"/>
        </w:rPr>
        <w:t>……</w:t>
      </w:r>
    </w:p>
    <w:p w14:paraId="40EB1B17">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相关供应商：</w:t>
      </w:r>
      <w:r>
        <w:rPr>
          <w:rFonts w:hint="eastAsia" w:hAnsi="宋体"/>
          <w:bCs/>
          <w:color w:val="auto"/>
          <w:sz w:val="24"/>
          <w:szCs w:val="24"/>
          <w:u w:val="single"/>
        </w:rPr>
        <w:t xml:space="preserve">                                                                       </w:t>
      </w:r>
    </w:p>
    <w:p w14:paraId="36915B2C">
      <w:pPr>
        <w:pStyle w:val="17"/>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4ED2D6BA">
      <w:pPr>
        <w:pStyle w:val="17"/>
        <w:snapToGrid w:val="0"/>
        <w:spacing w:line="360" w:lineRule="auto"/>
        <w:ind w:firstLine="480" w:firstLineChars="200"/>
        <w:rPr>
          <w:rFonts w:hAnsi="宋体"/>
          <w:bCs/>
          <w:color w:val="auto"/>
          <w:sz w:val="24"/>
          <w:szCs w:val="24"/>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r>
        <w:rPr>
          <w:rFonts w:hint="eastAsia" w:hAnsi="宋体"/>
          <w:bCs/>
          <w:color w:val="auto"/>
          <w:sz w:val="24"/>
          <w:szCs w:val="24"/>
        </w:rPr>
        <w:t xml:space="preserve">                </w:t>
      </w:r>
    </w:p>
    <w:p w14:paraId="2B5B3836">
      <w:pPr>
        <w:pStyle w:val="17"/>
        <w:snapToGrid w:val="0"/>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p>
    <w:p w14:paraId="03AA3CBA">
      <w:pPr>
        <w:pStyle w:val="17"/>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r>
        <w:rPr>
          <w:rFonts w:hint="eastAsia" w:hAnsi="宋体"/>
          <w:bCs/>
          <w:color w:val="auto"/>
          <w:sz w:val="24"/>
          <w:szCs w:val="24"/>
          <w:u w:val="single"/>
        </w:rPr>
        <w:t xml:space="preserve">                                                                   </w:t>
      </w:r>
    </w:p>
    <w:p w14:paraId="605680C6">
      <w:pPr>
        <w:pStyle w:val="17"/>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r>
        <w:rPr>
          <w:rFonts w:hint="eastAsia" w:hAnsi="宋体"/>
          <w:bCs/>
          <w:color w:val="auto"/>
          <w:sz w:val="24"/>
          <w:szCs w:val="24"/>
          <w:u w:val="single"/>
        </w:rPr>
        <w:t xml:space="preserve">                                          </w:t>
      </w:r>
    </w:p>
    <w:p w14:paraId="2091D541">
      <w:pPr>
        <w:pStyle w:val="17"/>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r>
        <w:rPr>
          <w:rFonts w:hint="eastAsia" w:hAnsi="宋体"/>
          <w:bCs/>
          <w:color w:val="auto"/>
          <w:sz w:val="24"/>
          <w:szCs w:val="24"/>
          <w:u w:val="single"/>
        </w:rPr>
        <w:t xml:space="preserve">                                                                        </w:t>
      </w:r>
    </w:p>
    <w:p w14:paraId="10A301C6">
      <w:pPr>
        <w:pStyle w:val="17"/>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r>
        <w:rPr>
          <w:rFonts w:hint="eastAsia" w:hAnsi="宋体"/>
          <w:bCs/>
          <w:color w:val="auto"/>
          <w:sz w:val="24"/>
          <w:szCs w:val="24"/>
          <w:u w:val="single"/>
        </w:rPr>
        <w:t xml:space="preserve">                                                                      </w:t>
      </w:r>
    </w:p>
    <w:p w14:paraId="6369A6CA">
      <w:pPr>
        <w:pStyle w:val="17"/>
        <w:spacing w:line="360" w:lineRule="auto"/>
        <w:ind w:left="25" w:leftChars="12" w:firstLine="472" w:firstLineChars="197"/>
        <w:rPr>
          <w:rFonts w:hAnsi="宋体"/>
          <w:bCs/>
          <w:color w:val="auto"/>
          <w:sz w:val="24"/>
          <w:szCs w:val="24"/>
          <w:u w:val="single"/>
        </w:rPr>
      </w:pPr>
      <w:r>
        <w:rPr>
          <w:rFonts w:hint="eastAsia" w:hAnsi="宋体"/>
          <w:bCs/>
          <w:color w:val="auto"/>
          <w:sz w:val="24"/>
          <w:szCs w:val="24"/>
        </w:rPr>
        <w:t>采购文件公告：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469266FC">
      <w:pPr>
        <w:pStyle w:val="17"/>
        <w:spacing w:line="360" w:lineRule="auto"/>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3D5F90E6">
      <w:pPr>
        <w:pStyle w:val="17"/>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14:paraId="3BBC883A">
      <w:pPr>
        <w:pStyle w:val="17"/>
        <w:spacing w:line="360" w:lineRule="auto"/>
        <w:ind w:left="25" w:leftChars="12" w:firstLine="480" w:firstLineChars="200"/>
        <w:rPr>
          <w:rFonts w:hAnsi="宋体"/>
          <w:color w:val="auto"/>
          <w:sz w:val="24"/>
          <w:szCs w:val="24"/>
        </w:rPr>
      </w:pPr>
      <w:r>
        <w:rPr>
          <w:rFonts w:hint="eastAsia" w:hAnsi="宋体"/>
          <w:color w:val="auto"/>
          <w:sz w:val="24"/>
          <w:szCs w:val="24"/>
        </w:rPr>
        <w:t>投诉人于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日，向</w:t>
      </w:r>
      <w:r>
        <w:rPr>
          <w:rFonts w:hint="eastAsia" w:hAnsi="宋体"/>
          <w:color w:val="auto"/>
          <w:sz w:val="24"/>
          <w:szCs w:val="24"/>
          <w:u w:val="single"/>
        </w:rPr>
        <w:t xml:space="preserve">                                </w:t>
      </w:r>
      <w:r>
        <w:rPr>
          <w:rFonts w:hint="eastAsia" w:hAnsi="宋体"/>
          <w:color w:val="auto"/>
          <w:sz w:val="24"/>
          <w:szCs w:val="24"/>
        </w:rPr>
        <w:t>提出质疑，质疑事项为：</w:t>
      </w:r>
    </w:p>
    <w:p w14:paraId="6EA24A85">
      <w:pPr>
        <w:pStyle w:val="17"/>
        <w:spacing w:line="360" w:lineRule="auto"/>
        <w:ind w:firstLine="241"/>
        <w:rPr>
          <w:rFonts w:hAnsi="宋体"/>
          <w:bCs/>
          <w:color w:val="auto"/>
          <w:sz w:val="24"/>
          <w:szCs w:val="24"/>
          <w:u w:val="single"/>
        </w:rPr>
      </w:pPr>
      <w:r>
        <w:rPr>
          <w:rFonts w:hint="eastAsia" w:hAnsi="宋体"/>
          <w:color w:val="auto"/>
          <w:sz w:val="24"/>
          <w:szCs w:val="24"/>
        </w:rPr>
        <w:t xml:space="preserve">    </w:t>
      </w:r>
      <w:r>
        <w:rPr>
          <w:rFonts w:hint="eastAsia" w:hAnsi="宋体"/>
          <w:bCs/>
          <w:color w:val="auto"/>
          <w:sz w:val="24"/>
          <w:szCs w:val="24"/>
          <w:u w:val="single"/>
        </w:rPr>
        <w:t xml:space="preserve">                                                                                      </w:t>
      </w:r>
    </w:p>
    <w:p w14:paraId="4FE89A07">
      <w:pPr>
        <w:pStyle w:val="17"/>
        <w:spacing w:line="360" w:lineRule="auto"/>
        <w:ind w:firstLine="241"/>
        <w:rPr>
          <w:rFonts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757C61A1">
      <w:pPr>
        <w:pStyle w:val="17"/>
        <w:spacing w:line="360" w:lineRule="auto"/>
        <w:ind w:firstLine="241"/>
        <w:rPr>
          <w:rFonts w:hAnsi="宋体"/>
          <w:color w:val="auto"/>
          <w:sz w:val="24"/>
          <w:szCs w:val="24"/>
        </w:rPr>
      </w:pPr>
      <w:r>
        <w:rPr>
          <w:rFonts w:hint="eastAsia" w:hAnsi="宋体"/>
          <w:bCs/>
          <w:color w:val="auto"/>
          <w:sz w:val="24"/>
          <w:szCs w:val="24"/>
        </w:rPr>
        <w:t xml:space="preserve">  </w:t>
      </w: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r>
        <w:rPr>
          <w:rFonts w:hint="eastAsia" w:hAnsi="宋体"/>
          <w:bCs/>
          <w:color w:val="auto"/>
          <w:sz w:val="24"/>
          <w:szCs w:val="24"/>
        </w:rPr>
        <w:t xml:space="preserve">就质疑事项作出了答复/没有在法定期限内作出答复。                                                                                             </w:t>
      </w:r>
    </w:p>
    <w:p w14:paraId="5DE8982A">
      <w:pPr>
        <w:pStyle w:val="17"/>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14:paraId="428F1748">
      <w:pPr>
        <w:pStyle w:val="17"/>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投诉事项1：</w:t>
      </w:r>
      <w:r>
        <w:rPr>
          <w:rFonts w:hint="eastAsia" w:hAnsi="宋体"/>
          <w:bCs/>
          <w:color w:val="auto"/>
          <w:sz w:val="24"/>
          <w:szCs w:val="24"/>
          <w:u w:val="single"/>
        </w:rPr>
        <w:t xml:space="preserve">                                                                           </w:t>
      </w:r>
    </w:p>
    <w:p w14:paraId="055F5359">
      <w:pPr>
        <w:pStyle w:val="17"/>
        <w:spacing w:line="360" w:lineRule="auto"/>
        <w:ind w:firstLine="480" w:firstLineChars="200"/>
        <w:rPr>
          <w:rFonts w:hAnsi="宋体"/>
          <w:bCs/>
          <w:color w:val="auto"/>
          <w:sz w:val="24"/>
          <w:szCs w:val="24"/>
          <w:u w:val="single"/>
        </w:rPr>
      </w:pPr>
      <w:r>
        <w:rPr>
          <w:rFonts w:hint="eastAsia" w:hAnsi="宋体"/>
          <w:bCs/>
          <w:color w:val="auto"/>
          <w:sz w:val="24"/>
          <w:szCs w:val="24"/>
        </w:rPr>
        <w:t>事实依据：</w:t>
      </w:r>
      <w:r>
        <w:rPr>
          <w:rFonts w:hint="eastAsia" w:hAnsi="宋体"/>
          <w:color w:val="auto"/>
          <w:sz w:val="24"/>
          <w:szCs w:val="24"/>
        </w:rPr>
        <w:t xml:space="preserve"> </w:t>
      </w:r>
      <w:r>
        <w:rPr>
          <w:rFonts w:hint="eastAsia" w:hAnsi="宋体"/>
          <w:bCs/>
          <w:color w:val="auto"/>
          <w:sz w:val="24"/>
          <w:szCs w:val="24"/>
          <w:u w:val="single"/>
        </w:rPr>
        <w:t xml:space="preserve">                                                                                      </w:t>
      </w:r>
    </w:p>
    <w:p w14:paraId="5B250550">
      <w:pPr>
        <w:pStyle w:val="17"/>
        <w:spacing w:line="360" w:lineRule="auto"/>
        <w:ind w:left="25" w:leftChars="12" w:firstLine="472" w:firstLineChars="197"/>
        <w:rPr>
          <w:rFonts w:hAnsi="宋体"/>
          <w:color w:val="auto"/>
          <w:sz w:val="24"/>
          <w:szCs w:val="24"/>
        </w:rPr>
      </w:pPr>
      <w:r>
        <w:rPr>
          <w:rFonts w:hint="eastAsia" w:hAnsi="宋体"/>
          <w:bCs/>
          <w:color w:val="auto"/>
          <w:sz w:val="24"/>
          <w:szCs w:val="24"/>
          <w:u w:val="single"/>
        </w:rPr>
        <w:t xml:space="preserve">                                                                                        </w:t>
      </w:r>
    </w:p>
    <w:p w14:paraId="5D05AD36">
      <w:pPr>
        <w:pStyle w:val="17"/>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r>
        <w:rPr>
          <w:rFonts w:hint="eastAsia" w:hAnsi="宋体"/>
          <w:color w:val="auto"/>
          <w:sz w:val="24"/>
          <w:szCs w:val="24"/>
        </w:rPr>
        <w:t xml:space="preserve"> </w:t>
      </w:r>
      <w:r>
        <w:rPr>
          <w:rFonts w:hint="eastAsia" w:hAnsi="宋体"/>
          <w:bCs/>
          <w:color w:val="auto"/>
          <w:sz w:val="24"/>
          <w:szCs w:val="24"/>
          <w:u w:val="single"/>
        </w:rPr>
        <w:t xml:space="preserve">                                                                                      </w:t>
      </w:r>
    </w:p>
    <w:p w14:paraId="4EF12EED">
      <w:pPr>
        <w:pStyle w:val="17"/>
        <w:spacing w:line="360" w:lineRule="auto"/>
        <w:ind w:left="25" w:leftChars="12" w:firstLine="352" w:firstLineChars="147"/>
        <w:rPr>
          <w:rFonts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0FBBEB7C">
      <w:pPr>
        <w:pStyle w:val="17"/>
        <w:spacing w:line="360" w:lineRule="auto"/>
        <w:ind w:left="25" w:leftChars="12" w:firstLine="472" w:firstLineChars="197"/>
        <w:rPr>
          <w:rFonts w:hAnsi="宋体"/>
          <w:bCs/>
          <w:color w:val="auto"/>
          <w:sz w:val="24"/>
          <w:szCs w:val="24"/>
        </w:rPr>
      </w:pPr>
      <w:r>
        <w:rPr>
          <w:rFonts w:hint="eastAsia" w:hAnsi="宋体"/>
          <w:color w:val="auto"/>
          <w:sz w:val="24"/>
          <w:szCs w:val="24"/>
        </w:rPr>
        <w:t xml:space="preserve">投诉事项2  </w:t>
      </w:r>
      <w:r>
        <w:rPr>
          <w:rFonts w:hint="eastAsia" w:hAnsi="宋体"/>
          <w:bCs/>
          <w:color w:val="auto"/>
          <w:sz w:val="24"/>
          <w:szCs w:val="24"/>
        </w:rPr>
        <w:t xml:space="preserve">   </w:t>
      </w:r>
    </w:p>
    <w:p w14:paraId="451527F1">
      <w:pPr>
        <w:pStyle w:val="17"/>
        <w:spacing w:line="360" w:lineRule="auto"/>
        <w:ind w:left="25" w:leftChars="12" w:firstLine="472" w:firstLineChars="197"/>
        <w:rPr>
          <w:rFonts w:hAnsi="宋体"/>
          <w:bCs/>
          <w:color w:val="auto"/>
          <w:sz w:val="24"/>
          <w:szCs w:val="24"/>
        </w:rPr>
      </w:pPr>
      <w:r>
        <w:rPr>
          <w:rFonts w:hAnsi="宋体"/>
          <w:bCs/>
          <w:color w:val="auto"/>
          <w:sz w:val="24"/>
          <w:szCs w:val="24"/>
        </w:rPr>
        <w:t>……</w:t>
      </w:r>
    </w:p>
    <w:p w14:paraId="2C4AA41B">
      <w:pPr>
        <w:pStyle w:val="17"/>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14:paraId="1772031E">
      <w:pPr>
        <w:pStyle w:val="17"/>
        <w:spacing w:line="360" w:lineRule="auto"/>
        <w:ind w:left="25" w:leftChars="12" w:firstLine="472" w:firstLineChars="197"/>
        <w:rPr>
          <w:rFonts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3B73EA9A">
      <w:pPr>
        <w:pStyle w:val="17"/>
        <w:spacing w:line="360" w:lineRule="auto"/>
        <w:ind w:left="25" w:leftChars="12" w:firstLine="352" w:firstLineChars="147"/>
        <w:rPr>
          <w:rFonts w:hAnsi="宋体"/>
          <w:color w:val="auto"/>
          <w:sz w:val="24"/>
          <w:szCs w:val="24"/>
        </w:rPr>
      </w:pPr>
    </w:p>
    <w:p w14:paraId="37B758ED">
      <w:pPr>
        <w:pStyle w:val="17"/>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14:paraId="36C9A000">
      <w:pPr>
        <w:pStyle w:val="17"/>
        <w:spacing w:line="360" w:lineRule="auto"/>
        <w:ind w:left="25" w:leftChars="12" w:firstLine="352" w:firstLineChars="147"/>
        <w:rPr>
          <w:rFonts w:hAnsi="宋体"/>
          <w:color w:val="auto"/>
          <w:sz w:val="24"/>
          <w:szCs w:val="24"/>
        </w:rPr>
      </w:pPr>
    </w:p>
    <w:p w14:paraId="7CEC87CA">
      <w:pPr>
        <w:pStyle w:val="17"/>
        <w:spacing w:line="360" w:lineRule="auto"/>
        <w:ind w:left="25" w:leftChars="12" w:firstLine="472" w:firstLineChars="197"/>
        <w:rPr>
          <w:rFonts w:hAnsi="宋体"/>
          <w:color w:val="auto"/>
          <w:sz w:val="24"/>
          <w:szCs w:val="24"/>
        </w:rPr>
      </w:pPr>
      <w:r>
        <w:rPr>
          <w:rFonts w:hint="eastAsia" w:hAnsi="宋体"/>
          <w:color w:val="auto"/>
          <w:sz w:val="24"/>
          <w:szCs w:val="24"/>
        </w:rPr>
        <w:t>日期：</w:t>
      </w:r>
    </w:p>
    <w:p w14:paraId="1C0031A9">
      <w:pPr>
        <w:pStyle w:val="17"/>
        <w:spacing w:line="360" w:lineRule="auto"/>
        <w:ind w:left="25" w:leftChars="12" w:firstLine="472" w:firstLineChars="197"/>
        <w:rPr>
          <w:rFonts w:hAnsi="宋体"/>
          <w:color w:val="auto"/>
          <w:sz w:val="24"/>
          <w:szCs w:val="24"/>
        </w:rPr>
      </w:pPr>
      <w:r>
        <w:rPr>
          <w:rFonts w:hint="eastAsia" w:hAnsi="宋体"/>
          <w:bCs/>
          <w:color w:val="auto"/>
          <w:sz w:val="24"/>
          <w:szCs w:val="24"/>
        </w:rPr>
        <w:t xml:space="preserve">                                                                                 </w:t>
      </w:r>
    </w:p>
    <w:p w14:paraId="77DDB418">
      <w:pPr>
        <w:pStyle w:val="17"/>
        <w:snapToGrid w:val="0"/>
        <w:spacing w:line="440" w:lineRule="exact"/>
        <w:rPr>
          <w:rFonts w:hAnsi="宋体"/>
          <w:b/>
          <w:color w:val="auto"/>
          <w:sz w:val="24"/>
          <w:szCs w:val="24"/>
        </w:rPr>
      </w:pPr>
      <w:r>
        <w:rPr>
          <w:rFonts w:hint="eastAsia" w:hAnsi="宋体"/>
          <w:b/>
          <w:color w:val="auto"/>
          <w:sz w:val="24"/>
          <w:szCs w:val="24"/>
        </w:rPr>
        <w:t>说明：</w:t>
      </w:r>
    </w:p>
    <w:p w14:paraId="35B934F2">
      <w:pPr>
        <w:pStyle w:val="17"/>
        <w:spacing w:line="440" w:lineRule="exact"/>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14:paraId="02F0263D">
      <w:pPr>
        <w:pStyle w:val="17"/>
        <w:spacing w:line="440" w:lineRule="exact"/>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8E8271C">
      <w:pPr>
        <w:pStyle w:val="17"/>
        <w:spacing w:line="440" w:lineRule="exact"/>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14:paraId="66C6A1AE">
      <w:pPr>
        <w:pStyle w:val="17"/>
        <w:spacing w:line="440" w:lineRule="exact"/>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14:paraId="3BA943CA">
      <w:pPr>
        <w:pStyle w:val="17"/>
        <w:spacing w:line="440" w:lineRule="exact"/>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14:paraId="3B2C939E">
      <w:pPr>
        <w:pStyle w:val="17"/>
        <w:spacing w:line="440" w:lineRule="exact"/>
        <w:ind w:left="25" w:leftChars="12" w:firstLine="354" w:firstLineChars="147"/>
        <w:rPr>
          <w:rFonts w:hAnsi="宋体"/>
          <w:b/>
          <w:color w:val="auto"/>
        </w:rPr>
      </w:pPr>
      <w:r>
        <w:rPr>
          <w:rFonts w:hint="eastAsia" w:hAnsi="宋体"/>
          <w:b/>
          <w:color w:val="auto"/>
          <w:sz w:val="24"/>
          <w:szCs w:val="24"/>
        </w:rPr>
        <w:t>6.投诉人为法人或者其他组织的，投诉书应由法定代表人、主要负责人，或者其授权代表签字或者盖章，并加盖公章。</w:t>
      </w:r>
    </w:p>
    <w:p w14:paraId="5EBE48D3">
      <w:pPr>
        <w:pStyle w:val="2"/>
        <w:jc w:val="center"/>
        <w:rPr>
          <w:color w:val="auto"/>
        </w:rPr>
      </w:pPr>
      <w:bookmarkStart w:id="97" w:name="_Toc74322610"/>
    </w:p>
    <w:p w14:paraId="54EE300D">
      <w:pPr>
        <w:pStyle w:val="2"/>
        <w:jc w:val="center"/>
        <w:rPr>
          <w:color w:val="auto"/>
        </w:rPr>
      </w:pPr>
    </w:p>
    <w:p w14:paraId="77E24B1A">
      <w:pPr>
        <w:pStyle w:val="2"/>
        <w:jc w:val="center"/>
        <w:rPr>
          <w:color w:val="auto"/>
        </w:rPr>
      </w:pPr>
    </w:p>
    <w:p w14:paraId="33CB5215">
      <w:pPr>
        <w:pStyle w:val="2"/>
        <w:jc w:val="center"/>
        <w:rPr>
          <w:color w:val="auto"/>
        </w:rPr>
      </w:pPr>
    </w:p>
    <w:p w14:paraId="13D6756A">
      <w:pPr>
        <w:pStyle w:val="2"/>
        <w:jc w:val="center"/>
        <w:rPr>
          <w:color w:val="auto"/>
        </w:rPr>
      </w:pPr>
      <w:r>
        <w:rPr>
          <w:rFonts w:hint="eastAsia"/>
          <w:color w:val="auto"/>
        </w:rPr>
        <w:t>第六章 合同文本</w:t>
      </w:r>
      <w:bookmarkEnd w:id="97"/>
    </w:p>
    <w:p w14:paraId="785176C1">
      <w:pPr>
        <w:snapToGrid w:val="0"/>
        <w:spacing w:line="400" w:lineRule="exact"/>
        <w:jc w:val="center"/>
        <w:rPr>
          <w:rFonts w:ascii="仿宋_GB2312" w:hAnsi="华文中宋" w:eastAsia="仿宋_GB2312"/>
          <w:b/>
          <w:bCs/>
          <w:color w:val="auto"/>
          <w:sz w:val="32"/>
          <w:szCs w:val="32"/>
        </w:rPr>
      </w:pPr>
    </w:p>
    <w:p w14:paraId="07B4F99C">
      <w:pPr>
        <w:snapToGrid w:val="0"/>
        <w:spacing w:line="400" w:lineRule="exact"/>
        <w:jc w:val="center"/>
        <w:rPr>
          <w:rFonts w:ascii="宋体" w:hAnsi="宋体"/>
          <w:b/>
          <w:bCs/>
          <w:color w:val="auto"/>
          <w:sz w:val="32"/>
          <w:szCs w:val="32"/>
        </w:rPr>
      </w:pPr>
    </w:p>
    <w:p w14:paraId="362E5B2D">
      <w:pPr>
        <w:snapToGrid w:val="0"/>
        <w:spacing w:line="400" w:lineRule="exact"/>
        <w:jc w:val="center"/>
        <w:rPr>
          <w:rFonts w:ascii="宋体" w:hAnsi="宋体"/>
          <w:b/>
          <w:bCs/>
          <w:color w:val="auto"/>
          <w:sz w:val="32"/>
          <w:szCs w:val="32"/>
        </w:rPr>
      </w:pPr>
    </w:p>
    <w:p w14:paraId="40856747">
      <w:pPr>
        <w:snapToGrid w:val="0"/>
        <w:spacing w:line="400" w:lineRule="exact"/>
        <w:jc w:val="center"/>
        <w:rPr>
          <w:rFonts w:ascii="宋体" w:hAnsi="宋体"/>
          <w:b/>
          <w:bCs/>
          <w:color w:val="auto"/>
          <w:sz w:val="32"/>
          <w:szCs w:val="32"/>
        </w:rPr>
      </w:pPr>
    </w:p>
    <w:p w14:paraId="7141D220">
      <w:pPr>
        <w:snapToGrid w:val="0"/>
        <w:spacing w:line="400" w:lineRule="exact"/>
        <w:jc w:val="center"/>
        <w:rPr>
          <w:rFonts w:ascii="宋体" w:hAnsi="宋体"/>
          <w:b/>
          <w:bCs/>
          <w:color w:val="auto"/>
          <w:sz w:val="32"/>
          <w:szCs w:val="32"/>
        </w:rPr>
      </w:pPr>
    </w:p>
    <w:p w14:paraId="2CED96A8">
      <w:pPr>
        <w:snapToGrid w:val="0"/>
        <w:spacing w:line="400" w:lineRule="exact"/>
        <w:jc w:val="center"/>
        <w:rPr>
          <w:rFonts w:ascii="宋体" w:hAnsi="宋体"/>
          <w:b/>
          <w:bCs/>
          <w:color w:val="auto"/>
          <w:sz w:val="32"/>
          <w:szCs w:val="32"/>
        </w:rPr>
      </w:pPr>
    </w:p>
    <w:p w14:paraId="496B0B16">
      <w:pPr>
        <w:snapToGrid w:val="0"/>
        <w:spacing w:line="400" w:lineRule="exact"/>
        <w:jc w:val="center"/>
        <w:rPr>
          <w:rFonts w:ascii="宋体" w:hAnsi="宋体"/>
          <w:b/>
          <w:bCs/>
          <w:color w:val="auto"/>
          <w:sz w:val="32"/>
          <w:szCs w:val="32"/>
        </w:rPr>
      </w:pPr>
    </w:p>
    <w:p w14:paraId="4999B289">
      <w:pPr>
        <w:snapToGrid w:val="0"/>
        <w:spacing w:line="400" w:lineRule="exact"/>
        <w:jc w:val="center"/>
        <w:rPr>
          <w:rFonts w:ascii="宋体" w:hAnsi="宋体"/>
          <w:b/>
          <w:bCs/>
          <w:color w:val="auto"/>
          <w:sz w:val="32"/>
          <w:szCs w:val="32"/>
        </w:rPr>
      </w:pPr>
    </w:p>
    <w:p w14:paraId="2D38D570">
      <w:pPr>
        <w:snapToGrid w:val="0"/>
        <w:spacing w:line="400" w:lineRule="exact"/>
        <w:jc w:val="center"/>
        <w:rPr>
          <w:rFonts w:ascii="宋体" w:hAnsi="宋体"/>
          <w:b/>
          <w:bCs/>
          <w:color w:val="auto"/>
          <w:sz w:val="32"/>
          <w:szCs w:val="32"/>
        </w:rPr>
      </w:pPr>
    </w:p>
    <w:p w14:paraId="39B8B28D">
      <w:pPr>
        <w:snapToGrid w:val="0"/>
        <w:spacing w:line="400" w:lineRule="exact"/>
        <w:jc w:val="center"/>
        <w:rPr>
          <w:rFonts w:ascii="宋体" w:hAnsi="宋体"/>
          <w:b/>
          <w:bCs/>
          <w:color w:val="auto"/>
          <w:sz w:val="32"/>
          <w:szCs w:val="32"/>
        </w:rPr>
      </w:pPr>
    </w:p>
    <w:p w14:paraId="78FD340A">
      <w:pPr>
        <w:snapToGrid w:val="0"/>
        <w:spacing w:line="400" w:lineRule="exact"/>
        <w:jc w:val="center"/>
        <w:rPr>
          <w:rFonts w:ascii="宋体" w:hAnsi="宋体"/>
          <w:b/>
          <w:bCs/>
          <w:color w:val="auto"/>
          <w:sz w:val="32"/>
          <w:szCs w:val="32"/>
        </w:rPr>
      </w:pPr>
    </w:p>
    <w:p w14:paraId="186F1390">
      <w:pPr>
        <w:snapToGrid w:val="0"/>
        <w:spacing w:line="400" w:lineRule="exact"/>
        <w:jc w:val="center"/>
        <w:rPr>
          <w:rFonts w:ascii="宋体" w:hAnsi="宋体"/>
          <w:b/>
          <w:bCs/>
          <w:color w:val="auto"/>
          <w:sz w:val="32"/>
          <w:szCs w:val="32"/>
        </w:rPr>
      </w:pPr>
    </w:p>
    <w:p w14:paraId="0681C2D7">
      <w:pPr>
        <w:snapToGrid w:val="0"/>
        <w:spacing w:line="400" w:lineRule="exact"/>
        <w:jc w:val="center"/>
        <w:rPr>
          <w:rFonts w:ascii="宋体" w:hAnsi="宋体"/>
          <w:b/>
          <w:bCs/>
          <w:color w:val="auto"/>
          <w:sz w:val="32"/>
          <w:szCs w:val="32"/>
        </w:rPr>
      </w:pPr>
    </w:p>
    <w:p w14:paraId="5DD4C7C6">
      <w:pPr>
        <w:snapToGrid w:val="0"/>
        <w:spacing w:line="400" w:lineRule="exact"/>
        <w:jc w:val="center"/>
        <w:rPr>
          <w:rFonts w:ascii="宋体" w:hAnsi="宋体"/>
          <w:b/>
          <w:bCs/>
          <w:color w:val="auto"/>
          <w:sz w:val="32"/>
          <w:szCs w:val="32"/>
        </w:rPr>
      </w:pPr>
    </w:p>
    <w:p w14:paraId="63889484">
      <w:pPr>
        <w:snapToGrid w:val="0"/>
        <w:spacing w:line="400" w:lineRule="exact"/>
        <w:jc w:val="center"/>
        <w:rPr>
          <w:rFonts w:ascii="宋体" w:hAnsi="宋体"/>
          <w:b/>
          <w:bCs/>
          <w:color w:val="auto"/>
          <w:sz w:val="32"/>
          <w:szCs w:val="32"/>
        </w:rPr>
      </w:pPr>
    </w:p>
    <w:p w14:paraId="16BC9401">
      <w:pPr>
        <w:snapToGrid w:val="0"/>
        <w:spacing w:line="400" w:lineRule="exact"/>
        <w:jc w:val="center"/>
        <w:rPr>
          <w:rFonts w:ascii="宋体" w:hAnsi="宋体"/>
          <w:b/>
          <w:bCs/>
          <w:color w:val="auto"/>
          <w:sz w:val="32"/>
          <w:szCs w:val="32"/>
        </w:rPr>
      </w:pPr>
      <w:r>
        <w:rPr>
          <w:rFonts w:ascii="宋体" w:hAnsi="宋体"/>
          <w:b/>
          <w:bCs/>
          <w:color w:val="auto"/>
          <w:sz w:val="32"/>
          <w:szCs w:val="32"/>
        </w:rPr>
        <w:br w:type="page"/>
      </w:r>
      <w:r>
        <w:rPr>
          <w:rFonts w:hint="eastAsia" w:ascii="宋体" w:hAnsi="宋体"/>
          <w:b/>
          <w:bCs/>
          <w:color w:val="auto"/>
          <w:sz w:val="32"/>
          <w:szCs w:val="32"/>
        </w:rPr>
        <w:t>《医疗设备保修服务合同》</w:t>
      </w:r>
    </w:p>
    <w:p w14:paraId="08E848FF">
      <w:pPr>
        <w:snapToGrid w:val="0"/>
        <w:spacing w:line="400" w:lineRule="exact"/>
        <w:jc w:val="center"/>
        <w:rPr>
          <w:rFonts w:ascii="宋体" w:hAnsi="宋体"/>
          <w:b/>
          <w:bCs/>
          <w:color w:val="auto"/>
          <w:sz w:val="32"/>
          <w:szCs w:val="32"/>
        </w:rPr>
      </w:pPr>
    </w:p>
    <w:p w14:paraId="5334A95E">
      <w:pPr>
        <w:snapToGrid w:val="0"/>
        <w:spacing w:line="400" w:lineRule="exact"/>
        <w:ind w:right="480" w:firstLine="5250" w:firstLineChars="2500"/>
        <w:rPr>
          <w:rFonts w:ascii="宋体" w:hAnsi="宋体"/>
          <w:bCs/>
          <w:color w:val="auto"/>
          <w:szCs w:val="21"/>
          <w:u w:val="single"/>
        </w:rPr>
      </w:pPr>
    </w:p>
    <w:p w14:paraId="4851E8AA">
      <w:pPr>
        <w:spacing w:line="360" w:lineRule="auto"/>
        <w:contextualSpacing/>
        <w:rPr>
          <w:rFonts w:ascii="宋体" w:hAnsi="宋体"/>
          <w:color w:val="auto"/>
          <w:szCs w:val="21"/>
        </w:rPr>
      </w:pPr>
    </w:p>
    <w:p w14:paraId="7CB84179">
      <w:pPr>
        <w:spacing w:line="360" w:lineRule="auto"/>
        <w:rPr>
          <w:rFonts w:ascii="宋体" w:hAnsi="宋体"/>
          <w:b/>
          <w:color w:val="auto"/>
          <w:sz w:val="28"/>
          <w:szCs w:val="28"/>
        </w:rPr>
      </w:pPr>
      <w:r>
        <w:rPr>
          <w:rFonts w:hint="eastAsia" w:ascii="宋体" w:hAnsi="宋体"/>
          <w:color w:val="auto"/>
          <w:sz w:val="28"/>
          <w:szCs w:val="28"/>
        </w:rPr>
        <w:t>项目名称：直线加速器维保</w:t>
      </w:r>
      <w:r>
        <w:rPr>
          <w:rFonts w:hint="eastAsia" w:ascii="宋体" w:hAnsi="宋体"/>
          <w:color w:val="auto"/>
          <w:sz w:val="28"/>
          <w:szCs w:val="28"/>
          <w:lang w:val="en-US" w:eastAsia="zh-CN"/>
        </w:rPr>
        <w:t>一台</w:t>
      </w:r>
      <w:r>
        <w:rPr>
          <w:rFonts w:hint="eastAsia" w:ascii="宋体" w:hAnsi="宋体"/>
          <w:color w:val="auto"/>
          <w:sz w:val="28"/>
          <w:szCs w:val="28"/>
        </w:rPr>
        <w:t xml:space="preserve"> </w:t>
      </w:r>
      <w:r>
        <w:rPr>
          <w:rFonts w:ascii="宋体" w:hAnsi="宋体"/>
          <w:b/>
          <w:color w:val="auto"/>
          <w:sz w:val="24"/>
        </w:rPr>
        <w:t xml:space="preserve">  </w:t>
      </w:r>
      <w:r>
        <w:rPr>
          <w:rFonts w:hint="eastAsia" w:ascii="宋体" w:hAnsi="宋体"/>
          <w:b/>
          <w:color w:val="auto"/>
          <w:sz w:val="28"/>
          <w:szCs w:val="28"/>
        </w:rPr>
        <w:t xml:space="preserve">   </w:t>
      </w:r>
      <w:r>
        <w:rPr>
          <w:rFonts w:hint="eastAsia" w:ascii="宋体" w:hAnsi="宋体"/>
          <w:color w:val="auto"/>
          <w:sz w:val="28"/>
          <w:szCs w:val="28"/>
        </w:rPr>
        <w:t xml:space="preserve"> 合同编号</w:t>
      </w:r>
      <w:r>
        <w:rPr>
          <w:rFonts w:ascii="宋体" w:hAnsi="宋体"/>
          <w:color w:val="auto"/>
          <w:sz w:val="28"/>
          <w:szCs w:val="28"/>
        </w:rPr>
        <w:t>：</w:t>
      </w:r>
    </w:p>
    <w:p w14:paraId="6A590181">
      <w:pPr>
        <w:spacing w:line="420" w:lineRule="exact"/>
        <w:jc w:val="left"/>
        <w:rPr>
          <w:rFonts w:ascii="宋体" w:hAnsi="宋体"/>
          <w:color w:val="auto"/>
          <w:sz w:val="28"/>
          <w:szCs w:val="28"/>
        </w:rPr>
      </w:pPr>
    </w:p>
    <w:p w14:paraId="5ED1838B">
      <w:pPr>
        <w:spacing w:line="420" w:lineRule="exact"/>
        <w:jc w:val="left"/>
        <w:rPr>
          <w:rFonts w:ascii="宋体" w:hAnsi="宋体"/>
          <w:color w:val="auto"/>
          <w:sz w:val="28"/>
          <w:szCs w:val="28"/>
        </w:rPr>
      </w:pPr>
      <w:r>
        <w:rPr>
          <w:rFonts w:hint="eastAsia" w:ascii="宋体" w:hAnsi="宋体"/>
          <w:color w:val="auto"/>
          <w:sz w:val="28"/>
          <w:szCs w:val="28"/>
        </w:rPr>
        <w:t>甲方：</w:t>
      </w:r>
      <w:r>
        <w:rPr>
          <w:rFonts w:hint="eastAsia" w:ascii="宋体" w:hAnsi="宋体" w:cs="宋体"/>
          <w:color w:val="auto"/>
          <w:kern w:val="0"/>
          <w:sz w:val="28"/>
          <w:szCs w:val="28"/>
          <w:u w:val="single"/>
        </w:rPr>
        <w:t>桂林医学院附属医院</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14:paraId="01E84B16">
      <w:pPr>
        <w:spacing w:line="420" w:lineRule="exact"/>
        <w:rPr>
          <w:rFonts w:ascii="宋体" w:hAnsi="宋体"/>
          <w:color w:val="auto"/>
          <w:sz w:val="28"/>
          <w:szCs w:val="28"/>
        </w:rPr>
      </w:pPr>
      <w:r>
        <w:rPr>
          <w:rFonts w:hint="eastAsia" w:ascii="宋体" w:hAnsi="宋体"/>
          <w:color w:val="auto"/>
          <w:sz w:val="28"/>
          <w:szCs w:val="28"/>
        </w:rPr>
        <w:t xml:space="preserve">乙方：     </w:t>
      </w:r>
    </w:p>
    <w:p w14:paraId="170CAC37">
      <w:pPr>
        <w:spacing w:line="420" w:lineRule="exact"/>
        <w:ind w:firstLine="560" w:firstLineChars="200"/>
        <w:rPr>
          <w:rFonts w:ascii="宋体" w:hAnsi="宋体"/>
          <w:color w:val="auto"/>
          <w:sz w:val="28"/>
          <w:szCs w:val="28"/>
        </w:rPr>
      </w:pPr>
      <w:r>
        <w:rPr>
          <w:rFonts w:hint="eastAsia" w:ascii="宋体" w:hAnsi="宋体"/>
          <w:color w:val="auto"/>
          <w:sz w:val="28"/>
          <w:szCs w:val="28"/>
        </w:rPr>
        <w:t>为保证桂林医学院附属医院（设备）</w:t>
      </w:r>
      <w:r>
        <w:rPr>
          <w:rFonts w:hint="eastAsia" w:ascii="宋体" w:hAnsi="宋体"/>
          <w:color w:val="auto"/>
          <w:sz w:val="28"/>
          <w:szCs w:val="28"/>
          <w:u w:val="single"/>
        </w:rPr>
        <w:t xml:space="preserve"> 直线加速器 </w:t>
      </w:r>
      <w:r>
        <w:rPr>
          <w:rFonts w:hint="eastAsia" w:ascii="宋体" w:hAnsi="宋体"/>
          <w:color w:val="auto"/>
          <w:sz w:val="28"/>
          <w:szCs w:val="28"/>
        </w:rPr>
        <w:t>的正常运行，经友好协商，甲乙双方就</w:t>
      </w:r>
      <w:r>
        <w:rPr>
          <w:rFonts w:hint="eastAsia" w:ascii="宋体" w:hAnsi="宋体"/>
          <w:color w:val="auto"/>
          <w:sz w:val="28"/>
          <w:szCs w:val="28"/>
          <w:u w:val="single"/>
        </w:rPr>
        <w:t>保修所提供的技术以及人员服务</w:t>
      </w:r>
      <w:r>
        <w:rPr>
          <w:rFonts w:hint="eastAsia" w:ascii="宋体" w:hAnsi="宋体"/>
          <w:color w:val="auto"/>
          <w:sz w:val="28"/>
          <w:szCs w:val="28"/>
        </w:rPr>
        <w:t>签订本合同，共同信守。</w:t>
      </w:r>
    </w:p>
    <w:p w14:paraId="64314E9F">
      <w:pPr>
        <w:spacing w:line="420" w:lineRule="exact"/>
        <w:ind w:firstLine="560" w:firstLineChars="200"/>
        <w:rPr>
          <w:rFonts w:ascii="宋体" w:hAnsi="宋体"/>
          <w:color w:val="auto"/>
          <w:sz w:val="28"/>
          <w:szCs w:val="28"/>
        </w:rPr>
      </w:pPr>
      <w:r>
        <w:rPr>
          <w:rFonts w:hint="eastAsia" w:ascii="宋体" w:hAnsi="宋体"/>
          <w:color w:val="auto"/>
          <w:sz w:val="28"/>
          <w:szCs w:val="28"/>
        </w:rPr>
        <w:t>一、保修设备名称、型号：</w:t>
      </w:r>
    </w:p>
    <w:p w14:paraId="22C5FA62">
      <w:pPr>
        <w:spacing w:line="420" w:lineRule="exact"/>
        <w:ind w:firstLine="560" w:firstLineChars="200"/>
        <w:rPr>
          <w:rFonts w:ascii="宋体" w:hAnsi="宋体"/>
          <w:color w:val="auto"/>
          <w:sz w:val="28"/>
          <w:szCs w:val="28"/>
        </w:rPr>
      </w:pPr>
      <w:r>
        <w:rPr>
          <w:rFonts w:hint="eastAsia" w:ascii="宋体" w:hAnsi="宋体"/>
          <w:color w:val="auto"/>
          <w:sz w:val="28"/>
          <w:szCs w:val="28"/>
        </w:rPr>
        <w:t>名称：</w:t>
      </w:r>
    </w:p>
    <w:p w14:paraId="5C014EC9">
      <w:pPr>
        <w:spacing w:line="420" w:lineRule="exact"/>
        <w:ind w:firstLine="560" w:firstLineChars="200"/>
        <w:rPr>
          <w:rFonts w:ascii="宋体" w:hAnsi="宋体"/>
          <w:color w:val="auto"/>
          <w:sz w:val="28"/>
          <w:szCs w:val="28"/>
        </w:rPr>
      </w:pPr>
      <w:r>
        <w:rPr>
          <w:rFonts w:hint="eastAsia" w:ascii="宋体" w:hAnsi="宋体"/>
          <w:color w:val="auto"/>
          <w:sz w:val="28"/>
          <w:szCs w:val="28"/>
        </w:rPr>
        <w:t>型号：</w:t>
      </w:r>
    </w:p>
    <w:p w14:paraId="4AA94D79">
      <w:pPr>
        <w:spacing w:line="420" w:lineRule="exact"/>
        <w:ind w:firstLine="560" w:firstLineChars="200"/>
        <w:rPr>
          <w:rFonts w:ascii="宋体" w:hAnsi="宋体"/>
          <w:color w:val="auto"/>
          <w:sz w:val="28"/>
          <w:szCs w:val="28"/>
        </w:rPr>
      </w:pPr>
      <w:r>
        <w:rPr>
          <w:rFonts w:hint="eastAsia" w:ascii="宋体" w:hAnsi="宋体"/>
          <w:color w:val="auto"/>
          <w:sz w:val="28"/>
          <w:szCs w:val="28"/>
        </w:rPr>
        <w:t>二、保修期限：</w:t>
      </w:r>
    </w:p>
    <w:p w14:paraId="3FB71690">
      <w:pPr>
        <w:spacing w:line="420" w:lineRule="exact"/>
        <w:ind w:firstLine="560" w:firstLineChars="200"/>
        <w:rPr>
          <w:rFonts w:ascii="宋体" w:hAnsi="宋体"/>
          <w:color w:val="auto"/>
          <w:sz w:val="28"/>
          <w:szCs w:val="28"/>
        </w:rPr>
      </w:pPr>
      <w:r>
        <w:rPr>
          <w:rFonts w:hint="eastAsia" w:ascii="宋体" w:hAnsi="宋体"/>
          <w:color w:val="auto"/>
          <w:sz w:val="28"/>
          <w:szCs w:val="28"/>
        </w:rPr>
        <w:t>期限</w:t>
      </w:r>
      <w:r>
        <w:rPr>
          <w:rFonts w:hint="eastAsia" w:ascii="宋体" w:hAnsi="宋体"/>
          <w:color w:val="auto"/>
          <w:sz w:val="28"/>
          <w:szCs w:val="28"/>
          <w:u w:val="single"/>
        </w:rPr>
        <w:t xml:space="preserve">    </w:t>
      </w:r>
      <w:r>
        <w:rPr>
          <w:rFonts w:hint="eastAsia" w:ascii="宋体" w:hAnsi="宋体"/>
          <w:color w:val="auto"/>
          <w:sz w:val="28"/>
          <w:szCs w:val="28"/>
        </w:rPr>
        <w:t>年，自20</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日至</w:t>
      </w:r>
      <w:r>
        <w:rPr>
          <w:rFonts w:ascii="宋体" w:hAnsi="宋体"/>
          <w:color w:val="auto"/>
          <w:sz w:val="28"/>
          <w:szCs w:val="28"/>
        </w:rPr>
        <w:t>20</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日止。</w:t>
      </w:r>
    </w:p>
    <w:p w14:paraId="4C10B19D">
      <w:pPr>
        <w:spacing w:line="420" w:lineRule="exact"/>
        <w:ind w:firstLine="560" w:firstLineChars="200"/>
        <w:rPr>
          <w:rFonts w:ascii="宋体" w:hAnsi="宋体"/>
          <w:color w:val="auto"/>
          <w:sz w:val="28"/>
          <w:szCs w:val="28"/>
        </w:rPr>
      </w:pPr>
      <w:r>
        <w:rPr>
          <w:rFonts w:hint="eastAsia" w:ascii="宋体" w:hAnsi="宋体"/>
          <w:color w:val="auto"/>
          <w:sz w:val="28"/>
          <w:szCs w:val="28"/>
        </w:rPr>
        <w:t>三、保修类型：</w:t>
      </w:r>
    </w:p>
    <w:p w14:paraId="3BEB430D">
      <w:pPr>
        <w:spacing w:line="420" w:lineRule="exact"/>
        <w:ind w:firstLine="560" w:firstLineChars="200"/>
        <w:rPr>
          <w:rFonts w:ascii="宋体" w:hAnsi="宋体"/>
          <w:color w:val="auto"/>
          <w:sz w:val="28"/>
          <w:szCs w:val="28"/>
        </w:rPr>
      </w:pPr>
      <w:r>
        <w:rPr>
          <w:rFonts w:hint="eastAsia" w:ascii="宋体" w:hAnsi="宋体"/>
          <w:color w:val="auto"/>
          <w:sz w:val="28"/>
          <w:szCs w:val="28"/>
        </w:rPr>
        <w:t>整机保修（含人工和零配件，不含</w:t>
      </w:r>
      <w:r>
        <w:rPr>
          <w:rFonts w:hint="eastAsia" w:ascii="宋体" w:hAnsi="宋体"/>
          <w:color w:val="auto"/>
          <w:sz w:val="28"/>
          <w:szCs w:val="28"/>
          <w:u w:val="single"/>
        </w:rPr>
        <w:t xml:space="preserve">            </w:t>
      </w:r>
      <w:r>
        <w:rPr>
          <w:rFonts w:hint="eastAsia" w:ascii="宋体" w:hAnsi="宋体"/>
          <w:color w:val="auto"/>
          <w:sz w:val="28"/>
          <w:szCs w:val="28"/>
        </w:rPr>
        <w:t>）。请另附页注明具体保修详细项目清单及范围，并签字盖章确认。</w:t>
      </w:r>
    </w:p>
    <w:p w14:paraId="070A299A">
      <w:pPr>
        <w:spacing w:line="420" w:lineRule="exact"/>
        <w:ind w:firstLine="560" w:firstLineChars="200"/>
        <w:rPr>
          <w:rFonts w:ascii="宋体" w:hAnsi="宋体"/>
          <w:color w:val="auto"/>
          <w:sz w:val="28"/>
          <w:szCs w:val="28"/>
        </w:rPr>
      </w:pPr>
      <w:r>
        <w:rPr>
          <w:rFonts w:hint="eastAsia" w:ascii="宋体" w:hAnsi="宋体"/>
          <w:color w:val="auto"/>
          <w:sz w:val="28"/>
          <w:szCs w:val="28"/>
        </w:rPr>
        <w:t>四、保修期内双方义务：</w:t>
      </w:r>
    </w:p>
    <w:p w14:paraId="72D4B1B0">
      <w:pPr>
        <w:spacing w:line="420" w:lineRule="exact"/>
        <w:ind w:firstLine="560" w:firstLineChars="200"/>
        <w:rPr>
          <w:rFonts w:ascii="宋体" w:hAnsi="宋体"/>
          <w:color w:val="auto"/>
          <w:sz w:val="28"/>
          <w:szCs w:val="28"/>
        </w:rPr>
      </w:pPr>
      <w:r>
        <w:rPr>
          <w:rFonts w:hint="eastAsia" w:ascii="宋体" w:hAnsi="宋体"/>
          <w:color w:val="auto"/>
          <w:sz w:val="28"/>
          <w:szCs w:val="28"/>
        </w:rPr>
        <w:t>（一）甲方义务：</w:t>
      </w:r>
    </w:p>
    <w:p w14:paraId="063699EC">
      <w:pPr>
        <w:spacing w:line="420" w:lineRule="exact"/>
        <w:ind w:firstLine="560" w:firstLineChars="200"/>
        <w:rPr>
          <w:rFonts w:ascii="宋体" w:hAnsi="宋体"/>
          <w:color w:val="auto"/>
          <w:sz w:val="28"/>
          <w:szCs w:val="28"/>
        </w:rPr>
      </w:pPr>
      <w:r>
        <w:rPr>
          <w:rFonts w:hint="eastAsia" w:ascii="宋体" w:hAnsi="宋体"/>
          <w:color w:val="auto"/>
          <w:sz w:val="28"/>
          <w:szCs w:val="28"/>
        </w:rPr>
        <w:t>1、甲方应保证设备使用环境稳定、可靠，按使用说明书要求对设备进行日常清洁保养和基本维护工作，做好故障报修。</w:t>
      </w:r>
    </w:p>
    <w:p w14:paraId="3CDBEEA7">
      <w:pPr>
        <w:spacing w:line="420" w:lineRule="exact"/>
        <w:ind w:firstLine="560" w:firstLineChars="200"/>
        <w:rPr>
          <w:rFonts w:ascii="宋体" w:hAnsi="宋体"/>
          <w:color w:val="auto"/>
          <w:sz w:val="28"/>
          <w:szCs w:val="28"/>
        </w:rPr>
      </w:pPr>
      <w:r>
        <w:rPr>
          <w:rFonts w:hint="eastAsia" w:ascii="宋体" w:hAnsi="宋体"/>
          <w:color w:val="auto"/>
          <w:sz w:val="28"/>
          <w:szCs w:val="28"/>
        </w:rPr>
        <w:t>2、保修期间，甲方有义务保存乙方人员所需的设备资料及故障记录以备使用。</w:t>
      </w:r>
    </w:p>
    <w:p w14:paraId="1F0DFFFE">
      <w:pPr>
        <w:spacing w:line="420" w:lineRule="exact"/>
        <w:ind w:firstLine="560" w:firstLineChars="200"/>
        <w:rPr>
          <w:rFonts w:ascii="宋体" w:hAnsi="宋体"/>
          <w:color w:val="auto"/>
          <w:sz w:val="28"/>
          <w:szCs w:val="28"/>
        </w:rPr>
      </w:pPr>
      <w:r>
        <w:rPr>
          <w:rFonts w:hint="eastAsia" w:ascii="宋体" w:hAnsi="宋体"/>
          <w:color w:val="auto"/>
          <w:sz w:val="28"/>
          <w:szCs w:val="28"/>
        </w:rPr>
        <w:t>3、保修期间，甲方应按照设备使用手册的要求正确操作设备。</w:t>
      </w:r>
    </w:p>
    <w:p w14:paraId="223E8659">
      <w:pPr>
        <w:spacing w:line="420" w:lineRule="exact"/>
        <w:ind w:firstLine="560" w:firstLineChars="200"/>
        <w:rPr>
          <w:rFonts w:ascii="宋体" w:hAnsi="宋体"/>
          <w:color w:val="auto"/>
          <w:sz w:val="28"/>
          <w:szCs w:val="28"/>
        </w:rPr>
      </w:pPr>
      <w:r>
        <w:rPr>
          <w:rFonts w:hint="eastAsia" w:ascii="宋体" w:hAnsi="宋体"/>
          <w:color w:val="auto"/>
          <w:sz w:val="28"/>
          <w:szCs w:val="28"/>
        </w:rPr>
        <w:t>（二）乙方义务：</w:t>
      </w:r>
    </w:p>
    <w:p w14:paraId="4CB2178B">
      <w:pPr>
        <w:spacing w:line="420" w:lineRule="exact"/>
        <w:ind w:firstLine="560" w:firstLineChars="200"/>
        <w:rPr>
          <w:rFonts w:ascii="宋体" w:hAnsi="宋体"/>
          <w:color w:val="auto"/>
          <w:sz w:val="28"/>
          <w:szCs w:val="28"/>
        </w:rPr>
      </w:pPr>
      <w:r>
        <w:rPr>
          <w:rFonts w:hint="eastAsia" w:ascii="宋体" w:hAnsi="宋体"/>
          <w:color w:val="auto"/>
          <w:sz w:val="28"/>
          <w:szCs w:val="28"/>
        </w:rPr>
        <w:t>1、全天候服务电话：提供报修电话，以及维修服务网点、维修人员联系方式。在保修服务期内提供24小时技术电话支持（24小时×365天）。</w:t>
      </w:r>
    </w:p>
    <w:p w14:paraId="5CE2B7D3">
      <w:pPr>
        <w:spacing w:line="420" w:lineRule="exact"/>
        <w:ind w:firstLine="560" w:firstLineChars="200"/>
        <w:rPr>
          <w:rFonts w:ascii="宋体" w:hAnsi="宋体"/>
          <w:color w:val="auto"/>
          <w:sz w:val="28"/>
          <w:szCs w:val="28"/>
        </w:rPr>
      </w:pPr>
      <w:r>
        <w:rPr>
          <w:rFonts w:hint="eastAsia" w:ascii="宋体" w:hAnsi="宋体"/>
          <w:color w:val="auto"/>
          <w:sz w:val="28"/>
          <w:szCs w:val="28"/>
        </w:rPr>
        <w:t>2、响应要求：在保修服务期内不分节假日，接到现场报修电话后，立即响应。在12小时内派工程师到现场实施维修，维修时间不限节假日；超过12小时到达一天赔偿甲方5000元人民币。维修备件在确认后24小时内送达维修现场。超过24小时到达一天赔偿甲方5000元人民币。</w:t>
      </w:r>
    </w:p>
    <w:p w14:paraId="104D2785">
      <w:pPr>
        <w:spacing w:line="420" w:lineRule="exact"/>
        <w:ind w:firstLine="560" w:firstLineChars="200"/>
        <w:rPr>
          <w:rFonts w:ascii="宋体" w:hAnsi="宋体"/>
          <w:color w:val="auto"/>
          <w:sz w:val="28"/>
          <w:szCs w:val="28"/>
        </w:rPr>
      </w:pPr>
      <w:r>
        <w:rPr>
          <w:rFonts w:hint="eastAsia" w:ascii="宋体" w:hAnsi="宋体"/>
          <w:color w:val="auto"/>
          <w:sz w:val="28"/>
          <w:szCs w:val="28"/>
        </w:rPr>
        <w:t>3、乙方人员在维修期间的往返费用由乙方自理。</w:t>
      </w:r>
    </w:p>
    <w:p w14:paraId="3491608D">
      <w:pPr>
        <w:spacing w:line="420" w:lineRule="exact"/>
        <w:ind w:firstLine="560" w:firstLineChars="200"/>
        <w:rPr>
          <w:rFonts w:ascii="宋体" w:hAnsi="宋体"/>
          <w:color w:val="auto"/>
          <w:sz w:val="28"/>
          <w:szCs w:val="28"/>
        </w:rPr>
      </w:pPr>
      <w:r>
        <w:rPr>
          <w:rFonts w:hint="eastAsia" w:ascii="宋体" w:hAnsi="宋体"/>
          <w:color w:val="auto"/>
          <w:sz w:val="28"/>
          <w:szCs w:val="28"/>
        </w:rPr>
        <w:t>4、为保证甲方设备的正常运行，乙方按使用说明书要求提供每年四次定期预防性维护检测，乙方工程师向甲方提供计划性的预防性维护报告（记录）。乙方在预期保养时间的前两周通知甲方保养时间，如因甲方原因导致不能执行保养，乙方将不对此承担责任。计划性的预防性维护服务内容应列出清单。</w:t>
      </w:r>
    </w:p>
    <w:p w14:paraId="6267A1D8">
      <w:pPr>
        <w:spacing w:line="420" w:lineRule="exact"/>
        <w:ind w:firstLine="548" w:firstLineChars="196"/>
        <w:rPr>
          <w:rFonts w:ascii="宋体" w:hAnsi="宋体"/>
          <w:bCs/>
          <w:color w:val="auto"/>
          <w:sz w:val="28"/>
          <w:szCs w:val="28"/>
        </w:rPr>
      </w:pPr>
      <w:r>
        <w:rPr>
          <w:rFonts w:hint="eastAsia" w:ascii="宋体" w:hAnsi="宋体"/>
          <w:color w:val="auto"/>
          <w:sz w:val="28"/>
          <w:szCs w:val="28"/>
        </w:rPr>
        <w:t>5、乙方在系统故障维修过程中，必须免费更换配件，承担人工费、搬运费、安装调试费及系统软件升级费等一切费用。</w:t>
      </w:r>
    </w:p>
    <w:p w14:paraId="77CB470A">
      <w:pPr>
        <w:spacing w:line="420" w:lineRule="exact"/>
        <w:ind w:firstLine="548" w:firstLineChars="196"/>
        <w:rPr>
          <w:rFonts w:ascii="宋体" w:hAnsi="宋体"/>
          <w:bCs/>
          <w:color w:val="auto"/>
          <w:sz w:val="28"/>
          <w:szCs w:val="28"/>
        </w:rPr>
      </w:pPr>
      <w:r>
        <w:rPr>
          <w:rFonts w:hint="eastAsia" w:ascii="宋体" w:hAnsi="宋体"/>
          <w:bCs/>
          <w:color w:val="auto"/>
          <w:sz w:val="28"/>
          <w:szCs w:val="28"/>
        </w:rPr>
        <w:t>6、保修期内，每次故障维修维护、检测、校准等工作，必须提供记录并到设备科确认。</w:t>
      </w:r>
    </w:p>
    <w:p w14:paraId="6FF1FF61">
      <w:pPr>
        <w:spacing w:line="420" w:lineRule="exact"/>
        <w:ind w:firstLine="548" w:firstLineChars="196"/>
        <w:rPr>
          <w:rFonts w:ascii="宋体" w:hAnsi="宋体"/>
          <w:bCs/>
          <w:color w:val="auto"/>
          <w:sz w:val="28"/>
          <w:szCs w:val="28"/>
        </w:rPr>
      </w:pPr>
      <w:r>
        <w:rPr>
          <w:rFonts w:hint="eastAsia" w:ascii="宋体" w:hAnsi="宋体"/>
          <w:bCs/>
          <w:color w:val="auto"/>
          <w:sz w:val="28"/>
          <w:szCs w:val="28"/>
        </w:rPr>
        <w:t>7、乙方维修人员在维修期间，必须遵守院方在安全、防盗、停车、环境卫生等方面的有关规定，否则一切后果自负。</w:t>
      </w:r>
    </w:p>
    <w:p w14:paraId="4E7FDE4E">
      <w:pPr>
        <w:spacing w:line="420" w:lineRule="exact"/>
        <w:ind w:firstLine="548" w:firstLineChars="196"/>
        <w:rPr>
          <w:rFonts w:ascii="宋体" w:hAnsi="宋体"/>
          <w:bCs/>
          <w:color w:val="auto"/>
          <w:sz w:val="28"/>
          <w:szCs w:val="28"/>
        </w:rPr>
      </w:pPr>
      <w:r>
        <w:rPr>
          <w:rFonts w:hint="eastAsia" w:ascii="宋体" w:hAnsi="宋体"/>
          <w:bCs/>
          <w:color w:val="auto"/>
          <w:sz w:val="28"/>
          <w:szCs w:val="28"/>
        </w:rPr>
        <w:t>五、保修费及支付方式：</w:t>
      </w:r>
    </w:p>
    <w:p w14:paraId="2A5373C8">
      <w:pPr>
        <w:spacing w:line="420" w:lineRule="exact"/>
        <w:ind w:firstLine="548" w:firstLineChars="196"/>
        <w:rPr>
          <w:rFonts w:ascii="宋体" w:hAnsi="宋体"/>
          <w:color w:val="auto"/>
          <w:sz w:val="28"/>
          <w:szCs w:val="28"/>
        </w:rPr>
      </w:pPr>
      <w:r>
        <w:rPr>
          <w:rFonts w:hint="eastAsia" w:ascii="宋体" w:hAnsi="宋体"/>
          <w:bCs/>
          <w:color w:val="auto"/>
          <w:sz w:val="28"/>
          <w:szCs w:val="28"/>
        </w:rPr>
        <w:t>1、保修费总额（人民币）：</w:t>
      </w:r>
      <w:r>
        <w:rPr>
          <w:rFonts w:hint="eastAsia" w:ascii="宋体" w:hAnsi="宋体"/>
          <w:color w:val="auto"/>
          <w:sz w:val="28"/>
          <w:szCs w:val="28"/>
          <w:u w:val="single"/>
        </w:rPr>
        <w:t xml:space="preserve">      </w:t>
      </w:r>
      <w:r>
        <w:rPr>
          <w:rFonts w:hint="eastAsia" w:ascii="宋体" w:hAnsi="宋体"/>
          <w:color w:val="auto"/>
          <w:sz w:val="28"/>
          <w:szCs w:val="28"/>
        </w:rPr>
        <w:t>万元整，大写：</w:t>
      </w:r>
      <w:r>
        <w:rPr>
          <w:rFonts w:hint="eastAsia" w:ascii="宋体" w:hAnsi="宋体" w:cs="Arial"/>
          <w:color w:val="auto"/>
          <w:sz w:val="28"/>
          <w:szCs w:val="28"/>
          <w:u w:val="single"/>
          <w:shd w:val="clear" w:color="auto" w:fill="FFFFFF"/>
        </w:rPr>
        <w:t xml:space="preserve">            </w:t>
      </w:r>
      <w:r>
        <w:rPr>
          <w:rFonts w:hint="eastAsia" w:ascii="宋体" w:hAnsi="宋体" w:cs="Arial"/>
          <w:color w:val="auto"/>
          <w:sz w:val="28"/>
          <w:szCs w:val="28"/>
          <w:shd w:val="clear" w:color="auto" w:fill="FFFFFF"/>
        </w:rPr>
        <w:t>。</w:t>
      </w:r>
    </w:p>
    <w:p w14:paraId="13AF5A5D">
      <w:pPr>
        <w:widowControl/>
        <w:spacing w:line="420" w:lineRule="exact"/>
        <w:ind w:firstLine="560" w:firstLineChars="200"/>
        <w:jc w:val="left"/>
        <w:rPr>
          <w:rFonts w:ascii="宋体" w:hAnsi="宋体" w:cs="宋体"/>
          <w:color w:val="auto"/>
          <w:kern w:val="0"/>
          <w:sz w:val="28"/>
          <w:szCs w:val="28"/>
        </w:rPr>
      </w:pPr>
      <w:r>
        <w:rPr>
          <w:rFonts w:hint="eastAsia" w:ascii="宋体" w:hAnsi="宋体"/>
          <w:bCs/>
          <w:color w:val="auto"/>
          <w:sz w:val="28"/>
          <w:szCs w:val="28"/>
        </w:rPr>
        <w:t>2、支付方式：（按甲乙双方约定的方式付款）</w:t>
      </w:r>
      <w:r>
        <w:rPr>
          <w:rFonts w:hint="eastAsia" w:ascii="宋体" w:hAnsi="宋体" w:cs="宋体"/>
          <w:color w:val="auto"/>
          <w:kern w:val="0"/>
          <w:sz w:val="28"/>
          <w:szCs w:val="28"/>
        </w:rPr>
        <w:t>甲乙双方在签订合同后，乙方在</w:t>
      </w:r>
      <w:r>
        <w:rPr>
          <w:rFonts w:hint="eastAsia" w:ascii="宋体" w:hAnsi="宋体"/>
          <w:bCs/>
          <w:color w:val="auto"/>
          <w:sz w:val="28"/>
          <w:szCs w:val="28"/>
        </w:rPr>
        <w:t>一个月内开具税务发票，甲方收到税务发票后转账支付合同款的</w:t>
      </w:r>
      <w:r>
        <w:rPr>
          <w:rFonts w:hint="eastAsia" w:ascii="宋体" w:hAnsi="宋体" w:cs="宋体"/>
          <w:color w:val="auto"/>
          <w:kern w:val="0"/>
          <w:sz w:val="28"/>
          <w:szCs w:val="28"/>
        </w:rPr>
        <w:t>10%，第一保修年结束</w:t>
      </w:r>
      <w:r>
        <w:rPr>
          <w:rFonts w:hint="eastAsia" w:ascii="宋体" w:hAnsi="宋体"/>
          <w:bCs/>
          <w:color w:val="auto"/>
          <w:sz w:val="28"/>
          <w:szCs w:val="28"/>
        </w:rPr>
        <w:t>后一个月内开具税务发票，甲方收到税务发票后转账支付合同款的</w:t>
      </w:r>
      <w:r>
        <w:rPr>
          <w:rFonts w:hint="eastAsia" w:ascii="宋体" w:hAnsi="宋体" w:cs="宋体"/>
          <w:color w:val="auto"/>
          <w:kern w:val="0"/>
          <w:sz w:val="28"/>
          <w:szCs w:val="28"/>
        </w:rPr>
        <w:t>30%，第二保修年结束</w:t>
      </w:r>
      <w:r>
        <w:rPr>
          <w:rFonts w:hint="eastAsia" w:ascii="宋体" w:hAnsi="宋体"/>
          <w:bCs/>
          <w:color w:val="auto"/>
          <w:sz w:val="28"/>
          <w:szCs w:val="28"/>
        </w:rPr>
        <w:t>后一个月内开具税务发票，甲方收到税务发票后转账支付合同款的</w:t>
      </w:r>
      <w:r>
        <w:rPr>
          <w:rFonts w:hint="eastAsia" w:ascii="宋体" w:hAnsi="宋体" w:cs="宋体"/>
          <w:color w:val="auto"/>
          <w:kern w:val="0"/>
          <w:sz w:val="28"/>
          <w:szCs w:val="28"/>
        </w:rPr>
        <w:t>30%，第三保修年结束并服务合格</w:t>
      </w:r>
      <w:r>
        <w:rPr>
          <w:rFonts w:hint="eastAsia" w:ascii="宋体" w:hAnsi="宋体"/>
          <w:bCs/>
          <w:color w:val="auto"/>
          <w:sz w:val="28"/>
          <w:szCs w:val="28"/>
        </w:rPr>
        <w:t>后一个月内开具税务发票，甲方收到税务发票后转账支付合同款的</w:t>
      </w:r>
      <w:r>
        <w:rPr>
          <w:rFonts w:hint="eastAsia" w:ascii="宋体" w:hAnsi="宋体" w:cs="宋体"/>
          <w:color w:val="auto"/>
          <w:kern w:val="0"/>
          <w:sz w:val="28"/>
          <w:szCs w:val="28"/>
        </w:rPr>
        <w:t>3</w:t>
      </w:r>
      <w:r>
        <w:rPr>
          <w:rFonts w:ascii="宋体" w:hAnsi="宋体" w:cs="宋体"/>
          <w:color w:val="auto"/>
          <w:kern w:val="0"/>
          <w:sz w:val="28"/>
          <w:szCs w:val="28"/>
        </w:rPr>
        <w:t>0</w:t>
      </w:r>
      <w:r>
        <w:rPr>
          <w:rFonts w:hint="eastAsia" w:ascii="宋体" w:hAnsi="宋体" w:cs="宋体"/>
          <w:color w:val="auto"/>
          <w:kern w:val="0"/>
          <w:sz w:val="28"/>
          <w:szCs w:val="28"/>
        </w:rPr>
        <w:t>%给乙方（无息）。</w:t>
      </w:r>
    </w:p>
    <w:p w14:paraId="3F7EBDFE">
      <w:pPr>
        <w:spacing w:line="420" w:lineRule="exact"/>
        <w:ind w:firstLine="560" w:firstLineChars="200"/>
        <w:rPr>
          <w:rFonts w:ascii="宋体" w:hAnsi="宋体"/>
          <w:color w:val="auto"/>
          <w:sz w:val="28"/>
          <w:szCs w:val="28"/>
        </w:rPr>
      </w:pPr>
      <w:r>
        <w:rPr>
          <w:rFonts w:hint="eastAsia" w:ascii="宋体" w:hAnsi="宋体"/>
          <w:color w:val="auto"/>
          <w:sz w:val="28"/>
          <w:szCs w:val="28"/>
        </w:rPr>
        <w:t>六、违约责任：</w:t>
      </w:r>
    </w:p>
    <w:p w14:paraId="7418BBA7">
      <w:pPr>
        <w:spacing w:line="420" w:lineRule="exact"/>
        <w:ind w:firstLine="560" w:firstLineChars="200"/>
        <w:rPr>
          <w:rFonts w:ascii="宋体" w:hAnsi="宋体"/>
          <w:bCs/>
          <w:color w:val="auto"/>
          <w:sz w:val="28"/>
          <w:szCs w:val="28"/>
        </w:rPr>
      </w:pPr>
      <w:r>
        <w:rPr>
          <w:rFonts w:hint="eastAsia" w:ascii="宋体" w:hAnsi="宋体"/>
          <w:bCs/>
          <w:color w:val="auto"/>
          <w:sz w:val="28"/>
          <w:szCs w:val="28"/>
        </w:rPr>
        <w:t>1、因乙方不履行合同或履行合同不符合约定而给甲方造成损失的，乙方负责赔偿直接损失，该损失赔偿额以合同价款为限。</w:t>
      </w:r>
    </w:p>
    <w:p w14:paraId="7AC144C7">
      <w:pPr>
        <w:spacing w:line="420" w:lineRule="exact"/>
        <w:ind w:firstLine="560" w:firstLineChars="200"/>
        <w:rPr>
          <w:rFonts w:ascii="宋体" w:hAnsi="宋体"/>
          <w:color w:val="auto"/>
          <w:sz w:val="28"/>
          <w:szCs w:val="28"/>
        </w:rPr>
      </w:pPr>
      <w:r>
        <w:rPr>
          <w:rFonts w:hint="eastAsia" w:ascii="宋体" w:hAnsi="宋体"/>
          <w:bCs/>
          <w:color w:val="auto"/>
          <w:sz w:val="28"/>
          <w:szCs w:val="28"/>
        </w:rPr>
        <w:t>2、</w:t>
      </w:r>
      <w:r>
        <w:rPr>
          <w:rFonts w:hint="eastAsia" w:ascii="宋体" w:hAnsi="宋体"/>
          <w:color w:val="auto"/>
          <w:sz w:val="28"/>
          <w:szCs w:val="28"/>
        </w:rPr>
        <w:t>乙方未在承诺时间内到达现场处理设备故障的，每次扣除合同款的1%，总金额不超过合同款的5%。</w:t>
      </w:r>
    </w:p>
    <w:p w14:paraId="7F556968">
      <w:pPr>
        <w:spacing w:line="420" w:lineRule="exact"/>
        <w:ind w:firstLine="548" w:firstLineChars="196"/>
        <w:rPr>
          <w:rFonts w:ascii="宋体" w:hAnsi="宋体"/>
          <w:bCs/>
          <w:color w:val="auto"/>
          <w:sz w:val="28"/>
          <w:szCs w:val="28"/>
        </w:rPr>
      </w:pPr>
      <w:r>
        <w:rPr>
          <w:rFonts w:hint="eastAsia" w:ascii="宋体" w:hAnsi="宋体"/>
          <w:bCs/>
          <w:color w:val="auto"/>
          <w:sz w:val="28"/>
          <w:szCs w:val="28"/>
        </w:rPr>
        <w:t>3、</w:t>
      </w:r>
      <w:r>
        <w:rPr>
          <w:rFonts w:hint="eastAsia" w:ascii="宋体" w:hAnsi="宋体"/>
          <w:color w:val="auto"/>
          <w:sz w:val="28"/>
          <w:szCs w:val="28"/>
        </w:rPr>
        <w:t>乙方在合同期内保证设备96%的开机率（按365日计算，停机时间不能超过15天）。开机率低于96%的，每超过一天则保修期顺延两天，并从服务费中扣除5000元人民币/天作为赔偿。达不到开机率，严重影响临床工作，甲方有权终止合同并要求乙方赔偿损失</w:t>
      </w:r>
      <w:r>
        <w:rPr>
          <w:rFonts w:hint="eastAsia" w:ascii="宋体" w:hAnsi="宋体"/>
          <w:bCs/>
          <w:color w:val="auto"/>
          <w:sz w:val="28"/>
          <w:szCs w:val="28"/>
        </w:rPr>
        <w:t>。</w:t>
      </w:r>
    </w:p>
    <w:p w14:paraId="68866F55">
      <w:pPr>
        <w:spacing w:line="420" w:lineRule="exact"/>
        <w:ind w:firstLine="548" w:firstLineChars="196"/>
        <w:rPr>
          <w:rFonts w:ascii="宋体" w:hAnsi="宋体"/>
          <w:bCs/>
          <w:color w:val="auto"/>
          <w:sz w:val="28"/>
          <w:szCs w:val="28"/>
        </w:rPr>
      </w:pPr>
      <w:r>
        <w:rPr>
          <w:rFonts w:hint="eastAsia" w:ascii="宋体" w:hAnsi="宋体"/>
          <w:color w:val="auto"/>
          <w:sz w:val="28"/>
          <w:szCs w:val="28"/>
        </w:rPr>
        <w:t>七、乙方在保修期内维护保养的次数及内容、更换维修配件的数目及发生的所有费用，以保修期结束后甲乙双方共同核对为准，相关文件交甲方存档。</w:t>
      </w:r>
    </w:p>
    <w:p w14:paraId="6132F2AE">
      <w:pPr>
        <w:spacing w:line="420" w:lineRule="exact"/>
        <w:ind w:firstLine="560" w:firstLineChars="200"/>
        <w:rPr>
          <w:rFonts w:ascii="宋体" w:hAnsi="宋体"/>
          <w:color w:val="auto"/>
          <w:sz w:val="28"/>
          <w:szCs w:val="28"/>
        </w:rPr>
      </w:pPr>
      <w:r>
        <w:rPr>
          <w:rFonts w:hint="eastAsia" w:ascii="宋体" w:hAnsi="宋体"/>
          <w:bCs/>
          <w:color w:val="auto"/>
          <w:sz w:val="28"/>
          <w:szCs w:val="28"/>
        </w:rPr>
        <w:t>八、</w:t>
      </w:r>
      <w:r>
        <w:rPr>
          <w:rFonts w:hint="eastAsia" w:ascii="宋体" w:hAnsi="宋体"/>
          <w:color w:val="auto"/>
          <w:sz w:val="28"/>
          <w:szCs w:val="28"/>
        </w:rPr>
        <w:t>合同执行期间如不能履行或需要修改，必须经双方同意，并互相换文或另订合同，方为有效。</w:t>
      </w:r>
    </w:p>
    <w:p w14:paraId="67A40ECA">
      <w:pPr>
        <w:spacing w:line="420" w:lineRule="exact"/>
        <w:ind w:firstLine="560" w:firstLineChars="200"/>
        <w:rPr>
          <w:rFonts w:ascii="宋体" w:hAnsi="宋体"/>
          <w:color w:val="auto"/>
          <w:sz w:val="28"/>
          <w:szCs w:val="28"/>
        </w:rPr>
      </w:pPr>
      <w:r>
        <w:rPr>
          <w:rFonts w:hint="eastAsia" w:ascii="宋体" w:hAnsi="宋体"/>
          <w:color w:val="auto"/>
          <w:sz w:val="28"/>
          <w:szCs w:val="28"/>
        </w:rPr>
        <w:t>九、纠纷的解决方式：因合同引起的或与本合同有关的任何争议，由双方当事人协商解决；也可以向有关部门申请调解。协商或调解不成，当事人可依照有关法律规定将争议提交仲裁，或向甲方所在地的人民法院起诉。</w:t>
      </w:r>
    </w:p>
    <w:p w14:paraId="13D78A11">
      <w:pPr>
        <w:spacing w:line="420" w:lineRule="exact"/>
        <w:ind w:firstLine="560" w:firstLineChars="200"/>
        <w:rPr>
          <w:rFonts w:ascii="宋体" w:hAnsi="宋体"/>
          <w:color w:val="auto"/>
          <w:sz w:val="28"/>
          <w:szCs w:val="28"/>
        </w:rPr>
      </w:pPr>
      <w:r>
        <w:rPr>
          <w:rFonts w:hint="eastAsia" w:ascii="宋体" w:hAnsi="宋体"/>
          <w:color w:val="auto"/>
          <w:sz w:val="28"/>
          <w:szCs w:val="28"/>
        </w:rPr>
        <w:t>十、</w:t>
      </w:r>
      <w:r>
        <w:rPr>
          <w:rFonts w:hint="eastAsia" w:ascii="宋体" w:hAnsi="宋体" w:cs="Arial"/>
          <w:color w:val="auto"/>
          <w:sz w:val="28"/>
          <w:szCs w:val="28"/>
        </w:rPr>
        <w:t>本合同一式伍份，甲方执肆份，乙方执壹份。本合同经甲乙双方签字盖章后生效，补充协议含售后服务承诺书等，与本合同具有同等法律效力。本合同仅对本次临时紧急采购有效。如甲乙双方合同条款内容不一致，以甲方存档的文本为正本。</w:t>
      </w:r>
    </w:p>
    <w:p w14:paraId="25B43BD3">
      <w:pPr>
        <w:spacing w:line="400" w:lineRule="exact"/>
        <w:ind w:firstLine="560" w:firstLineChars="200"/>
        <w:rPr>
          <w:rFonts w:ascii="宋体" w:hAnsi="宋体" w:cs="Arial"/>
          <w:color w:val="auto"/>
          <w:sz w:val="28"/>
          <w:szCs w:val="28"/>
        </w:rPr>
      </w:pPr>
      <w:r>
        <w:rPr>
          <w:rFonts w:hint="eastAsia" w:ascii="宋体" w:hAnsi="宋体" w:cs="Arial"/>
          <w:color w:val="auto"/>
          <w:sz w:val="28"/>
          <w:szCs w:val="28"/>
        </w:rPr>
        <w:t>十一、本合同尾部及《廉洁合同》载明的乙方地址及联系人用于接收往来函件及诉讼法律文书，且适用于因本合同履行相关的一切纠纷处理程序（如仲裁、诉讼、执行等）的送达。如有变更乙方需以书面方式通知甲方，未书面通知变更的，凡向合同记载地址或联系方式发送的文件及信息，无论是否实际收到，均视为有效送达。</w:t>
      </w:r>
    </w:p>
    <w:p w14:paraId="03BDB08D">
      <w:pPr>
        <w:spacing w:line="400" w:lineRule="exact"/>
        <w:ind w:firstLine="562" w:firstLineChars="200"/>
        <w:rPr>
          <w:rFonts w:ascii="宋体" w:hAnsi="宋体" w:cs="Arial"/>
          <w:b/>
          <w:color w:val="auto"/>
          <w:sz w:val="28"/>
          <w:szCs w:val="28"/>
        </w:rPr>
      </w:pPr>
      <w:r>
        <w:rPr>
          <w:rFonts w:hint="eastAsia" w:ascii="宋体" w:hAnsi="宋体" w:cs="Arial"/>
          <w:b/>
          <w:color w:val="auto"/>
          <w:sz w:val="28"/>
          <w:szCs w:val="28"/>
        </w:rPr>
        <w:t>十二、本合同如有未尽事宜，甲乙双方另行协商。</w:t>
      </w:r>
    </w:p>
    <w:p w14:paraId="74DA1A3F">
      <w:pPr>
        <w:spacing w:line="400" w:lineRule="exact"/>
        <w:ind w:firstLine="562" w:firstLineChars="200"/>
        <w:rPr>
          <w:rFonts w:ascii="宋体" w:hAnsi="宋体" w:cs="Arial"/>
          <w:b/>
          <w:color w:val="auto"/>
          <w:sz w:val="28"/>
          <w:szCs w:val="28"/>
        </w:rPr>
      </w:pPr>
      <w:r>
        <w:rPr>
          <w:rFonts w:hint="eastAsia" w:ascii="宋体" w:hAnsi="宋体" w:cs="Arial"/>
          <w:b/>
          <w:color w:val="auto"/>
          <w:sz w:val="28"/>
          <w:szCs w:val="28"/>
        </w:rPr>
        <w:t>十三、附件：</w:t>
      </w:r>
    </w:p>
    <w:tbl>
      <w:tblPr>
        <w:tblStyle w:val="28"/>
        <w:tblW w:w="0" w:type="auto"/>
        <w:jc w:val="center"/>
        <w:tblLayout w:type="autofit"/>
        <w:tblCellMar>
          <w:top w:w="0" w:type="dxa"/>
          <w:left w:w="108" w:type="dxa"/>
          <w:bottom w:w="0" w:type="dxa"/>
          <w:right w:w="108" w:type="dxa"/>
        </w:tblCellMar>
      </w:tblPr>
      <w:tblGrid>
        <w:gridCol w:w="4600"/>
        <w:gridCol w:w="4495"/>
      </w:tblGrid>
      <w:tr w14:paraId="00D0A2D7">
        <w:tblPrEx>
          <w:tblCellMar>
            <w:top w:w="0" w:type="dxa"/>
            <w:left w:w="108" w:type="dxa"/>
            <w:bottom w:w="0" w:type="dxa"/>
            <w:right w:w="108" w:type="dxa"/>
          </w:tblCellMar>
        </w:tblPrEx>
        <w:trPr>
          <w:jc w:val="center"/>
        </w:trPr>
        <w:tc>
          <w:tcPr>
            <w:tcW w:w="4984" w:type="dxa"/>
            <w:shd w:val="clear" w:color="auto" w:fill="auto"/>
          </w:tcPr>
          <w:p w14:paraId="7DD457B2">
            <w:pPr>
              <w:spacing w:line="480" w:lineRule="auto"/>
              <w:rPr>
                <w:rFonts w:ascii="宋体" w:hAnsi="宋体" w:cs="Arial"/>
                <w:color w:val="auto"/>
                <w:sz w:val="28"/>
                <w:szCs w:val="28"/>
              </w:rPr>
            </w:pPr>
            <w:r>
              <w:rPr>
                <w:rFonts w:hint="eastAsia" w:ascii="宋体" w:hAnsi="宋体" w:cs="Arial"/>
                <w:color w:val="auto"/>
                <w:sz w:val="28"/>
                <w:szCs w:val="28"/>
              </w:rPr>
              <w:t>甲方（盖章）：桂林医学院附属医院</w:t>
            </w:r>
          </w:p>
        </w:tc>
        <w:tc>
          <w:tcPr>
            <w:tcW w:w="4984" w:type="dxa"/>
            <w:shd w:val="clear" w:color="auto" w:fill="auto"/>
          </w:tcPr>
          <w:p w14:paraId="50878FB9">
            <w:pPr>
              <w:spacing w:line="480" w:lineRule="auto"/>
              <w:rPr>
                <w:rFonts w:ascii="宋体" w:hAnsi="宋体" w:cs="Arial"/>
                <w:color w:val="auto"/>
                <w:sz w:val="28"/>
                <w:szCs w:val="28"/>
              </w:rPr>
            </w:pPr>
            <w:r>
              <w:rPr>
                <w:rFonts w:hint="eastAsia" w:ascii="宋体" w:hAnsi="宋体" w:cs="Arial"/>
                <w:color w:val="auto"/>
                <w:sz w:val="28"/>
                <w:szCs w:val="28"/>
              </w:rPr>
              <w:t>乙方（盖章）：</w:t>
            </w:r>
          </w:p>
        </w:tc>
      </w:tr>
      <w:tr w14:paraId="6A9FA1FA">
        <w:tblPrEx>
          <w:tblCellMar>
            <w:top w:w="0" w:type="dxa"/>
            <w:left w:w="108" w:type="dxa"/>
            <w:bottom w:w="0" w:type="dxa"/>
            <w:right w:w="108" w:type="dxa"/>
          </w:tblCellMar>
        </w:tblPrEx>
        <w:trPr>
          <w:jc w:val="center"/>
        </w:trPr>
        <w:tc>
          <w:tcPr>
            <w:tcW w:w="4984" w:type="dxa"/>
            <w:shd w:val="clear" w:color="auto" w:fill="auto"/>
          </w:tcPr>
          <w:p w14:paraId="60CB2CBF">
            <w:pPr>
              <w:spacing w:line="480" w:lineRule="auto"/>
              <w:rPr>
                <w:rFonts w:ascii="宋体" w:hAnsi="宋体" w:cs="Arial"/>
                <w:color w:val="auto"/>
                <w:sz w:val="28"/>
                <w:szCs w:val="28"/>
              </w:rPr>
            </w:pPr>
            <w:r>
              <w:rPr>
                <w:rFonts w:hint="eastAsia" w:ascii="宋体" w:hAnsi="宋体" w:cs="Arial"/>
                <w:color w:val="auto"/>
                <w:sz w:val="28"/>
                <w:szCs w:val="28"/>
              </w:rPr>
              <w:t>地址：桂林市秀峰区乐群路15号</w:t>
            </w:r>
          </w:p>
        </w:tc>
        <w:tc>
          <w:tcPr>
            <w:tcW w:w="4984" w:type="dxa"/>
            <w:shd w:val="clear" w:color="auto" w:fill="auto"/>
          </w:tcPr>
          <w:p w14:paraId="55865E19">
            <w:pPr>
              <w:spacing w:line="480" w:lineRule="auto"/>
              <w:rPr>
                <w:rFonts w:ascii="宋体" w:hAnsi="宋体" w:cs="Arial"/>
                <w:color w:val="auto"/>
                <w:sz w:val="28"/>
                <w:szCs w:val="28"/>
              </w:rPr>
            </w:pPr>
            <w:r>
              <w:rPr>
                <w:rFonts w:hint="eastAsia" w:ascii="宋体" w:hAnsi="宋体" w:cs="Arial"/>
                <w:color w:val="auto"/>
                <w:sz w:val="28"/>
                <w:szCs w:val="28"/>
              </w:rPr>
              <w:t>地址：</w:t>
            </w:r>
          </w:p>
          <w:p w14:paraId="36F39F44">
            <w:pPr>
              <w:spacing w:line="400" w:lineRule="exact"/>
              <w:rPr>
                <w:rFonts w:ascii="宋体" w:hAnsi="宋体" w:cs="Arial"/>
                <w:color w:val="auto"/>
                <w:sz w:val="28"/>
                <w:szCs w:val="28"/>
              </w:rPr>
            </w:pPr>
            <w:r>
              <w:rPr>
                <w:rFonts w:hint="eastAsia" w:ascii="宋体" w:hAnsi="宋体" w:cs="Arial"/>
                <w:color w:val="auto"/>
                <w:sz w:val="28"/>
                <w:szCs w:val="28"/>
              </w:rPr>
              <w:t>银行账号：</w:t>
            </w:r>
          </w:p>
          <w:p w14:paraId="7C7267BB">
            <w:pPr>
              <w:spacing w:line="480" w:lineRule="auto"/>
              <w:rPr>
                <w:rFonts w:ascii="宋体" w:hAnsi="宋体" w:cs="Arial"/>
                <w:color w:val="auto"/>
                <w:sz w:val="28"/>
                <w:szCs w:val="28"/>
              </w:rPr>
            </w:pPr>
            <w:r>
              <w:rPr>
                <w:rFonts w:hint="eastAsia" w:ascii="宋体" w:hAnsi="宋体" w:cs="Arial"/>
                <w:color w:val="auto"/>
                <w:sz w:val="28"/>
                <w:szCs w:val="28"/>
              </w:rPr>
              <w:t>开户行：</w:t>
            </w:r>
          </w:p>
        </w:tc>
      </w:tr>
      <w:tr w14:paraId="1CFA6DAF">
        <w:tblPrEx>
          <w:tblCellMar>
            <w:top w:w="0" w:type="dxa"/>
            <w:left w:w="108" w:type="dxa"/>
            <w:bottom w:w="0" w:type="dxa"/>
            <w:right w:w="108" w:type="dxa"/>
          </w:tblCellMar>
        </w:tblPrEx>
        <w:trPr>
          <w:jc w:val="center"/>
        </w:trPr>
        <w:tc>
          <w:tcPr>
            <w:tcW w:w="4984" w:type="dxa"/>
            <w:shd w:val="clear" w:color="auto" w:fill="auto"/>
          </w:tcPr>
          <w:p w14:paraId="515C726A">
            <w:pPr>
              <w:spacing w:line="480" w:lineRule="auto"/>
              <w:rPr>
                <w:rFonts w:ascii="宋体" w:hAnsi="宋体" w:cs="Arial"/>
                <w:color w:val="auto"/>
                <w:sz w:val="28"/>
                <w:szCs w:val="28"/>
              </w:rPr>
            </w:pPr>
            <w:r>
              <w:rPr>
                <w:rFonts w:hint="eastAsia" w:ascii="宋体" w:hAnsi="宋体" w:cs="Arial"/>
                <w:color w:val="auto"/>
                <w:sz w:val="28"/>
                <w:szCs w:val="28"/>
              </w:rPr>
              <w:t xml:space="preserve">电话：0773-2802050  </w:t>
            </w:r>
          </w:p>
        </w:tc>
        <w:tc>
          <w:tcPr>
            <w:tcW w:w="4984" w:type="dxa"/>
            <w:shd w:val="clear" w:color="auto" w:fill="auto"/>
          </w:tcPr>
          <w:p w14:paraId="5FC7BC82">
            <w:pPr>
              <w:spacing w:line="480" w:lineRule="auto"/>
              <w:rPr>
                <w:rFonts w:ascii="宋体" w:hAnsi="宋体" w:cs="Arial"/>
                <w:color w:val="auto"/>
                <w:sz w:val="28"/>
                <w:szCs w:val="28"/>
              </w:rPr>
            </w:pPr>
            <w:r>
              <w:rPr>
                <w:rFonts w:hint="eastAsia" w:ascii="宋体" w:hAnsi="宋体" w:cs="Arial"/>
                <w:color w:val="auto"/>
                <w:sz w:val="28"/>
                <w:szCs w:val="28"/>
              </w:rPr>
              <w:t>电话：</w:t>
            </w:r>
          </w:p>
        </w:tc>
      </w:tr>
      <w:tr w14:paraId="5C699D35">
        <w:tblPrEx>
          <w:tblCellMar>
            <w:top w:w="0" w:type="dxa"/>
            <w:left w:w="108" w:type="dxa"/>
            <w:bottom w:w="0" w:type="dxa"/>
            <w:right w:w="108" w:type="dxa"/>
          </w:tblCellMar>
        </w:tblPrEx>
        <w:trPr>
          <w:jc w:val="center"/>
        </w:trPr>
        <w:tc>
          <w:tcPr>
            <w:tcW w:w="4984" w:type="dxa"/>
            <w:shd w:val="clear" w:color="auto" w:fill="auto"/>
          </w:tcPr>
          <w:p w14:paraId="1BF62120">
            <w:pPr>
              <w:spacing w:line="480" w:lineRule="auto"/>
              <w:rPr>
                <w:rFonts w:ascii="宋体" w:hAnsi="宋体" w:cs="Arial"/>
                <w:color w:val="auto"/>
                <w:sz w:val="28"/>
                <w:szCs w:val="28"/>
              </w:rPr>
            </w:pPr>
            <w:r>
              <w:rPr>
                <w:rFonts w:hint="eastAsia" w:ascii="宋体" w:hAnsi="宋体" w:cs="Arial"/>
                <w:color w:val="auto"/>
                <w:sz w:val="28"/>
                <w:szCs w:val="28"/>
              </w:rPr>
              <w:t>法人代表：</w:t>
            </w:r>
          </w:p>
        </w:tc>
        <w:tc>
          <w:tcPr>
            <w:tcW w:w="4984" w:type="dxa"/>
            <w:shd w:val="clear" w:color="auto" w:fill="auto"/>
          </w:tcPr>
          <w:p w14:paraId="2297FE9A">
            <w:pPr>
              <w:spacing w:line="480" w:lineRule="auto"/>
              <w:rPr>
                <w:rFonts w:ascii="宋体" w:hAnsi="宋体" w:cs="Arial"/>
                <w:color w:val="auto"/>
                <w:sz w:val="28"/>
                <w:szCs w:val="28"/>
              </w:rPr>
            </w:pPr>
            <w:r>
              <w:rPr>
                <w:rFonts w:hint="eastAsia" w:ascii="宋体" w:hAnsi="宋体" w:cs="Arial"/>
                <w:color w:val="auto"/>
                <w:sz w:val="28"/>
                <w:szCs w:val="28"/>
              </w:rPr>
              <w:t>法人代表：</w:t>
            </w:r>
          </w:p>
        </w:tc>
      </w:tr>
      <w:tr w14:paraId="1EBF9B1A">
        <w:tblPrEx>
          <w:tblCellMar>
            <w:top w:w="0" w:type="dxa"/>
            <w:left w:w="108" w:type="dxa"/>
            <w:bottom w:w="0" w:type="dxa"/>
            <w:right w:w="108" w:type="dxa"/>
          </w:tblCellMar>
        </w:tblPrEx>
        <w:trPr>
          <w:jc w:val="center"/>
        </w:trPr>
        <w:tc>
          <w:tcPr>
            <w:tcW w:w="4984" w:type="dxa"/>
            <w:shd w:val="clear" w:color="auto" w:fill="auto"/>
          </w:tcPr>
          <w:p w14:paraId="155B5CB1">
            <w:pPr>
              <w:spacing w:line="480" w:lineRule="auto"/>
              <w:rPr>
                <w:rFonts w:ascii="宋体" w:hAnsi="宋体" w:cs="Arial"/>
                <w:color w:val="auto"/>
                <w:sz w:val="28"/>
                <w:szCs w:val="28"/>
              </w:rPr>
            </w:pPr>
            <w:r>
              <w:rPr>
                <w:rFonts w:hint="eastAsia" w:ascii="宋体" w:hAnsi="宋体" w:cs="Arial"/>
                <w:color w:val="auto"/>
                <w:sz w:val="28"/>
                <w:szCs w:val="28"/>
              </w:rPr>
              <w:t>委托代理人：</w:t>
            </w:r>
          </w:p>
        </w:tc>
        <w:tc>
          <w:tcPr>
            <w:tcW w:w="4984" w:type="dxa"/>
            <w:shd w:val="clear" w:color="auto" w:fill="auto"/>
          </w:tcPr>
          <w:p w14:paraId="453B7658">
            <w:pPr>
              <w:spacing w:line="480" w:lineRule="auto"/>
              <w:rPr>
                <w:rFonts w:ascii="宋体" w:hAnsi="宋体" w:cs="Arial"/>
                <w:color w:val="auto"/>
                <w:sz w:val="28"/>
                <w:szCs w:val="28"/>
              </w:rPr>
            </w:pPr>
            <w:r>
              <w:rPr>
                <w:rFonts w:hint="eastAsia" w:ascii="宋体" w:hAnsi="宋体" w:cs="Arial"/>
                <w:color w:val="auto"/>
                <w:sz w:val="28"/>
                <w:szCs w:val="28"/>
              </w:rPr>
              <w:t>委托代理人：注：要与投标报价人一致</w:t>
            </w:r>
          </w:p>
        </w:tc>
      </w:tr>
      <w:tr w14:paraId="2A48650A">
        <w:tblPrEx>
          <w:tblCellMar>
            <w:top w:w="0" w:type="dxa"/>
            <w:left w:w="108" w:type="dxa"/>
            <w:bottom w:w="0" w:type="dxa"/>
            <w:right w:w="108" w:type="dxa"/>
          </w:tblCellMar>
        </w:tblPrEx>
        <w:trPr>
          <w:jc w:val="center"/>
        </w:trPr>
        <w:tc>
          <w:tcPr>
            <w:tcW w:w="4984" w:type="dxa"/>
            <w:shd w:val="clear" w:color="auto" w:fill="auto"/>
          </w:tcPr>
          <w:p w14:paraId="0255EE77">
            <w:pPr>
              <w:spacing w:line="480" w:lineRule="auto"/>
              <w:rPr>
                <w:rFonts w:ascii="宋体" w:hAnsi="宋体" w:cs="Arial"/>
                <w:color w:val="auto"/>
                <w:sz w:val="28"/>
                <w:szCs w:val="28"/>
              </w:rPr>
            </w:pPr>
            <w:r>
              <w:rPr>
                <w:rFonts w:hint="eastAsia" w:ascii="宋体" w:hAnsi="宋体" w:cs="Arial"/>
                <w:color w:val="auto"/>
                <w:sz w:val="28"/>
                <w:szCs w:val="28"/>
              </w:rPr>
              <w:t xml:space="preserve">签订日期：     年   月   日  </w:t>
            </w:r>
          </w:p>
        </w:tc>
        <w:tc>
          <w:tcPr>
            <w:tcW w:w="4984" w:type="dxa"/>
            <w:shd w:val="clear" w:color="auto" w:fill="auto"/>
          </w:tcPr>
          <w:p w14:paraId="7288F064">
            <w:pPr>
              <w:spacing w:line="480" w:lineRule="auto"/>
              <w:rPr>
                <w:rFonts w:ascii="宋体" w:hAnsi="宋体" w:cs="Arial"/>
                <w:color w:val="auto"/>
                <w:sz w:val="28"/>
                <w:szCs w:val="28"/>
              </w:rPr>
            </w:pPr>
            <w:r>
              <w:rPr>
                <w:rFonts w:hint="eastAsia" w:ascii="宋体" w:hAnsi="宋体" w:cs="Arial"/>
                <w:color w:val="auto"/>
                <w:sz w:val="28"/>
                <w:szCs w:val="28"/>
              </w:rPr>
              <w:t xml:space="preserve">签订日期：     年   月   日  </w:t>
            </w:r>
          </w:p>
        </w:tc>
      </w:tr>
    </w:tbl>
    <w:p w14:paraId="2A4FD371">
      <w:pPr>
        <w:spacing w:line="400" w:lineRule="exact"/>
        <w:ind w:firstLine="960" w:firstLineChars="200"/>
        <w:rPr>
          <w:rFonts w:ascii="宋体" w:hAnsi="宋体" w:cs="Arial"/>
          <w:color w:val="auto"/>
          <w:sz w:val="48"/>
          <w:szCs w:val="48"/>
        </w:rPr>
      </w:pPr>
    </w:p>
    <w:p w14:paraId="3C329AA1">
      <w:pPr>
        <w:spacing w:line="400" w:lineRule="exact"/>
        <w:jc w:val="center"/>
        <w:rPr>
          <w:rFonts w:ascii="宋体" w:hAnsi="宋体"/>
          <w:b/>
          <w:color w:val="auto"/>
          <w:sz w:val="36"/>
          <w:szCs w:val="36"/>
        </w:rPr>
      </w:pPr>
      <w:r>
        <w:rPr>
          <w:rFonts w:hint="eastAsia" w:ascii="宋体" w:hAnsi="宋体"/>
          <w:b/>
          <w:color w:val="auto"/>
          <w:sz w:val="36"/>
          <w:szCs w:val="36"/>
        </w:rPr>
        <w:t>医疗卫生机构医药产品廉洁购销合同</w:t>
      </w:r>
    </w:p>
    <w:p w14:paraId="5CD358D3">
      <w:pPr>
        <w:spacing w:line="400" w:lineRule="exact"/>
        <w:jc w:val="center"/>
        <w:rPr>
          <w:rFonts w:ascii="宋体" w:hAnsi="宋体"/>
          <w:b/>
          <w:color w:val="auto"/>
          <w:sz w:val="28"/>
          <w:szCs w:val="28"/>
        </w:rPr>
      </w:pPr>
      <w:r>
        <w:rPr>
          <w:rFonts w:hint="eastAsia" w:ascii="宋体" w:hAnsi="宋体"/>
          <w:b/>
          <w:color w:val="auto"/>
          <w:sz w:val="28"/>
          <w:szCs w:val="28"/>
        </w:rPr>
        <w:t>（含设备、耗材、后勤物资、基建工程、行业服务等）</w:t>
      </w:r>
    </w:p>
    <w:p w14:paraId="6F3B0B5F">
      <w:pPr>
        <w:spacing w:line="360" w:lineRule="exact"/>
        <w:rPr>
          <w:rFonts w:ascii="宋体" w:hAnsi="宋体"/>
          <w:b/>
          <w:color w:val="auto"/>
          <w:sz w:val="24"/>
        </w:rPr>
      </w:pPr>
      <w:r>
        <w:rPr>
          <w:rFonts w:hint="eastAsia" w:ascii="宋体" w:hAnsi="宋体"/>
          <w:b/>
          <w:color w:val="auto"/>
          <w:sz w:val="24"/>
        </w:rPr>
        <w:t>甲方（医疗卫生机构）：桂林医学院附属医院</w:t>
      </w:r>
    </w:p>
    <w:p w14:paraId="6C665BE8">
      <w:pPr>
        <w:spacing w:line="360" w:lineRule="exact"/>
        <w:rPr>
          <w:rFonts w:ascii="宋体" w:hAnsi="宋体"/>
          <w:b/>
          <w:color w:val="auto"/>
          <w:sz w:val="24"/>
        </w:rPr>
      </w:pPr>
      <w:r>
        <w:rPr>
          <w:rFonts w:hint="eastAsia" w:ascii="宋体" w:hAnsi="宋体"/>
          <w:b/>
          <w:color w:val="auto"/>
          <w:sz w:val="24"/>
        </w:rPr>
        <w:t>乙方（医药生产经营企业及其代理人）：</w:t>
      </w:r>
    </w:p>
    <w:p w14:paraId="215E8AE6">
      <w:pPr>
        <w:spacing w:line="360" w:lineRule="exact"/>
        <w:ind w:firstLine="480" w:firstLineChars="200"/>
        <w:rPr>
          <w:rFonts w:ascii="宋体" w:hAnsi="宋体"/>
          <w:color w:val="auto"/>
          <w:sz w:val="24"/>
        </w:rPr>
      </w:pPr>
      <w:r>
        <w:rPr>
          <w:rFonts w:hint="eastAsia" w:ascii="宋体" w:hAnsi="宋体"/>
          <w:color w:val="auto"/>
          <w:sz w:val="24"/>
        </w:rPr>
        <w:t>为进一步加强医疗卫生行风建设，规范医疗卫生机构医药购销行为，有效防范商业贿赂行为，营造公平交易、诚实守信的购销环境，经甲、乙双方协商，同意签订本合同，并共同遵守：</w:t>
      </w:r>
    </w:p>
    <w:p w14:paraId="5B9D38E4">
      <w:pPr>
        <w:spacing w:line="360" w:lineRule="exact"/>
        <w:ind w:firstLine="491" w:firstLineChars="205"/>
        <w:rPr>
          <w:rFonts w:ascii="宋体" w:hAnsi="宋体"/>
          <w:color w:val="auto"/>
          <w:sz w:val="24"/>
        </w:rPr>
      </w:pPr>
      <w:r>
        <w:rPr>
          <w:rFonts w:hint="eastAsia" w:ascii="宋体" w:hAnsi="宋体"/>
          <w:color w:val="auto"/>
          <w:sz w:val="24"/>
        </w:rPr>
        <w:t>一、甲乙双方按照《中华人民共和国民法典》及医药产品购销合同约定购销药品、医用设备、医用耗材试剂等医药产品。</w:t>
      </w:r>
    </w:p>
    <w:p w14:paraId="582C63A5">
      <w:pPr>
        <w:spacing w:line="360" w:lineRule="exact"/>
        <w:ind w:firstLine="491" w:firstLineChars="205"/>
        <w:rPr>
          <w:rFonts w:ascii="宋体" w:hAnsi="宋体"/>
          <w:color w:val="auto"/>
          <w:sz w:val="24"/>
        </w:rPr>
      </w:pPr>
      <w:r>
        <w:rPr>
          <w:rFonts w:hint="eastAsia" w:ascii="宋体" w:hAnsi="宋体"/>
          <w:color w:val="auto"/>
          <w:sz w:val="24"/>
        </w:rPr>
        <w:t>二、甲方应当严格执行医药产品购销合同验收、入库制度，对采购医药产品及发票进行查验，不得违反有关规定合同外采购、违价采购或从非规定渠道采购。</w:t>
      </w:r>
    </w:p>
    <w:p w14:paraId="09CC7B57">
      <w:pPr>
        <w:spacing w:line="360" w:lineRule="exact"/>
        <w:ind w:firstLine="491" w:firstLineChars="205"/>
        <w:rPr>
          <w:rFonts w:ascii="宋体" w:hAnsi="宋体"/>
          <w:color w:val="auto"/>
          <w:sz w:val="24"/>
        </w:rPr>
      </w:pPr>
      <w:r>
        <w:rPr>
          <w:rFonts w:hint="eastAsia" w:ascii="宋体" w:hAnsi="宋体"/>
          <w:color w:val="auto"/>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4793E67A">
      <w:pPr>
        <w:spacing w:line="360" w:lineRule="exact"/>
        <w:ind w:firstLine="491" w:firstLineChars="205"/>
        <w:rPr>
          <w:rFonts w:ascii="宋体" w:hAnsi="宋体"/>
          <w:color w:val="auto"/>
          <w:sz w:val="24"/>
        </w:rPr>
      </w:pPr>
      <w:r>
        <w:rPr>
          <w:rFonts w:hint="eastAsia" w:ascii="宋体" w:hAnsi="宋体"/>
          <w:color w:val="auto"/>
          <w:sz w:val="24"/>
        </w:rPr>
        <w:t>四、严禁甲方工作人员利用任何途径和方式，为乙方统计医师个人及临床科室有关医药产品用量信息，或为乙方统计提供便利。</w:t>
      </w:r>
    </w:p>
    <w:p w14:paraId="44AB910D">
      <w:pPr>
        <w:spacing w:line="360" w:lineRule="exact"/>
        <w:ind w:firstLine="491" w:firstLineChars="205"/>
        <w:rPr>
          <w:rFonts w:ascii="宋体" w:hAnsi="宋体"/>
          <w:color w:val="auto"/>
          <w:sz w:val="24"/>
        </w:rPr>
      </w:pPr>
      <w:r>
        <w:rPr>
          <w:rFonts w:hint="eastAsia" w:ascii="宋体" w:hAnsi="宋体"/>
          <w:color w:val="auto"/>
          <w:sz w:val="24"/>
        </w:rPr>
        <w:t>五、乙方不得以回扣、宴请等方式影响甲方工作人员采购或使用医药产品的选择权，不得在学术活动中提供旅游、超标准支付食宿费用。</w:t>
      </w:r>
    </w:p>
    <w:p w14:paraId="5E2E66A6">
      <w:pPr>
        <w:spacing w:line="360" w:lineRule="exact"/>
        <w:ind w:firstLine="491" w:firstLineChars="205"/>
        <w:rPr>
          <w:rFonts w:ascii="宋体" w:hAnsi="宋体"/>
          <w:color w:val="auto"/>
          <w:sz w:val="24"/>
        </w:rPr>
      </w:pPr>
      <w:r>
        <w:rPr>
          <w:rFonts w:hint="eastAsia" w:ascii="宋体" w:hAnsi="宋体"/>
          <w:color w:val="auto"/>
          <w:sz w:val="24"/>
        </w:rPr>
        <w:t>六、乙方指定</w:t>
      </w:r>
      <w:r>
        <w:rPr>
          <w:rFonts w:hint="eastAsia" w:ascii="宋体" w:hAnsi="宋体"/>
          <w:color w:val="auto"/>
          <w:sz w:val="24"/>
          <w:u w:val="single"/>
        </w:rPr>
        <w:t xml:space="preserve">                </w:t>
      </w:r>
      <w:r>
        <w:rPr>
          <w:rFonts w:hint="eastAsia" w:ascii="宋体" w:hAnsi="宋体"/>
          <w:color w:val="auto"/>
          <w:sz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697ECD39">
      <w:pPr>
        <w:spacing w:line="360" w:lineRule="exact"/>
        <w:ind w:firstLine="491" w:firstLineChars="205"/>
        <w:rPr>
          <w:rFonts w:ascii="宋体" w:hAnsi="宋体"/>
          <w:color w:val="auto"/>
          <w:sz w:val="24"/>
        </w:rPr>
      </w:pPr>
      <w:r>
        <w:rPr>
          <w:rFonts w:hint="eastAsia" w:ascii="宋体" w:hAnsi="宋体"/>
          <w:color w:val="auto"/>
          <w:sz w:val="24"/>
        </w:rPr>
        <w:t>七、乙方如违反本合同，一经发现，甲方有权终止购销合同，并向有关卫生计生行政部门报告。如乙方被列入商业贿赂不良记录，则按照《国家卫生计生委关于建立医药购销领域商业贿赂不良记录的规定》（国卫法制发[2013]50号）相关规定处理。</w:t>
      </w:r>
    </w:p>
    <w:p w14:paraId="4A6FD87C">
      <w:pPr>
        <w:spacing w:line="360" w:lineRule="exact"/>
        <w:ind w:firstLine="491" w:firstLineChars="205"/>
        <w:rPr>
          <w:rFonts w:ascii="宋体" w:hAnsi="宋体"/>
          <w:color w:val="auto"/>
          <w:sz w:val="24"/>
        </w:rPr>
      </w:pPr>
      <w:r>
        <w:rPr>
          <w:rFonts w:hint="eastAsia" w:ascii="宋体" w:hAnsi="宋体"/>
          <w:color w:val="auto"/>
          <w:sz w:val="24"/>
        </w:rPr>
        <w:t>八、本合同作为医药产品购销合同的重要组成部分，与购销合同一并执行，具有同等的法律效力。</w:t>
      </w:r>
    </w:p>
    <w:p w14:paraId="468ADFF3">
      <w:pPr>
        <w:spacing w:line="360" w:lineRule="exact"/>
        <w:ind w:firstLine="491" w:firstLineChars="205"/>
        <w:rPr>
          <w:rFonts w:ascii="宋体" w:hAnsi="宋体"/>
          <w:color w:val="auto"/>
          <w:sz w:val="24"/>
        </w:rPr>
      </w:pPr>
      <w:r>
        <w:rPr>
          <w:rFonts w:hint="eastAsia" w:ascii="宋体" w:hAnsi="宋体"/>
          <w:color w:val="auto"/>
          <w:sz w:val="24"/>
        </w:rPr>
        <w:t>九、本合同一式伍份，甲方执肆份，乙方执壹份，并从签订之日起生效。</w:t>
      </w:r>
    </w:p>
    <w:p w14:paraId="51A7585F">
      <w:pPr>
        <w:spacing w:line="400" w:lineRule="exact"/>
        <w:ind w:firstLine="435"/>
        <w:rPr>
          <w:rFonts w:ascii="宋体" w:hAnsi="宋体"/>
          <w:color w:val="auto"/>
          <w:sz w:val="24"/>
        </w:rPr>
      </w:pPr>
    </w:p>
    <w:p w14:paraId="2BCC9247">
      <w:pPr>
        <w:spacing w:line="400" w:lineRule="exact"/>
        <w:rPr>
          <w:rFonts w:ascii="宋体" w:hAnsi="宋体"/>
          <w:color w:val="auto"/>
          <w:sz w:val="24"/>
        </w:rPr>
      </w:pPr>
    </w:p>
    <w:p w14:paraId="0E4CC9A3">
      <w:pPr>
        <w:spacing w:line="400" w:lineRule="exact"/>
        <w:rPr>
          <w:rFonts w:ascii="宋体" w:hAnsi="宋体"/>
          <w:b/>
          <w:color w:val="auto"/>
          <w:sz w:val="24"/>
        </w:rPr>
      </w:pPr>
      <w:r>
        <w:rPr>
          <w:rFonts w:hint="eastAsia" w:ascii="宋体" w:hAnsi="宋体"/>
          <w:b/>
          <w:color w:val="auto"/>
          <w:sz w:val="24"/>
        </w:rPr>
        <w:t>甲方（盖章）：桂林医学院附属医院           乙方（盖章）：</w:t>
      </w:r>
    </w:p>
    <w:p w14:paraId="6006D7F9">
      <w:pPr>
        <w:spacing w:line="400" w:lineRule="exact"/>
        <w:rPr>
          <w:rFonts w:ascii="宋体" w:hAnsi="宋体"/>
          <w:b/>
          <w:color w:val="auto"/>
          <w:sz w:val="24"/>
        </w:rPr>
      </w:pPr>
      <w:r>
        <w:rPr>
          <w:rFonts w:hint="eastAsia" w:ascii="宋体" w:hAnsi="宋体"/>
          <w:b/>
          <w:color w:val="auto"/>
          <w:sz w:val="24"/>
        </w:rPr>
        <w:t>法定代表人（负责人）：                     法定代表人（负责人）：</w:t>
      </w:r>
    </w:p>
    <w:p w14:paraId="242AC8B3">
      <w:pPr>
        <w:spacing w:line="400" w:lineRule="exact"/>
        <w:rPr>
          <w:rFonts w:ascii="宋体" w:hAnsi="宋体"/>
          <w:b/>
          <w:color w:val="auto"/>
          <w:sz w:val="24"/>
          <w:u w:val="single"/>
        </w:rPr>
      </w:pPr>
      <w:r>
        <w:rPr>
          <w:rFonts w:hint="eastAsia" w:ascii="宋体" w:hAnsi="宋体"/>
          <w:b/>
          <w:color w:val="auto"/>
          <w:sz w:val="24"/>
        </w:rPr>
        <w:t>经办人签名：                              经办人签名：</w:t>
      </w:r>
    </w:p>
    <w:p w14:paraId="1F03DEDF">
      <w:pPr>
        <w:spacing w:line="400" w:lineRule="exact"/>
        <w:rPr>
          <w:rFonts w:ascii="宋体" w:hAnsi="宋体"/>
          <w:b/>
          <w:color w:val="auto"/>
          <w:sz w:val="24"/>
        </w:rPr>
      </w:pPr>
      <w:r>
        <w:rPr>
          <w:rFonts w:hint="eastAsia" w:ascii="宋体" w:hAnsi="宋体"/>
          <w:b/>
          <w:color w:val="auto"/>
          <w:sz w:val="24"/>
        </w:rPr>
        <w:t xml:space="preserve">签订日期： </w:t>
      </w:r>
      <w:r>
        <w:rPr>
          <w:rFonts w:ascii="宋体" w:hAnsi="宋体"/>
          <w:b/>
          <w:color w:val="auto"/>
          <w:sz w:val="24"/>
        </w:rPr>
        <w:t xml:space="preserve">   </w:t>
      </w:r>
      <w:r>
        <w:rPr>
          <w:rFonts w:hint="eastAsia" w:ascii="宋体" w:hAnsi="宋体"/>
          <w:b/>
          <w:color w:val="auto"/>
          <w:sz w:val="24"/>
        </w:rPr>
        <w:t xml:space="preserve">年   月   日                签订日期： </w:t>
      </w:r>
      <w:r>
        <w:rPr>
          <w:rFonts w:ascii="宋体" w:hAnsi="宋体"/>
          <w:b/>
          <w:color w:val="auto"/>
          <w:sz w:val="24"/>
        </w:rPr>
        <w:t xml:space="preserve">    </w:t>
      </w:r>
      <w:r>
        <w:rPr>
          <w:rFonts w:hint="eastAsia" w:ascii="宋体" w:hAnsi="宋体"/>
          <w:b/>
          <w:color w:val="auto"/>
          <w:sz w:val="24"/>
        </w:rPr>
        <w:t>年   月   日</w:t>
      </w:r>
    </w:p>
    <w:p w14:paraId="63EFA918">
      <w:pPr>
        <w:spacing w:line="420" w:lineRule="exact"/>
        <w:ind w:left="5040" w:hanging="5040" w:hangingChars="1800"/>
        <w:jc w:val="left"/>
        <w:rPr>
          <w:rFonts w:ascii="宋体" w:hAnsi="宋体"/>
          <w:color w:val="auto"/>
          <w:sz w:val="28"/>
          <w:szCs w:val="28"/>
        </w:rPr>
      </w:pPr>
    </w:p>
    <w:p w14:paraId="5ABDD41C">
      <w:pPr>
        <w:spacing w:line="360" w:lineRule="auto"/>
        <w:jc w:val="left"/>
        <w:rPr>
          <w:rFonts w:ascii="宋体" w:hAnsi="宋体"/>
          <w:b/>
          <w:color w:val="auto"/>
          <w:sz w:val="28"/>
          <w:szCs w:val="28"/>
        </w:rPr>
      </w:pPr>
    </w:p>
    <w:p w14:paraId="3C0D732C">
      <w:pPr>
        <w:spacing w:line="360" w:lineRule="auto"/>
        <w:jc w:val="left"/>
        <w:rPr>
          <w:rFonts w:ascii="宋体" w:hAnsi="宋体"/>
          <w:b/>
          <w:color w:val="auto"/>
          <w:sz w:val="28"/>
          <w:szCs w:val="28"/>
        </w:rPr>
      </w:pPr>
    </w:p>
    <w:p w14:paraId="300A4EC0">
      <w:pPr>
        <w:spacing w:line="360" w:lineRule="auto"/>
        <w:ind w:left="5060" w:hanging="5060" w:hangingChars="1800"/>
        <w:jc w:val="left"/>
        <w:rPr>
          <w:rFonts w:ascii="宋体" w:hAnsi="宋体"/>
          <w:b/>
          <w:color w:val="auto"/>
          <w:sz w:val="28"/>
          <w:szCs w:val="28"/>
        </w:rPr>
      </w:pPr>
      <w:r>
        <w:rPr>
          <w:rFonts w:hint="eastAsia" w:ascii="宋体" w:hAnsi="宋体"/>
          <w:b/>
          <w:color w:val="auto"/>
          <w:sz w:val="28"/>
          <w:szCs w:val="28"/>
        </w:rPr>
        <w:t>附件：</w:t>
      </w:r>
    </w:p>
    <w:p w14:paraId="77246139">
      <w:pPr>
        <w:spacing w:line="360" w:lineRule="auto"/>
        <w:ind w:left="5060" w:hanging="5060" w:hangingChars="1800"/>
        <w:jc w:val="center"/>
        <w:rPr>
          <w:rFonts w:ascii="宋体" w:hAnsi="宋体"/>
          <w:b/>
          <w:color w:val="auto"/>
          <w:sz w:val="28"/>
          <w:szCs w:val="28"/>
        </w:rPr>
      </w:pPr>
      <w:r>
        <w:rPr>
          <w:rFonts w:hint="eastAsia" w:ascii="宋体" w:hAnsi="宋体"/>
          <w:b/>
          <w:color w:val="auto"/>
          <w:sz w:val="28"/>
          <w:szCs w:val="28"/>
        </w:rPr>
        <w:t>设备保修项目清单及范围</w:t>
      </w:r>
    </w:p>
    <w:p w14:paraId="3BE5CD78">
      <w:pPr>
        <w:snapToGrid w:val="0"/>
        <w:spacing w:line="360" w:lineRule="auto"/>
        <w:rPr>
          <w:rFonts w:ascii="宋体" w:hAnsi="宋体"/>
          <w:color w:val="auto"/>
          <w:szCs w:val="21"/>
        </w:rPr>
      </w:pPr>
    </w:p>
    <w:sectPr>
      <w:footerReference r:id="rId7" w:type="first"/>
      <w:footerReference r:id="rId6" w:type="default"/>
      <w:pgSz w:w="11906" w:h="16838"/>
      <w:pgMar w:top="1440" w:right="1440" w:bottom="1440" w:left="158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04966D8-4A89-441C-8AC1-9CA69C9A5749}"/>
  </w:font>
  <w:font w:name="黑体">
    <w:panose1 w:val="02010609060101010101"/>
    <w:charset w:val="86"/>
    <w:family w:val="auto"/>
    <w:pitch w:val="default"/>
    <w:sig w:usb0="800002BF" w:usb1="38CF7CFA" w:usb2="00000016" w:usb3="00000000" w:csb0="00040001" w:csb1="00000000"/>
    <w:embedRegular r:id="rId2" w:fontKey="{CDF085FD-07AC-46AA-9801-AF1480960C29}"/>
  </w:font>
  <w:font w:name="Courier New">
    <w:panose1 w:val="02070309020205020404"/>
    <w:charset w:val="01"/>
    <w:family w:val="modern"/>
    <w:pitch w:val="default"/>
    <w:sig w:usb0="E0002AFF" w:usb1="C0007843" w:usb2="00000009" w:usb3="00000000" w:csb0="400001FF" w:csb1="FFFF0000"/>
    <w:embedRegular r:id="rId3" w:fontKey="{36277A20-DF2A-49C3-8BBA-58072686A4A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embedRegular r:id="rId4" w:fontKey="{22474E5C-6F1E-431A-AC65-6A617D09957D}"/>
  </w:font>
  <w:font w:name="仿宋">
    <w:panose1 w:val="02010609060101010101"/>
    <w:charset w:val="86"/>
    <w:family w:val="modern"/>
    <w:pitch w:val="default"/>
    <w:sig w:usb0="800002BF" w:usb1="38CF7CFA" w:usb2="00000016" w:usb3="00000000" w:csb0="00040001" w:csb1="00000000"/>
    <w:embedRegular r:id="rId5" w:fontKey="{BF181FA8-1EEB-4E80-843C-3F924F01C91C}"/>
  </w:font>
  <w:font w:name="Tahoma">
    <w:panose1 w:val="020B0604030504040204"/>
    <w:charset w:val="00"/>
    <w:family w:val="swiss"/>
    <w:pitch w:val="default"/>
    <w:sig w:usb0="E1002EFF" w:usb1="C000605B" w:usb2="00000029" w:usb3="00000000" w:csb0="200101FF" w:csb1="20280000"/>
    <w:embedRegular r:id="rId6" w:fontKey="{43812096-7B34-4A67-833C-9BF4A5127329}"/>
  </w:font>
  <w:font w:name="Verdana">
    <w:panose1 w:val="020B0604030504040204"/>
    <w:charset w:val="00"/>
    <w:family w:val="swiss"/>
    <w:pitch w:val="default"/>
    <w:sig w:usb0="A10006FF" w:usb1="4000205B" w:usb2="00000010" w:usb3="00000000" w:csb0="2000019F" w:csb1="00000000"/>
    <w:embedRegular r:id="rId7" w:fontKey="{D48358BA-9EA2-4B39-AB92-A5518FAA0DF6}"/>
  </w:font>
  <w:font w:name="方正小标宋简体">
    <w:altName w:val="黑体"/>
    <w:panose1 w:val="00000000000000000000"/>
    <w:charset w:val="86"/>
    <w:family w:val="script"/>
    <w:pitch w:val="default"/>
    <w:sig w:usb0="00000000" w:usb1="00000000" w:usb2="00000000" w:usb3="00000000" w:csb0="00040000" w:csb1="00000000"/>
    <w:embedRegular r:id="rId8" w:fontKey="{07563E04-6F4C-4700-A4F1-1C7AE33583B9}"/>
  </w:font>
  <w:font w:name="华文新魏">
    <w:panose1 w:val="02010800040101010101"/>
    <w:charset w:val="86"/>
    <w:family w:val="auto"/>
    <w:pitch w:val="default"/>
    <w:sig w:usb0="00000001" w:usb1="080F0000" w:usb2="00000000" w:usb3="00000000" w:csb0="00040000" w:csb1="00000000"/>
    <w:embedRegular r:id="rId9" w:fontKey="{8571E68E-07D3-4EF0-B097-215924355E4A}"/>
  </w:font>
  <w:font w:name="Segoe UI Symbol">
    <w:panose1 w:val="020B0502040204020203"/>
    <w:charset w:val="00"/>
    <w:family w:val="swiss"/>
    <w:pitch w:val="default"/>
    <w:sig w:usb0="8000006F" w:usb1="1200FBEF" w:usb2="0064C000" w:usb3="00000002" w:csb0="00000001" w:csb1="40000000"/>
    <w:embedRegular r:id="rId10" w:fontKey="{1E327A3D-49F4-42E2-87B1-D9C403A87065}"/>
  </w:font>
  <w:font w:name="华文细黑">
    <w:panose1 w:val="02010600040101010101"/>
    <w:charset w:val="86"/>
    <w:family w:val="auto"/>
    <w:pitch w:val="default"/>
    <w:sig w:usb0="00000287" w:usb1="080F0000" w:usb2="00000000" w:usb3="00000000" w:csb0="0004009F" w:csb1="DFD70000"/>
    <w:embedRegular r:id="rId11" w:fontKey="{8EB1A893-9F1C-497B-BAAF-650DF695B292}"/>
  </w:font>
  <w:font w:name="隶书">
    <w:panose1 w:val="02010509060101010101"/>
    <w:charset w:val="86"/>
    <w:family w:val="modern"/>
    <w:pitch w:val="default"/>
    <w:sig w:usb0="00000001" w:usb1="080E0000" w:usb2="00000000" w:usb3="00000000" w:csb0="00040000" w:csb1="00000000"/>
    <w:embedRegular r:id="rId12" w:fontKey="{923013F4-F980-4319-9573-3171180710BC}"/>
  </w:font>
  <w:font w:name="华文中宋">
    <w:panose1 w:val="02010600040101010101"/>
    <w:charset w:val="86"/>
    <w:family w:val="auto"/>
    <w:pitch w:val="default"/>
    <w:sig w:usb0="00000287" w:usb1="080F0000" w:usb2="00000000" w:usb3="00000000" w:csb0="0004009F" w:csb1="DFD70000"/>
    <w:embedRegular r:id="rId13" w:fontKey="{290F0A08-9C3A-49CB-A347-5781105913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3215C">
    <w:pPr>
      <w:pStyle w:val="20"/>
      <w:jc w:val="center"/>
    </w:pPr>
    <w:r>
      <w:fldChar w:fldCharType="begin"/>
    </w:r>
    <w:r>
      <w:instrText xml:space="preserve"> PAGE   \* MERGEFORMAT </w:instrText>
    </w:r>
    <w:r>
      <w:fldChar w:fldCharType="separate"/>
    </w:r>
    <w:r>
      <w:rPr>
        <w:lang w:val="zh-CN"/>
      </w:rPr>
      <w:t>1</w:t>
    </w:r>
    <w:r>
      <w:fldChar w:fldCharType="end"/>
    </w:r>
  </w:p>
  <w:p w14:paraId="1BCFEE29">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54B03">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F739C7">
                          <w:pPr>
                            <w:pStyle w:val="20"/>
                            <w:jc w:val="center"/>
                          </w:pPr>
                          <w:r>
                            <w:fldChar w:fldCharType="begin"/>
                          </w:r>
                          <w:r>
                            <w:instrText xml:space="preserve"> PAGE   \* MERGEFORMAT </w:instrText>
                          </w:r>
                          <w:r>
                            <w:fldChar w:fldCharType="separate"/>
                          </w:r>
                          <w:r>
                            <w:rPr>
                              <w:lang w:val="zh-CN"/>
                            </w:rPr>
                            <w:t>27</w:t>
                          </w:r>
                          <w:r>
                            <w:fldChar w:fldCharType="end"/>
                          </w:r>
                        </w:p>
                      </w:txbxContent>
                    </wps:txbx>
                    <wps:bodyPr wrap="none" lIns="0" tIns="0" rIns="0" bIns="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fN8cU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W5TAr1HipMfPKYGoc7N+DezH5AZyI+tMGkL1IiGEd9Txd95RCJSI9W5WpVYEhgbL4gPnt+7gPE&#10;99IZkoyaBhxg1pUfHyGOqXNKqmbdvdI6D1HbvxyImTws9T72mKw47IaJ0M41J+TT4+xranHVKdEP&#10;FqVNazIbYTZ2k5FqgL89RCyc+0moI9RUDAeVGU1LlTbhz3vOev6R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FoHzfHFAQAAkAMAAA4AAAAAAAAAAQAgAAAAHgEAAGRycy9lMm9Eb2MueG1s&#10;UEsFBgAAAAAGAAYAWQEAAFUFAAAAAA==&#10;">
              <v:fill on="f" focussize="0,0"/>
              <v:stroke on="f"/>
              <v:imagedata o:title=""/>
              <o:lock v:ext="edit" aspectratio="f"/>
              <v:textbox inset="0mm,0mm,0mm,0mm" style="mso-fit-shape-to-text:t;">
                <w:txbxContent>
                  <w:p w14:paraId="37F739C7">
                    <w:pPr>
                      <w:pStyle w:val="20"/>
                      <w:jc w:val="center"/>
                    </w:pPr>
                    <w:r>
                      <w:fldChar w:fldCharType="begin"/>
                    </w:r>
                    <w:r>
                      <w:instrText xml:space="preserve"> PAGE   \* MERGEFORMAT </w:instrText>
                    </w:r>
                    <w:r>
                      <w:fldChar w:fldCharType="separate"/>
                    </w:r>
                    <w:r>
                      <w:rPr>
                        <w:lang w:val="zh-CN"/>
                      </w:rPr>
                      <w:t>27</w:t>
                    </w:r>
                    <w:r>
                      <w:fldChar w:fldCharType="end"/>
                    </w:r>
                  </w:p>
                </w:txbxContent>
              </v:textbox>
            </v:shape>
          </w:pict>
        </mc:Fallback>
      </mc:AlternateContent>
    </w:r>
  </w:p>
  <w:p w14:paraId="2E3E2435">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E5B5D">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7040E">
                          <w:pPr>
                            <w:pStyle w:val="2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M7uMX7FAQAAkAMAAA4AAAAAAAAAAQAgAAAAHgEAAGRycy9lMm9Eb2MueG1s&#10;UEsFBgAAAAAGAAYAWQEAAFUFAAAAAA==&#10;">
              <v:fill on="f" focussize="0,0"/>
              <v:stroke on="f"/>
              <v:imagedata o:title=""/>
              <o:lock v:ext="edit" aspectratio="f"/>
              <v:textbox inset="0mm,0mm,0mm,0mm" style="mso-fit-shape-to-text:t;">
                <w:txbxContent>
                  <w:p w14:paraId="64E7040E">
                    <w:pPr>
                      <w:pStyle w:val="2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2FF43">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916A8">
    <w:pPr>
      <w:pStyle w:val="2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Y2IyZWVmMzYxYTQ4ZWRjZGQ1YTM3ZTI4NzYzMDQifQ=="/>
  </w:docVars>
  <w:rsids>
    <w:rsidRoot w:val="00F34B14"/>
    <w:rsid w:val="00000672"/>
    <w:rsid w:val="00000795"/>
    <w:rsid w:val="00000B94"/>
    <w:rsid w:val="00000E60"/>
    <w:rsid w:val="00001013"/>
    <w:rsid w:val="00001799"/>
    <w:rsid w:val="00001AF2"/>
    <w:rsid w:val="00001DBD"/>
    <w:rsid w:val="00001ECA"/>
    <w:rsid w:val="00002D29"/>
    <w:rsid w:val="0000375A"/>
    <w:rsid w:val="00003B93"/>
    <w:rsid w:val="0000432C"/>
    <w:rsid w:val="000043CF"/>
    <w:rsid w:val="000045C6"/>
    <w:rsid w:val="0000474D"/>
    <w:rsid w:val="0000585B"/>
    <w:rsid w:val="00005870"/>
    <w:rsid w:val="00005E72"/>
    <w:rsid w:val="00005FDF"/>
    <w:rsid w:val="00006F58"/>
    <w:rsid w:val="000070B3"/>
    <w:rsid w:val="000076B8"/>
    <w:rsid w:val="00007876"/>
    <w:rsid w:val="0000787C"/>
    <w:rsid w:val="00010393"/>
    <w:rsid w:val="000109DC"/>
    <w:rsid w:val="00010D39"/>
    <w:rsid w:val="00010DD2"/>
    <w:rsid w:val="000112B0"/>
    <w:rsid w:val="0001172C"/>
    <w:rsid w:val="00012510"/>
    <w:rsid w:val="00012854"/>
    <w:rsid w:val="00012BAA"/>
    <w:rsid w:val="00012EA6"/>
    <w:rsid w:val="0001364D"/>
    <w:rsid w:val="000139CF"/>
    <w:rsid w:val="00013AA4"/>
    <w:rsid w:val="00013BF8"/>
    <w:rsid w:val="00013DE2"/>
    <w:rsid w:val="00013DFE"/>
    <w:rsid w:val="000141EA"/>
    <w:rsid w:val="000155A2"/>
    <w:rsid w:val="00016479"/>
    <w:rsid w:val="00016ABC"/>
    <w:rsid w:val="000177DB"/>
    <w:rsid w:val="000179C9"/>
    <w:rsid w:val="00017CCC"/>
    <w:rsid w:val="00020227"/>
    <w:rsid w:val="00020455"/>
    <w:rsid w:val="00020813"/>
    <w:rsid w:val="00020B67"/>
    <w:rsid w:val="00020F7F"/>
    <w:rsid w:val="00021E1F"/>
    <w:rsid w:val="000220B2"/>
    <w:rsid w:val="0002264C"/>
    <w:rsid w:val="00022731"/>
    <w:rsid w:val="00022792"/>
    <w:rsid w:val="000228DD"/>
    <w:rsid w:val="00022F5F"/>
    <w:rsid w:val="00024463"/>
    <w:rsid w:val="00024B27"/>
    <w:rsid w:val="00025461"/>
    <w:rsid w:val="000254D9"/>
    <w:rsid w:val="00025636"/>
    <w:rsid w:val="00025B06"/>
    <w:rsid w:val="00025E36"/>
    <w:rsid w:val="00026886"/>
    <w:rsid w:val="00027343"/>
    <w:rsid w:val="0003094F"/>
    <w:rsid w:val="00030A61"/>
    <w:rsid w:val="00030D44"/>
    <w:rsid w:val="0003109D"/>
    <w:rsid w:val="000316FB"/>
    <w:rsid w:val="000329E0"/>
    <w:rsid w:val="00032C2D"/>
    <w:rsid w:val="00033AFB"/>
    <w:rsid w:val="00034AF4"/>
    <w:rsid w:val="0003517D"/>
    <w:rsid w:val="00035214"/>
    <w:rsid w:val="000352E9"/>
    <w:rsid w:val="00035494"/>
    <w:rsid w:val="00035618"/>
    <w:rsid w:val="00036125"/>
    <w:rsid w:val="00036A07"/>
    <w:rsid w:val="00036ABB"/>
    <w:rsid w:val="0003721D"/>
    <w:rsid w:val="00037291"/>
    <w:rsid w:val="0003749B"/>
    <w:rsid w:val="0003780B"/>
    <w:rsid w:val="000403E7"/>
    <w:rsid w:val="00040571"/>
    <w:rsid w:val="00040973"/>
    <w:rsid w:val="00040F3E"/>
    <w:rsid w:val="00041099"/>
    <w:rsid w:val="0004156E"/>
    <w:rsid w:val="00041713"/>
    <w:rsid w:val="000430F9"/>
    <w:rsid w:val="0004397E"/>
    <w:rsid w:val="0004440C"/>
    <w:rsid w:val="00044933"/>
    <w:rsid w:val="00044D42"/>
    <w:rsid w:val="000452AC"/>
    <w:rsid w:val="0004535B"/>
    <w:rsid w:val="0004596B"/>
    <w:rsid w:val="000459CB"/>
    <w:rsid w:val="000468F1"/>
    <w:rsid w:val="00046B5E"/>
    <w:rsid w:val="000470CB"/>
    <w:rsid w:val="00050337"/>
    <w:rsid w:val="000509D9"/>
    <w:rsid w:val="00050AD1"/>
    <w:rsid w:val="000518C7"/>
    <w:rsid w:val="00051ACB"/>
    <w:rsid w:val="00051BCA"/>
    <w:rsid w:val="0005287B"/>
    <w:rsid w:val="000533E7"/>
    <w:rsid w:val="00053514"/>
    <w:rsid w:val="00053BBB"/>
    <w:rsid w:val="00054688"/>
    <w:rsid w:val="00055418"/>
    <w:rsid w:val="00055675"/>
    <w:rsid w:val="00055A31"/>
    <w:rsid w:val="00055D41"/>
    <w:rsid w:val="0005680A"/>
    <w:rsid w:val="000568A8"/>
    <w:rsid w:val="000568DA"/>
    <w:rsid w:val="0005721E"/>
    <w:rsid w:val="00057CD6"/>
    <w:rsid w:val="00060551"/>
    <w:rsid w:val="00060BAE"/>
    <w:rsid w:val="00060DCE"/>
    <w:rsid w:val="000610E3"/>
    <w:rsid w:val="000614F3"/>
    <w:rsid w:val="00061E83"/>
    <w:rsid w:val="00061ED8"/>
    <w:rsid w:val="00062223"/>
    <w:rsid w:val="000623B4"/>
    <w:rsid w:val="00062405"/>
    <w:rsid w:val="00062CB5"/>
    <w:rsid w:val="000634A7"/>
    <w:rsid w:val="00063B0B"/>
    <w:rsid w:val="00063F81"/>
    <w:rsid w:val="00064847"/>
    <w:rsid w:val="00065573"/>
    <w:rsid w:val="000655B1"/>
    <w:rsid w:val="00065E08"/>
    <w:rsid w:val="00066C21"/>
    <w:rsid w:val="00067093"/>
    <w:rsid w:val="000670E8"/>
    <w:rsid w:val="000672FE"/>
    <w:rsid w:val="000673E2"/>
    <w:rsid w:val="000675B0"/>
    <w:rsid w:val="00067C17"/>
    <w:rsid w:val="00067C7D"/>
    <w:rsid w:val="0007054B"/>
    <w:rsid w:val="0007063F"/>
    <w:rsid w:val="00070949"/>
    <w:rsid w:val="00070B1F"/>
    <w:rsid w:val="000710EF"/>
    <w:rsid w:val="000711E4"/>
    <w:rsid w:val="000711E5"/>
    <w:rsid w:val="00071681"/>
    <w:rsid w:val="00071682"/>
    <w:rsid w:val="000726FD"/>
    <w:rsid w:val="0007284A"/>
    <w:rsid w:val="00072AED"/>
    <w:rsid w:val="00073F47"/>
    <w:rsid w:val="000745AA"/>
    <w:rsid w:val="000745BF"/>
    <w:rsid w:val="0007492F"/>
    <w:rsid w:val="00074ED8"/>
    <w:rsid w:val="00075AF1"/>
    <w:rsid w:val="00075B30"/>
    <w:rsid w:val="00075B7E"/>
    <w:rsid w:val="00077033"/>
    <w:rsid w:val="00077C70"/>
    <w:rsid w:val="00077F0A"/>
    <w:rsid w:val="00080268"/>
    <w:rsid w:val="000806E4"/>
    <w:rsid w:val="000813B5"/>
    <w:rsid w:val="0008184E"/>
    <w:rsid w:val="00081A91"/>
    <w:rsid w:val="00081BA3"/>
    <w:rsid w:val="00081D2E"/>
    <w:rsid w:val="00081F12"/>
    <w:rsid w:val="00081F89"/>
    <w:rsid w:val="00082619"/>
    <w:rsid w:val="00082D02"/>
    <w:rsid w:val="00083177"/>
    <w:rsid w:val="00083871"/>
    <w:rsid w:val="00083A22"/>
    <w:rsid w:val="00083B91"/>
    <w:rsid w:val="00083F72"/>
    <w:rsid w:val="000840C2"/>
    <w:rsid w:val="0008473C"/>
    <w:rsid w:val="000848AB"/>
    <w:rsid w:val="0008520B"/>
    <w:rsid w:val="000853CA"/>
    <w:rsid w:val="00085DF0"/>
    <w:rsid w:val="00085F11"/>
    <w:rsid w:val="000860BD"/>
    <w:rsid w:val="000871B8"/>
    <w:rsid w:val="0008768B"/>
    <w:rsid w:val="00087E81"/>
    <w:rsid w:val="000907C5"/>
    <w:rsid w:val="000916DA"/>
    <w:rsid w:val="00091BE7"/>
    <w:rsid w:val="00091FE0"/>
    <w:rsid w:val="000922D2"/>
    <w:rsid w:val="00092442"/>
    <w:rsid w:val="000929EF"/>
    <w:rsid w:val="00092E76"/>
    <w:rsid w:val="00094B0B"/>
    <w:rsid w:val="00095572"/>
    <w:rsid w:val="0009560F"/>
    <w:rsid w:val="0009588E"/>
    <w:rsid w:val="000959EE"/>
    <w:rsid w:val="00095A35"/>
    <w:rsid w:val="00095DE1"/>
    <w:rsid w:val="000962BE"/>
    <w:rsid w:val="00097183"/>
    <w:rsid w:val="000972CB"/>
    <w:rsid w:val="00097608"/>
    <w:rsid w:val="000A042B"/>
    <w:rsid w:val="000A0AE1"/>
    <w:rsid w:val="000A13F3"/>
    <w:rsid w:val="000A23B1"/>
    <w:rsid w:val="000A2553"/>
    <w:rsid w:val="000A2B0E"/>
    <w:rsid w:val="000A3007"/>
    <w:rsid w:val="000A337B"/>
    <w:rsid w:val="000A36F2"/>
    <w:rsid w:val="000A398F"/>
    <w:rsid w:val="000A39A8"/>
    <w:rsid w:val="000A3EA5"/>
    <w:rsid w:val="000A4145"/>
    <w:rsid w:val="000A4976"/>
    <w:rsid w:val="000A4D96"/>
    <w:rsid w:val="000A4DEE"/>
    <w:rsid w:val="000A509C"/>
    <w:rsid w:val="000A6007"/>
    <w:rsid w:val="000A65A6"/>
    <w:rsid w:val="000A6CC2"/>
    <w:rsid w:val="000A70E3"/>
    <w:rsid w:val="000A7275"/>
    <w:rsid w:val="000A7A12"/>
    <w:rsid w:val="000A7A72"/>
    <w:rsid w:val="000B073B"/>
    <w:rsid w:val="000B11EB"/>
    <w:rsid w:val="000B1202"/>
    <w:rsid w:val="000B1434"/>
    <w:rsid w:val="000B1801"/>
    <w:rsid w:val="000B1D0C"/>
    <w:rsid w:val="000B2113"/>
    <w:rsid w:val="000B2273"/>
    <w:rsid w:val="000B2BC6"/>
    <w:rsid w:val="000B2D03"/>
    <w:rsid w:val="000B3815"/>
    <w:rsid w:val="000B3C7B"/>
    <w:rsid w:val="000B47C7"/>
    <w:rsid w:val="000B652F"/>
    <w:rsid w:val="000B6A6B"/>
    <w:rsid w:val="000B6C95"/>
    <w:rsid w:val="000B79FC"/>
    <w:rsid w:val="000C060D"/>
    <w:rsid w:val="000C1300"/>
    <w:rsid w:val="000C1679"/>
    <w:rsid w:val="000C1B94"/>
    <w:rsid w:val="000C1D81"/>
    <w:rsid w:val="000C1EE3"/>
    <w:rsid w:val="000C2F05"/>
    <w:rsid w:val="000C3AE7"/>
    <w:rsid w:val="000C3CC9"/>
    <w:rsid w:val="000C3D7F"/>
    <w:rsid w:val="000C4215"/>
    <w:rsid w:val="000C46C5"/>
    <w:rsid w:val="000C4885"/>
    <w:rsid w:val="000C48E4"/>
    <w:rsid w:val="000C4DC9"/>
    <w:rsid w:val="000C53D7"/>
    <w:rsid w:val="000C5583"/>
    <w:rsid w:val="000C6DE4"/>
    <w:rsid w:val="000C7202"/>
    <w:rsid w:val="000C749B"/>
    <w:rsid w:val="000C74D9"/>
    <w:rsid w:val="000C7AD3"/>
    <w:rsid w:val="000D0243"/>
    <w:rsid w:val="000D0A89"/>
    <w:rsid w:val="000D106C"/>
    <w:rsid w:val="000D1389"/>
    <w:rsid w:val="000D1798"/>
    <w:rsid w:val="000D2039"/>
    <w:rsid w:val="000D2626"/>
    <w:rsid w:val="000D26E7"/>
    <w:rsid w:val="000D29CA"/>
    <w:rsid w:val="000D3A93"/>
    <w:rsid w:val="000D3AD7"/>
    <w:rsid w:val="000D3F76"/>
    <w:rsid w:val="000D411D"/>
    <w:rsid w:val="000D4163"/>
    <w:rsid w:val="000D432A"/>
    <w:rsid w:val="000D4589"/>
    <w:rsid w:val="000D570D"/>
    <w:rsid w:val="000D5E27"/>
    <w:rsid w:val="000D73DD"/>
    <w:rsid w:val="000D7AEC"/>
    <w:rsid w:val="000E0835"/>
    <w:rsid w:val="000E141A"/>
    <w:rsid w:val="000E181F"/>
    <w:rsid w:val="000E1C51"/>
    <w:rsid w:val="000E244D"/>
    <w:rsid w:val="000E28AB"/>
    <w:rsid w:val="000E2AA1"/>
    <w:rsid w:val="000E2E3E"/>
    <w:rsid w:val="000E3583"/>
    <w:rsid w:val="000E36FE"/>
    <w:rsid w:val="000E3AF0"/>
    <w:rsid w:val="000E3D93"/>
    <w:rsid w:val="000E4348"/>
    <w:rsid w:val="000E485B"/>
    <w:rsid w:val="000E490E"/>
    <w:rsid w:val="000E4E04"/>
    <w:rsid w:val="000E6D5C"/>
    <w:rsid w:val="000E6EC9"/>
    <w:rsid w:val="000E70B4"/>
    <w:rsid w:val="000E7523"/>
    <w:rsid w:val="000E7847"/>
    <w:rsid w:val="000E78B2"/>
    <w:rsid w:val="000E7B62"/>
    <w:rsid w:val="000F0E1E"/>
    <w:rsid w:val="000F0E20"/>
    <w:rsid w:val="000F0EE6"/>
    <w:rsid w:val="000F18A8"/>
    <w:rsid w:val="000F1A1B"/>
    <w:rsid w:val="000F2740"/>
    <w:rsid w:val="000F28B2"/>
    <w:rsid w:val="000F2A95"/>
    <w:rsid w:val="000F3281"/>
    <w:rsid w:val="000F32FD"/>
    <w:rsid w:val="000F3733"/>
    <w:rsid w:val="000F375F"/>
    <w:rsid w:val="000F396F"/>
    <w:rsid w:val="000F4754"/>
    <w:rsid w:val="000F499F"/>
    <w:rsid w:val="000F5266"/>
    <w:rsid w:val="000F5509"/>
    <w:rsid w:val="000F5882"/>
    <w:rsid w:val="000F5F8B"/>
    <w:rsid w:val="000F627C"/>
    <w:rsid w:val="000F641E"/>
    <w:rsid w:val="000F64A5"/>
    <w:rsid w:val="000F64AA"/>
    <w:rsid w:val="000F69BC"/>
    <w:rsid w:val="000F6AB1"/>
    <w:rsid w:val="000F7AF4"/>
    <w:rsid w:val="000F7C33"/>
    <w:rsid w:val="000F7E09"/>
    <w:rsid w:val="000F7F0C"/>
    <w:rsid w:val="001004D6"/>
    <w:rsid w:val="001005A7"/>
    <w:rsid w:val="00100982"/>
    <w:rsid w:val="0010176A"/>
    <w:rsid w:val="00102117"/>
    <w:rsid w:val="0010228F"/>
    <w:rsid w:val="00102676"/>
    <w:rsid w:val="00103646"/>
    <w:rsid w:val="00103918"/>
    <w:rsid w:val="00103D46"/>
    <w:rsid w:val="0010478C"/>
    <w:rsid w:val="00104897"/>
    <w:rsid w:val="00104EDE"/>
    <w:rsid w:val="00105CDA"/>
    <w:rsid w:val="00106B0E"/>
    <w:rsid w:val="00106BA4"/>
    <w:rsid w:val="00106BEE"/>
    <w:rsid w:val="001073C7"/>
    <w:rsid w:val="00107C5E"/>
    <w:rsid w:val="00107C74"/>
    <w:rsid w:val="00110338"/>
    <w:rsid w:val="0011091C"/>
    <w:rsid w:val="0011108B"/>
    <w:rsid w:val="001112EB"/>
    <w:rsid w:val="001126FC"/>
    <w:rsid w:val="00113390"/>
    <w:rsid w:val="00113678"/>
    <w:rsid w:val="001138CE"/>
    <w:rsid w:val="00113C30"/>
    <w:rsid w:val="00113C3E"/>
    <w:rsid w:val="00113F7A"/>
    <w:rsid w:val="0011489E"/>
    <w:rsid w:val="00115E11"/>
    <w:rsid w:val="00115EEE"/>
    <w:rsid w:val="00115F56"/>
    <w:rsid w:val="001160DE"/>
    <w:rsid w:val="00116CA9"/>
    <w:rsid w:val="001170A4"/>
    <w:rsid w:val="00117776"/>
    <w:rsid w:val="00117AE7"/>
    <w:rsid w:val="00117B42"/>
    <w:rsid w:val="00117CBD"/>
    <w:rsid w:val="0012006A"/>
    <w:rsid w:val="00120526"/>
    <w:rsid w:val="00120BC9"/>
    <w:rsid w:val="00120C86"/>
    <w:rsid w:val="00120E0D"/>
    <w:rsid w:val="00121979"/>
    <w:rsid w:val="00121AA3"/>
    <w:rsid w:val="00121B9F"/>
    <w:rsid w:val="00122064"/>
    <w:rsid w:val="00122623"/>
    <w:rsid w:val="00122DDD"/>
    <w:rsid w:val="00122FC4"/>
    <w:rsid w:val="0012349B"/>
    <w:rsid w:val="00123E44"/>
    <w:rsid w:val="00123F9C"/>
    <w:rsid w:val="00124341"/>
    <w:rsid w:val="00124492"/>
    <w:rsid w:val="00124B12"/>
    <w:rsid w:val="00124D6D"/>
    <w:rsid w:val="001250A0"/>
    <w:rsid w:val="001263B8"/>
    <w:rsid w:val="00126751"/>
    <w:rsid w:val="00126777"/>
    <w:rsid w:val="00130217"/>
    <w:rsid w:val="00130783"/>
    <w:rsid w:val="001307EB"/>
    <w:rsid w:val="00130A47"/>
    <w:rsid w:val="00130E68"/>
    <w:rsid w:val="001310FC"/>
    <w:rsid w:val="001311DB"/>
    <w:rsid w:val="001318E5"/>
    <w:rsid w:val="00131C59"/>
    <w:rsid w:val="00132688"/>
    <w:rsid w:val="00132B47"/>
    <w:rsid w:val="001337F8"/>
    <w:rsid w:val="00133D3E"/>
    <w:rsid w:val="00133E19"/>
    <w:rsid w:val="001348B4"/>
    <w:rsid w:val="001349CB"/>
    <w:rsid w:val="00134BBF"/>
    <w:rsid w:val="001351CB"/>
    <w:rsid w:val="00135947"/>
    <w:rsid w:val="001359A2"/>
    <w:rsid w:val="00136020"/>
    <w:rsid w:val="00136445"/>
    <w:rsid w:val="00137438"/>
    <w:rsid w:val="001379B3"/>
    <w:rsid w:val="00140132"/>
    <w:rsid w:val="00141C9C"/>
    <w:rsid w:val="00141F34"/>
    <w:rsid w:val="0014277F"/>
    <w:rsid w:val="001431E9"/>
    <w:rsid w:val="001434BE"/>
    <w:rsid w:val="00144050"/>
    <w:rsid w:val="00144753"/>
    <w:rsid w:val="0014479F"/>
    <w:rsid w:val="001452B4"/>
    <w:rsid w:val="00145320"/>
    <w:rsid w:val="001453F1"/>
    <w:rsid w:val="001457AE"/>
    <w:rsid w:val="001467D0"/>
    <w:rsid w:val="001476D3"/>
    <w:rsid w:val="001509CF"/>
    <w:rsid w:val="001509D9"/>
    <w:rsid w:val="001509E4"/>
    <w:rsid w:val="00150BB7"/>
    <w:rsid w:val="00150D1D"/>
    <w:rsid w:val="00150EF2"/>
    <w:rsid w:val="001518FE"/>
    <w:rsid w:val="001525AA"/>
    <w:rsid w:val="00152717"/>
    <w:rsid w:val="00152A87"/>
    <w:rsid w:val="00153BB5"/>
    <w:rsid w:val="00153C29"/>
    <w:rsid w:val="00154518"/>
    <w:rsid w:val="00154A0C"/>
    <w:rsid w:val="00154C38"/>
    <w:rsid w:val="00154CD9"/>
    <w:rsid w:val="00156359"/>
    <w:rsid w:val="00156800"/>
    <w:rsid w:val="00156DD6"/>
    <w:rsid w:val="00156E2F"/>
    <w:rsid w:val="0016056A"/>
    <w:rsid w:val="0016086E"/>
    <w:rsid w:val="00160D0C"/>
    <w:rsid w:val="00161172"/>
    <w:rsid w:val="00161998"/>
    <w:rsid w:val="00161A4D"/>
    <w:rsid w:val="00161E65"/>
    <w:rsid w:val="0016202C"/>
    <w:rsid w:val="00162597"/>
    <w:rsid w:val="001629AF"/>
    <w:rsid w:val="001629FD"/>
    <w:rsid w:val="00162ABF"/>
    <w:rsid w:val="00162CD9"/>
    <w:rsid w:val="0016418E"/>
    <w:rsid w:val="0016428A"/>
    <w:rsid w:val="001647C9"/>
    <w:rsid w:val="00164F71"/>
    <w:rsid w:val="0016501B"/>
    <w:rsid w:val="001654EE"/>
    <w:rsid w:val="00165627"/>
    <w:rsid w:val="001661A3"/>
    <w:rsid w:val="00166394"/>
    <w:rsid w:val="001668AA"/>
    <w:rsid w:val="001668F4"/>
    <w:rsid w:val="00167226"/>
    <w:rsid w:val="0016782B"/>
    <w:rsid w:val="0016784D"/>
    <w:rsid w:val="001678CA"/>
    <w:rsid w:val="001679CB"/>
    <w:rsid w:val="00171409"/>
    <w:rsid w:val="00172E68"/>
    <w:rsid w:val="00172E75"/>
    <w:rsid w:val="00172FE6"/>
    <w:rsid w:val="00173256"/>
    <w:rsid w:val="00173A0C"/>
    <w:rsid w:val="00173A1D"/>
    <w:rsid w:val="00173B0E"/>
    <w:rsid w:val="00173E03"/>
    <w:rsid w:val="0017512C"/>
    <w:rsid w:val="001757AD"/>
    <w:rsid w:val="0017586A"/>
    <w:rsid w:val="00175BA6"/>
    <w:rsid w:val="0017610B"/>
    <w:rsid w:val="001769AC"/>
    <w:rsid w:val="00176CA7"/>
    <w:rsid w:val="001778C5"/>
    <w:rsid w:val="0017794A"/>
    <w:rsid w:val="00177BE9"/>
    <w:rsid w:val="00177C63"/>
    <w:rsid w:val="00177E56"/>
    <w:rsid w:val="00177F0A"/>
    <w:rsid w:val="00180728"/>
    <w:rsid w:val="001807BC"/>
    <w:rsid w:val="00180DA0"/>
    <w:rsid w:val="00181917"/>
    <w:rsid w:val="001819E3"/>
    <w:rsid w:val="00181EAD"/>
    <w:rsid w:val="00182594"/>
    <w:rsid w:val="00182862"/>
    <w:rsid w:val="00184F57"/>
    <w:rsid w:val="00185258"/>
    <w:rsid w:val="00185544"/>
    <w:rsid w:val="00185617"/>
    <w:rsid w:val="00185F26"/>
    <w:rsid w:val="0018776C"/>
    <w:rsid w:val="00187971"/>
    <w:rsid w:val="00187A14"/>
    <w:rsid w:val="001904EE"/>
    <w:rsid w:val="001908D7"/>
    <w:rsid w:val="00190DC2"/>
    <w:rsid w:val="00190EB0"/>
    <w:rsid w:val="00190ED3"/>
    <w:rsid w:val="0019171E"/>
    <w:rsid w:val="00192368"/>
    <w:rsid w:val="001923A0"/>
    <w:rsid w:val="0019248A"/>
    <w:rsid w:val="001925BE"/>
    <w:rsid w:val="001927C2"/>
    <w:rsid w:val="001928B1"/>
    <w:rsid w:val="00192E66"/>
    <w:rsid w:val="00193537"/>
    <w:rsid w:val="00193846"/>
    <w:rsid w:val="00193FE1"/>
    <w:rsid w:val="001952AC"/>
    <w:rsid w:val="00195424"/>
    <w:rsid w:val="001955FF"/>
    <w:rsid w:val="001958C8"/>
    <w:rsid w:val="00196B1E"/>
    <w:rsid w:val="00197A9A"/>
    <w:rsid w:val="00197AFB"/>
    <w:rsid w:val="00197B2C"/>
    <w:rsid w:val="00197EDD"/>
    <w:rsid w:val="001A02B3"/>
    <w:rsid w:val="001A04BB"/>
    <w:rsid w:val="001A08D0"/>
    <w:rsid w:val="001A0E74"/>
    <w:rsid w:val="001A1B39"/>
    <w:rsid w:val="001A2120"/>
    <w:rsid w:val="001A28C6"/>
    <w:rsid w:val="001A2CF3"/>
    <w:rsid w:val="001A2E69"/>
    <w:rsid w:val="001A3961"/>
    <w:rsid w:val="001A3B6A"/>
    <w:rsid w:val="001A3C34"/>
    <w:rsid w:val="001A3EDE"/>
    <w:rsid w:val="001A4222"/>
    <w:rsid w:val="001A488B"/>
    <w:rsid w:val="001A4E99"/>
    <w:rsid w:val="001A5027"/>
    <w:rsid w:val="001A50EA"/>
    <w:rsid w:val="001A5DEF"/>
    <w:rsid w:val="001A5E24"/>
    <w:rsid w:val="001A6D8B"/>
    <w:rsid w:val="001A6DAA"/>
    <w:rsid w:val="001A7717"/>
    <w:rsid w:val="001A7B92"/>
    <w:rsid w:val="001A7BBE"/>
    <w:rsid w:val="001B04DB"/>
    <w:rsid w:val="001B08CE"/>
    <w:rsid w:val="001B0CBB"/>
    <w:rsid w:val="001B125A"/>
    <w:rsid w:val="001B19D4"/>
    <w:rsid w:val="001B1B6A"/>
    <w:rsid w:val="001B1EBA"/>
    <w:rsid w:val="001B2142"/>
    <w:rsid w:val="001B216C"/>
    <w:rsid w:val="001B2278"/>
    <w:rsid w:val="001B2F2B"/>
    <w:rsid w:val="001B3061"/>
    <w:rsid w:val="001B30A5"/>
    <w:rsid w:val="001B327A"/>
    <w:rsid w:val="001B35DE"/>
    <w:rsid w:val="001B3A13"/>
    <w:rsid w:val="001B4311"/>
    <w:rsid w:val="001B5153"/>
    <w:rsid w:val="001B59FF"/>
    <w:rsid w:val="001B648F"/>
    <w:rsid w:val="001B6512"/>
    <w:rsid w:val="001B65D7"/>
    <w:rsid w:val="001B6752"/>
    <w:rsid w:val="001B6768"/>
    <w:rsid w:val="001B67E4"/>
    <w:rsid w:val="001B6F1F"/>
    <w:rsid w:val="001B7ECC"/>
    <w:rsid w:val="001C025B"/>
    <w:rsid w:val="001C0730"/>
    <w:rsid w:val="001C115F"/>
    <w:rsid w:val="001C240A"/>
    <w:rsid w:val="001C25A7"/>
    <w:rsid w:val="001C2C51"/>
    <w:rsid w:val="001C2F4D"/>
    <w:rsid w:val="001C318C"/>
    <w:rsid w:val="001C3313"/>
    <w:rsid w:val="001C35C4"/>
    <w:rsid w:val="001C3663"/>
    <w:rsid w:val="001C408A"/>
    <w:rsid w:val="001C4287"/>
    <w:rsid w:val="001C4479"/>
    <w:rsid w:val="001C5190"/>
    <w:rsid w:val="001C606D"/>
    <w:rsid w:val="001C6081"/>
    <w:rsid w:val="001C755B"/>
    <w:rsid w:val="001C7B48"/>
    <w:rsid w:val="001D0273"/>
    <w:rsid w:val="001D02F2"/>
    <w:rsid w:val="001D07E1"/>
    <w:rsid w:val="001D0CFB"/>
    <w:rsid w:val="001D0D81"/>
    <w:rsid w:val="001D0FBB"/>
    <w:rsid w:val="001D15A6"/>
    <w:rsid w:val="001D1A0D"/>
    <w:rsid w:val="001D343C"/>
    <w:rsid w:val="001D35AA"/>
    <w:rsid w:val="001D53FC"/>
    <w:rsid w:val="001D54EE"/>
    <w:rsid w:val="001D58A1"/>
    <w:rsid w:val="001D58C2"/>
    <w:rsid w:val="001D595A"/>
    <w:rsid w:val="001D5A8A"/>
    <w:rsid w:val="001D722F"/>
    <w:rsid w:val="001D735E"/>
    <w:rsid w:val="001D73C8"/>
    <w:rsid w:val="001D7BC6"/>
    <w:rsid w:val="001E129E"/>
    <w:rsid w:val="001E13FD"/>
    <w:rsid w:val="001E175C"/>
    <w:rsid w:val="001E1B0E"/>
    <w:rsid w:val="001E2A4E"/>
    <w:rsid w:val="001E30E7"/>
    <w:rsid w:val="001E388B"/>
    <w:rsid w:val="001E5A03"/>
    <w:rsid w:val="001E5A94"/>
    <w:rsid w:val="001E6992"/>
    <w:rsid w:val="001E6E2A"/>
    <w:rsid w:val="001E76EA"/>
    <w:rsid w:val="001E7934"/>
    <w:rsid w:val="001E7F09"/>
    <w:rsid w:val="001F1048"/>
    <w:rsid w:val="001F2A2E"/>
    <w:rsid w:val="001F3356"/>
    <w:rsid w:val="001F3A83"/>
    <w:rsid w:val="001F3C63"/>
    <w:rsid w:val="001F4460"/>
    <w:rsid w:val="001F452C"/>
    <w:rsid w:val="001F51BB"/>
    <w:rsid w:val="001F526C"/>
    <w:rsid w:val="001F711A"/>
    <w:rsid w:val="001F73EE"/>
    <w:rsid w:val="001F75B0"/>
    <w:rsid w:val="00200CE5"/>
    <w:rsid w:val="00200F7C"/>
    <w:rsid w:val="002014DB"/>
    <w:rsid w:val="00201D08"/>
    <w:rsid w:val="00201E12"/>
    <w:rsid w:val="0020228E"/>
    <w:rsid w:val="002033B5"/>
    <w:rsid w:val="0020375B"/>
    <w:rsid w:val="0020382C"/>
    <w:rsid w:val="0020437A"/>
    <w:rsid w:val="0020454C"/>
    <w:rsid w:val="0020521F"/>
    <w:rsid w:val="0020532C"/>
    <w:rsid w:val="00205914"/>
    <w:rsid w:val="00205CD0"/>
    <w:rsid w:val="00205E5D"/>
    <w:rsid w:val="0020602B"/>
    <w:rsid w:val="002072E5"/>
    <w:rsid w:val="00210647"/>
    <w:rsid w:val="002114C7"/>
    <w:rsid w:val="00211CE3"/>
    <w:rsid w:val="002128CC"/>
    <w:rsid w:val="0021302C"/>
    <w:rsid w:val="00213B1C"/>
    <w:rsid w:val="00213CDE"/>
    <w:rsid w:val="00213F72"/>
    <w:rsid w:val="00214202"/>
    <w:rsid w:val="002145F0"/>
    <w:rsid w:val="002148E3"/>
    <w:rsid w:val="0021552D"/>
    <w:rsid w:val="002156AE"/>
    <w:rsid w:val="00215E99"/>
    <w:rsid w:val="0021644F"/>
    <w:rsid w:val="00216978"/>
    <w:rsid w:val="00216DE8"/>
    <w:rsid w:val="00217094"/>
    <w:rsid w:val="0022054D"/>
    <w:rsid w:val="00220C61"/>
    <w:rsid w:val="00221F49"/>
    <w:rsid w:val="002238B2"/>
    <w:rsid w:val="00223DDB"/>
    <w:rsid w:val="00223FA4"/>
    <w:rsid w:val="00224067"/>
    <w:rsid w:val="0022421C"/>
    <w:rsid w:val="00224E83"/>
    <w:rsid w:val="00225664"/>
    <w:rsid w:val="0022663D"/>
    <w:rsid w:val="002266FE"/>
    <w:rsid w:val="00227F2D"/>
    <w:rsid w:val="00230828"/>
    <w:rsid w:val="00230990"/>
    <w:rsid w:val="00230C46"/>
    <w:rsid w:val="00231851"/>
    <w:rsid w:val="002319FB"/>
    <w:rsid w:val="00231B89"/>
    <w:rsid w:val="00231BBE"/>
    <w:rsid w:val="00231F11"/>
    <w:rsid w:val="00231F5E"/>
    <w:rsid w:val="00232010"/>
    <w:rsid w:val="00233051"/>
    <w:rsid w:val="00233660"/>
    <w:rsid w:val="00233732"/>
    <w:rsid w:val="002346B4"/>
    <w:rsid w:val="00234F6E"/>
    <w:rsid w:val="002355BE"/>
    <w:rsid w:val="002358EA"/>
    <w:rsid w:val="00236578"/>
    <w:rsid w:val="00236B68"/>
    <w:rsid w:val="00236DE9"/>
    <w:rsid w:val="00237342"/>
    <w:rsid w:val="00237D5A"/>
    <w:rsid w:val="00240E6D"/>
    <w:rsid w:val="002415AE"/>
    <w:rsid w:val="0024172F"/>
    <w:rsid w:val="00241D02"/>
    <w:rsid w:val="00241D3C"/>
    <w:rsid w:val="00242109"/>
    <w:rsid w:val="00242669"/>
    <w:rsid w:val="002426D4"/>
    <w:rsid w:val="00242E4D"/>
    <w:rsid w:val="00243189"/>
    <w:rsid w:val="002437CA"/>
    <w:rsid w:val="002439AB"/>
    <w:rsid w:val="00243C19"/>
    <w:rsid w:val="00243EA8"/>
    <w:rsid w:val="00244AE8"/>
    <w:rsid w:val="00245587"/>
    <w:rsid w:val="00245F2B"/>
    <w:rsid w:val="002460AF"/>
    <w:rsid w:val="002473DE"/>
    <w:rsid w:val="00247F3A"/>
    <w:rsid w:val="00250122"/>
    <w:rsid w:val="00250755"/>
    <w:rsid w:val="00251043"/>
    <w:rsid w:val="0025153C"/>
    <w:rsid w:val="00251771"/>
    <w:rsid w:val="00251C4A"/>
    <w:rsid w:val="00252098"/>
    <w:rsid w:val="002521D8"/>
    <w:rsid w:val="0025271C"/>
    <w:rsid w:val="00252EFA"/>
    <w:rsid w:val="002533CD"/>
    <w:rsid w:val="00254EA6"/>
    <w:rsid w:val="00254EAB"/>
    <w:rsid w:val="002557AF"/>
    <w:rsid w:val="0025589C"/>
    <w:rsid w:val="00255B62"/>
    <w:rsid w:val="00255E89"/>
    <w:rsid w:val="002566B1"/>
    <w:rsid w:val="002575E3"/>
    <w:rsid w:val="00257A74"/>
    <w:rsid w:val="002603C1"/>
    <w:rsid w:val="002605C5"/>
    <w:rsid w:val="002609A1"/>
    <w:rsid w:val="00261171"/>
    <w:rsid w:val="002612B1"/>
    <w:rsid w:val="00263553"/>
    <w:rsid w:val="00263A62"/>
    <w:rsid w:val="00264D4D"/>
    <w:rsid w:val="00264F18"/>
    <w:rsid w:val="0026503E"/>
    <w:rsid w:val="00266165"/>
    <w:rsid w:val="00266973"/>
    <w:rsid w:val="00266F2C"/>
    <w:rsid w:val="002678BC"/>
    <w:rsid w:val="00270356"/>
    <w:rsid w:val="00270FF7"/>
    <w:rsid w:val="0027125E"/>
    <w:rsid w:val="00271767"/>
    <w:rsid w:val="00271E40"/>
    <w:rsid w:val="00272293"/>
    <w:rsid w:val="0027234F"/>
    <w:rsid w:val="002723C8"/>
    <w:rsid w:val="002725D8"/>
    <w:rsid w:val="00272984"/>
    <w:rsid w:val="00272DAB"/>
    <w:rsid w:val="00273C2A"/>
    <w:rsid w:val="00273CBE"/>
    <w:rsid w:val="00274110"/>
    <w:rsid w:val="002742DE"/>
    <w:rsid w:val="002746B1"/>
    <w:rsid w:val="00276D9D"/>
    <w:rsid w:val="002778C4"/>
    <w:rsid w:val="0028047E"/>
    <w:rsid w:val="00280A48"/>
    <w:rsid w:val="002811E8"/>
    <w:rsid w:val="00282D56"/>
    <w:rsid w:val="002834D1"/>
    <w:rsid w:val="002835AB"/>
    <w:rsid w:val="002835B0"/>
    <w:rsid w:val="00283C27"/>
    <w:rsid w:val="00283C74"/>
    <w:rsid w:val="00283F40"/>
    <w:rsid w:val="0028407E"/>
    <w:rsid w:val="0028410F"/>
    <w:rsid w:val="00284572"/>
    <w:rsid w:val="00284C05"/>
    <w:rsid w:val="00284D51"/>
    <w:rsid w:val="002850B3"/>
    <w:rsid w:val="00285221"/>
    <w:rsid w:val="00285B65"/>
    <w:rsid w:val="00285E19"/>
    <w:rsid w:val="00286FB5"/>
    <w:rsid w:val="00287281"/>
    <w:rsid w:val="00287763"/>
    <w:rsid w:val="00287E53"/>
    <w:rsid w:val="00290606"/>
    <w:rsid w:val="002909B2"/>
    <w:rsid w:val="00291D6D"/>
    <w:rsid w:val="00291EA9"/>
    <w:rsid w:val="00291FF1"/>
    <w:rsid w:val="00292634"/>
    <w:rsid w:val="00292AA2"/>
    <w:rsid w:val="00293361"/>
    <w:rsid w:val="00293EB9"/>
    <w:rsid w:val="00294EA5"/>
    <w:rsid w:val="002952B1"/>
    <w:rsid w:val="00295D11"/>
    <w:rsid w:val="00296685"/>
    <w:rsid w:val="00296FB6"/>
    <w:rsid w:val="002970D6"/>
    <w:rsid w:val="0029786F"/>
    <w:rsid w:val="002A0BD9"/>
    <w:rsid w:val="002A0C3A"/>
    <w:rsid w:val="002A1130"/>
    <w:rsid w:val="002A126B"/>
    <w:rsid w:val="002A1880"/>
    <w:rsid w:val="002A23B7"/>
    <w:rsid w:val="002A303A"/>
    <w:rsid w:val="002A352C"/>
    <w:rsid w:val="002A3A57"/>
    <w:rsid w:val="002A43CF"/>
    <w:rsid w:val="002A4B4F"/>
    <w:rsid w:val="002A4BEC"/>
    <w:rsid w:val="002A4F86"/>
    <w:rsid w:val="002A4FB3"/>
    <w:rsid w:val="002A5435"/>
    <w:rsid w:val="002A565C"/>
    <w:rsid w:val="002A57A8"/>
    <w:rsid w:val="002A5E16"/>
    <w:rsid w:val="002A686C"/>
    <w:rsid w:val="002A6DEF"/>
    <w:rsid w:val="002A7113"/>
    <w:rsid w:val="002A770B"/>
    <w:rsid w:val="002B013E"/>
    <w:rsid w:val="002B058D"/>
    <w:rsid w:val="002B0C16"/>
    <w:rsid w:val="002B0FD0"/>
    <w:rsid w:val="002B1DFE"/>
    <w:rsid w:val="002B1ED3"/>
    <w:rsid w:val="002B27BF"/>
    <w:rsid w:val="002B28E5"/>
    <w:rsid w:val="002B2AC5"/>
    <w:rsid w:val="002B3528"/>
    <w:rsid w:val="002B3539"/>
    <w:rsid w:val="002B4011"/>
    <w:rsid w:val="002B4921"/>
    <w:rsid w:val="002B5042"/>
    <w:rsid w:val="002B50C9"/>
    <w:rsid w:val="002B5251"/>
    <w:rsid w:val="002B5BA4"/>
    <w:rsid w:val="002B6510"/>
    <w:rsid w:val="002B67ED"/>
    <w:rsid w:val="002B69CC"/>
    <w:rsid w:val="002B6D71"/>
    <w:rsid w:val="002C00F2"/>
    <w:rsid w:val="002C027C"/>
    <w:rsid w:val="002C0676"/>
    <w:rsid w:val="002C0870"/>
    <w:rsid w:val="002C0C1C"/>
    <w:rsid w:val="002C2D91"/>
    <w:rsid w:val="002C38D6"/>
    <w:rsid w:val="002C45EB"/>
    <w:rsid w:val="002C54C2"/>
    <w:rsid w:val="002C54D7"/>
    <w:rsid w:val="002C579C"/>
    <w:rsid w:val="002C57B8"/>
    <w:rsid w:val="002C5C9B"/>
    <w:rsid w:val="002C5D34"/>
    <w:rsid w:val="002C60BB"/>
    <w:rsid w:val="002C661A"/>
    <w:rsid w:val="002C6911"/>
    <w:rsid w:val="002C7102"/>
    <w:rsid w:val="002C7B2D"/>
    <w:rsid w:val="002C7B86"/>
    <w:rsid w:val="002D0600"/>
    <w:rsid w:val="002D0A48"/>
    <w:rsid w:val="002D0D6F"/>
    <w:rsid w:val="002D25FC"/>
    <w:rsid w:val="002D2734"/>
    <w:rsid w:val="002D37E8"/>
    <w:rsid w:val="002D4AC6"/>
    <w:rsid w:val="002D5099"/>
    <w:rsid w:val="002D5BF5"/>
    <w:rsid w:val="002D5C74"/>
    <w:rsid w:val="002D5EE8"/>
    <w:rsid w:val="002D6B30"/>
    <w:rsid w:val="002D7360"/>
    <w:rsid w:val="002D7648"/>
    <w:rsid w:val="002D781E"/>
    <w:rsid w:val="002E0CA6"/>
    <w:rsid w:val="002E109C"/>
    <w:rsid w:val="002E1347"/>
    <w:rsid w:val="002E193E"/>
    <w:rsid w:val="002E1A94"/>
    <w:rsid w:val="002E1B5D"/>
    <w:rsid w:val="002E1D55"/>
    <w:rsid w:val="002E1FF3"/>
    <w:rsid w:val="002E2630"/>
    <w:rsid w:val="002E26C4"/>
    <w:rsid w:val="002E2860"/>
    <w:rsid w:val="002E2B15"/>
    <w:rsid w:val="002E30A5"/>
    <w:rsid w:val="002E3806"/>
    <w:rsid w:val="002E3C0E"/>
    <w:rsid w:val="002E47E4"/>
    <w:rsid w:val="002E4BF9"/>
    <w:rsid w:val="002E4D61"/>
    <w:rsid w:val="002E6520"/>
    <w:rsid w:val="002E6E19"/>
    <w:rsid w:val="002E6E6C"/>
    <w:rsid w:val="002E6EE1"/>
    <w:rsid w:val="002E7D08"/>
    <w:rsid w:val="002F0522"/>
    <w:rsid w:val="002F121F"/>
    <w:rsid w:val="002F16DD"/>
    <w:rsid w:val="002F199D"/>
    <w:rsid w:val="002F213C"/>
    <w:rsid w:val="002F2586"/>
    <w:rsid w:val="002F352D"/>
    <w:rsid w:val="002F4084"/>
    <w:rsid w:val="002F4A08"/>
    <w:rsid w:val="002F4A77"/>
    <w:rsid w:val="002F4ADB"/>
    <w:rsid w:val="002F531E"/>
    <w:rsid w:val="002F548D"/>
    <w:rsid w:val="002F5ACC"/>
    <w:rsid w:val="002F5FE5"/>
    <w:rsid w:val="002F66D9"/>
    <w:rsid w:val="002F6A7E"/>
    <w:rsid w:val="002F704B"/>
    <w:rsid w:val="002F72C3"/>
    <w:rsid w:val="002F768C"/>
    <w:rsid w:val="002F7D1E"/>
    <w:rsid w:val="00300201"/>
    <w:rsid w:val="0030025A"/>
    <w:rsid w:val="0030043A"/>
    <w:rsid w:val="003006C1"/>
    <w:rsid w:val="003011CD"/>
    <w:rsid w:val="003019DC"/>
    <w:rsid w:val="00301C83"/>
    <w:rsid w:val="0030241F"/>
    <w:rsid w:val="00302EFC"/>
    <w:rsid w:val="00303243"/>
    <w:rsid w:val="00303BCC"/>
    <w:rsid w:val="00303F2B"/>
    <w:rsid w:val="00303F8D"/>
    <w:rsid w:val="003054E2"/>
    <w:rsid w:val="0030572D"/>
    <w:rsid w:val="0030586A"/>
    <w:rsid w:val="003059F9"/>
    <w:rsid w:val="0030622D"/>
    <w:rsid w:val="00306599"/>
    <w:rsid w:val="00306811"/>
    <w:rsid w:val="00306F32"/>
    <w:rsid w:val="00306FA8"/>
    <w:rsid w:val="003074C5"/>
    <w:rsid w:val="003078D9"/>
    <w:rsid w:val="00307A3C"/>
    <w:rsid w:val="00307FA4"/>
    <w:rsid w:val="00310290"/>
    <w:rsid w:val="003105A7"/>
    <w:rsid w:val="00310CC1"/>
    <w:rsid w:val="00311AE1"/>
    <w:rsid w:val="003121BE"/>
    <w:rsid w:val="00312504"/>
    <w:rsid w:val="00313026"/>
    <w:rsid w:val="0031371C"/>
    <w:rsid w:val="00313913"/>
    <w:rsid w:val="00313C99"/>
    <w:rsid w:val="00314101"/>
    <w:rsid w:val="0031421F"/>
    <w:rsid w:val="00314282"/>
    <w:rsid w:val="00314B31"/>
    <w:rsid w:val="00315A65"/>
    <w:rsid w:val="003176DC"/>
    <w:rsid w:val="003176E9"/>
    <w:rsid w:val="00317BA7"/>
    <w:rsid w:val="00317D62"/>
    <w:rsid w:val="00320312"/>
    <w:rsid w:val="00320454"/>
    <w:rsid w:val="00320BE2"/>
    <w:rsid w:val="00321363"/>
    <w:rsid w:val="00321886"/>
    <w:rsid w:val="00323694"/>
    <w:rsid w:val="003237DA"/>
    <w:rsid w:val="00323BE7"/>
    <w:rsid w:val="00323D95"/>
    <w:rsid w:val="00324C3A"/>
    <w:rsid w:val="00324D63"/>
    <w:rsid w:val="003255AF"/>
    <w:rsid w:val="003256EB"/>
    <w:rsid w:val="003259DB"/>
    <w:rsid w:val="00326297"/>
    <w:rsid w:val="0032736D"/>
    <w:rsid w:val="00327408"/>
    <w:rsid w:val="00327409"/>
    <w:rsid w:val="00330900"/>
    <w:rsid w:val="003314D9"/>
    <w:rsid w:val="00331653"/>
    <w:rsid w:val="00331A3B"/>
    <w:rsid w:val="00331A48"/>
    <w:rsid w:val="00331BCC"/>
    <w:rsid w:val="00331E71"/>
    <w:rsid w:val="0033205D"/>
    <w:rsid w:val="0033244A"/>
    <w:rsid w:val="003330C9"/>
    <w:rsid w:val="0033364C"/>
    <w:rsid w:val="003340B7"/>
    <w:rsid w:val="00334415"/>
    <w:rsid w:val="003346A8"/>
    <w:rsid w:val="00334954"/>
    <w:rsid w:val="00334EE2"/>
    <w:rsid w:val="00334F46"/>
    <w:rsid w:val="00335333"/>
    <w:rsid w:val="00335EA1"/>
    <w:rsid w:val="0033691E"/>
    <w:rsid w:val="00336A6A"/>
    <w:rsid w:val="00336B7D"/>
    <w:rsid w:val="00336C09"/>
    <w:rsid w:val="00336C28"/>
    <w:rsid w:val="00336CCB"/>
    <w:rsid w:val="00337FEB"/>
    <w:rsid w:val="00340499"/>
    <w:rsid w:val="003411D1"/>
    <w:rsid w:val="003416BA"/>
    <w:rsid w:val="00341CA0"/>
    <w:rsid w:val="00342148"/>
    <w:rsid w:val="00342F99"/>
    <w:rsid w:val="00344014"/>
    <w:rsid w:val="00344AC3"/>
    <w:rsid w:val="003453C7"/>
    <w:rsid w:val="003454B1"/>
    <w:rsid w:val="00345F57"/>
    <w:rsid w:val="003463F0"/>
    <w:rsid w:val="00347611"/>
    <w:rsid w:val="00347C0A"/>
    <w:rsid w:val="003509FB"/>
    <w:rsid w:val="00350BF0"/>
    <w:rsid w:val="00350E6C"/>
    <w:rsid w:val="0035157C"/>
    <w:rsid w:val="0035159A"/>
    <w:rsid w:val="003515A4"/>
    <w:rsid w:val="0035171D"/>
    <w:rsid w:val="003517C6"/>
    <w:rsid w:val="003518A6"/>
    <w:rsid w:val="00351E7F"/>
    <w:rsid w:val="0035230D"/>
    <w:rsid w:val="0035244E"/>
    <w:rsid w:val="00352953"/>
    <w:rsid w:val="00354062"/>
    <w:rsid w:val="00355484"/>
    <w:rsid w:val="0035596A"/>
    <w:rsid w:val="00355C0D"/>
    <w:rsid w:val="00355C92"/>
    <w:rsid w:val="00355CEA"/>
    <w:rsid w:val="003566A9"/>
    <w:rsid w:val="00356988"/>
    <w:rsid w:val="003569FF"/>
    <w:rsid w:val="00356CE9"/>
    <w:rsid w:val="003570BB"/>
    <w:rsid w:val="00357128"/>
    <w:rsid w:val="0035755E"/>
    <w:rsid w:val="00357A80"/>
    <w:rsid w:val="00360134"/>
    <w:rsid w:val="00360A8B"/>
    <w:rsid w:val="00360DC3"/>
    <w:rsid w:val="0036112A"/>
    <w:rsid w:val="00361441"/>
    <w:rsid w:val="00361535"/>
    <w:rsid w:val="00361695"/>
    <w:rsid w:val="00361AD4"/>
    <w:rsid w:val="00361B1A"/>
    <w:rsid w:val="00361B8B"/>
    <w:rsid w:val="0036220D"/>
    <w:rsid w:val="00363F39"/>
    <w:rsid w:val="0036445C"/>
    <w:rsid w:val="00364627"/>
    <w:rsid w:val="00364AB0"/>
    <w:rsid w:val="00364C6F"/>
    <w:rsid w:val="00365A9F"/>
    <w:rsid w:val="00365B4D"/>
    <w:rsid w:val="0036601F"/>
    <w:rsid w:val="00366605"/>
    <w:rsid w:val="003667B0"/>
    <w:rsid w:val="003667DD"/>
    <w:rsid w:val="00366910"/>
    <w:rsid w:val="00366B48"/>
    <w:rsid w:val="003675A2"/>
    <w:rsid w:val="003675C4"/>
    <w:rsid w:val="00367764"/>
    <w:rsid w:val="003701C0"/>
    <w:rsid w:val="00370316"/>
    <w:rsid w:val="00370DC7"/>
    <w:rsid w:val="00371CBD"/>
    <w:rsid w:val="00371F20"/>
    <w:rsid w:val="00372B98"/>
    <w:rsid w:val="003737B7"/>
    <w:rsid w:val="00373F41"/>
    <w:rsid w:val="003740CC"/>
    <w:rsid w:val="003745F4"/>
    <w:rsid w:val="00374E79"/>
    <w:rsid w:val="0037529A"/>
    <w:rsid w:val="00375388"/>
    <w:rsid w:val="00375758"/>
    <w:rsid w:val="00375FB9"/>
    <w:rsid w:val="00376742"/>
    <w:rsid w:val="00376851"/>
    <w:rsid w:val="00376CC3"/>
    <w:rsid w:val="00376FA2"/>
    <w:rsid w:val="003772C8"/>
    <w:rsid w:val="00377A3B"/>
    <w:rsid w:val="00377E3C"/>
    <w:rsid w:val="003802A5"/>
    <w:rsid w:val="00380BBE"/>
    <w:rsid w:val="00380F3E"/>
    <w:rsid w:val="00381299"/>
    <w:rsid w:val="00381B59"/>
    <w:rsid w:val="00381D70"/>
    <w:rsid w:val="0038235E"/>
    <w:rsid w:val="003829D0"/>
    <w:rsid w:val="00383006"/>
    <w:rsid w:val="00383E49"/>
    <w:rsid w:val="0038444F"/>
    <w:rsid w:val="003849F1"/>
    <w:rsid w:val="003861F0"/>
    <w:rsid w:val="00386D56"/>
    <w:rsid w:val="00387051"/>
    <w:rsid w:val="0038724B"/>
    <w:rsid w:val="00387ECF"/>
    <w:rsid w:val="00387F04"/>
    <w:rsid w:val="0039021B"/>
    <w:rsid w:val="00390429"/>
    <w:rsid w:val="003921F5"/>
    <w:rsid w:val="00392995"/>
    <w:rsid w:val="0039366C"/>
    <w:rsid w:val="00393EC8"/>
    <w:rsid w:val="0039505B"/>
    <w:rsid w:val="00395C92"/>
    <w:rsid w:val="00395E42"/>
    <w:rsid w:val="00396409"/>
    <w:rsid w:val="00396A2D"/>
    <w:rsid w:val="00396FC3"/>
    <w:rsid w:val="00397357"/>
    <w:rsid w:val="00397621"/>
    <w:rsid w:val="003A15B5"/>
    <w:rsid w:val="003A173A"/>
    <w:rsid w:val="003A1A94"/>
    <w:rsid w:val="003A204E"/>
    <w:rsid w:val="003A222F"/>
    <w:rsid w:val="003A2D25"/>
    <w:rsid w:val="003A3FFC"/>
    <w:rsid w:val="003A425B"/>
    <w:rsid w:val="003A4262"/>
    <w:rsid w:val="003A4FB3"/>
    <w:rsid w:val="003A514E"/>
    <w:rsid w:val="003A5954"/>
    <w:rsid w:val="003A5C48"/>
    <w:rsid w:val="003A5DFF"/>
    <w:rsid w:val="003A5FDB"/>
    <w:rsid w:val="003A60E7"/>
    <w:rsid w:val="003A67BE"/>
    <w:rsid w:val="003A7092"/>
    <w:rsid w:val="003A72A1"/>
    <w:rsid w:val="003A7611"/>
    <w:rsid w:val="003A7694"/>
    <w:rsid w:val="003A774D"/>
    <w:rsid w:val="003A7781"/>
    <w:rsid w:val="003A7D1F"/>
    <w:rsid w:val="003B0B6A"/>
    <w:rsid w:val="003B18C4"/>
    <w:rsid w:val="003B21ED"/>
    <w:rsid w:val="003B22F7"/>
    <w:rsid w:val="003B2444"/>
    <w:rsid w:val="003B29CF"/>
    <w:rsid w:val="003B34EF"/>
    <w:rsid w:val="003B3A90"/>
    <w:rsid w:val="003B452F"/>
    <w:rsid w:val="003B4ED7"/>
    <w:rsid w:val="003B534F"/>
    <w:rsid w:val="003B689D"/>
    <w:rsid w:val="003B788F"/>
    <w:rsid w:val="003B7A79"/>
    <w:rsid w:val="003C007A"/>
    <w:rsid w:val="003C0781"/>
    <w:rsid w:val="003C0AF1"/>
    <w:rsid w:val="003C151A"/>
    <w:rsid w:val="003C1A25"/>
    <w:rsid w:val="003C2548"/>
    <w:rsid w:val="003C2617"/>
    <w:rsid w:val="003C2AB4"/>
    <w:rsid w:val="003C2BF1"/>
    <w:rsid w:val="003C33C2"/>
    <w:rsid w:val="003C350C"/>
    <w:rsid w:val="003C3903"/>
    <w:rsid w:val="003C3BA0"/>
    <w:rsid w:val="003C3E10"/>
    <w:rsid w:val="003C3E37"/>
    <w:rsid w:val="003C3E8F"/>
    <w:rsid w:val="003C3ED8"/>
    <w:rsid w:val="003C3ED9"/>
    <w:rsid w:val="003C3F07"/>
    <w:rsid w:val="003C4580"/>
    <w:rsid w:val="003C46A4"/>
    <w:rsid w:val="003C4E8B"/>
    <w:rsid w:val="003C4F4A"/>
    <w:rsid w:val="003C5775"/>
    <w:rsid w:val="003C5B4D"/>
    <w:rsid w:val="003C5C5E"/>
    <w:rsid w:val="003C6746"/>
    <w:rsid w:val="003C7555"/>
    <w:rsid w:val="003C7898"/>
    <w:rsid w:val="003C7B2A"/>
    <w:rsid w:val="003D06CD"/>
    <w:rsid w:val="003D0FF5"/>
    <w:rsid w:val="003D11A3"/>
    <w:rsid w:val="003D1537"/>
    <w:rsid w:val="003D183C"/>
    <w:rsid w:val="003D2D1B"/>
    <w:rsid w:val="003D3DEB"/>
    <w:rsid w:val="003D48C7"/>
    <w:rsid w:val="003D4C27"/>
    <w:rsid w:val="003D4F94"/>
    <w:rsid w:val="003D57EB"/>
    <w:rsid w:val="003D6998"/>
    <w:rsid w:val="003D7109"/>
    <w:rsid w:val="003D7813"/>
    <w:rsid w:val="003D7CE8"/>
    <w:rsid w:val="003E02FC"/>
    <w:rsid w:val="003E0514"/>
    <w:rsid w:val="003E0886"/>
    <w:rsid w:val="003E1032"/>
    <w:rsid w:val="003E1904"/>
    <w:rsid w:val="003E20C5"/>
    <w:rsid w:val="003E285E"/>
    <w:rsid w:val="003E2951"/>
    <w:rsid w:val="003E3124"/>
    <w:rsid w:val="003E3300"/>
    <w:rsid w:val="003E34F9"/>
    <w:rsid w:val="003E38E9"/>
    <w:rsid w:val="003E43D3"/>
    <w:rsid w:val="003E4793"/>
    <w:rsid w:val="003E48E1"/>
    <w:rsid w:val="003E59BB"/>
    <w:rsid w:val="003E5BA9"/>
    <w:rsid w:val="003E6225"/>
    <w:rsid w:val="003E6271"/>
    <w:rsid w:val="003E65AC"/>
    <w:rsid w:val="003E66AE"/>
    <w:rsid w:val="003E6D55"/>
    <w:rsid w:val="003E720F"/>
    <w:rsid w:val="003E72B9"/>
    <w:rsid w:val="003E78B8"/>
    <w:rsid w:val="003E7ED4"/>
    <w:rsid w:val="003F0985"/>
    <w:rsid w:val="003F0E52"/>
    <w:rsid w:val="003F0F6B"/>
    <w:rsid w:val="003F1FC6"/>
    <w:rsid w:val="003F1FDE"/>
    <w:rsid w:val="003F1FE3"/>
    <w:rsid w:val="003F2359"/>
    <w:rsid w:val="003F3865"/>
    <w:rsid w:val="003F3B87"/>
    <w:rsid w:val="003F3D55"/>
    <w:rsid w:val="003F4020"/>
    <w:rsid w:val="003F44E2"/>
    <w:rsid w:val="003F4632"/>
    <w:rsid w:val="003F47BA"/>
    <w:rsid w:val="003F4FE6"/>
    <w:rsid w:val="003F50C3"/>
    <w:rsid w:val="003F5689"/>
    <w:rsid w:val="003F6617"/>
    <w:rsid w:val="003F69DF"/>
    <w:rsid w:val="003F7DA7"/>
    <w:rsid w:val="00401126"/>
    <w:rsid w:val="00402332"/>
    <w:rsid w:val="0040247E"/>
    <w:rsid w:val="004025C2"/>
    <w:rsid w:val="00402841"/>
    <w:rsid w:val="00402BB2"/>
    <w:rsid w:val="00403195"/>
    <w:rsid w:val="004033A9"/>
    <w:rsid w:val="00403587"/>
    <w:rsid w:val="00403D1D"/>
    <w:rsid w:val="00403E55"/>
    <w:rsid w:val="0040407C"/>
    <w:rsid w:val="0040416C"/>
    <w:rsid w:val="0040456E"/>
    <w:rsid w:val="00404681"/>
    <w:rsid w:val="00404A88"/>
    <w:rsid w:val="00405AC1"/>
    <w:rsid w:val="00406092"/>
    <w:rsid w:val="00406923"/>
    <w:rsid w:val="00406EB9"/>
    <w:rsid w:val="0040763D"/>
    <w:rsid w:val="00410590"/>
    <w:rsid w:val="00410D17"/>
    <w:rsid w:val="00411190"/>
    <w:rsid w:val="00411588"/>
    <w:rsid w:val="0041180B"/>
    <w:rsid w:val="004118BF"/>
    <w:rsid w:val="00412039"/>
    <w:rsid w:val="00412673"/>
    <w:rsid w:val="00412B25"/>
    <w:rsid w:val="004131E2"/>
    <w:rsid w:val="00413442"/>
    <w:rsid w:val="00413821"/>
    <w:rsid w:val="00413BA5"/>
    <w:rsid w:val="004141A3"/>
    <w:rsid w:val="00414909"/>
    <w:rsid w:val="00415146"/>
    <w:rsid w:val="004156D0"/>
    <w:rsid w:val="004157C6"/>
    <w:rsid w:val="0041582F"/>
    <w:rsid w:val="00415899"/>
    <w:rsid w:val="00415B89"/>
    <w:rsid w:val="00415C0F"/>
    <w:rsid w:val="00416112"/>
    <w:rsid w:val="00416FDD"/>
    <w:rsid w:val="00417AE0"/>
    <w:rsid w:val="00417BAA"/>
    <w:rsid w:val="00417C2B"/>
    <w:rsid w:val="0042034C"/>
    <w:rsid w:val="0042042B"/>
    <w:rsid w:val="00420B45"/>
    <w:rsid w:val="00420D7A"/>
    <w:rsid w:val="00421257"/>
    <w:rsid w:val="004219CC"/>
    <w:rsid w:val="00422193"/>
    <w:rsid w:val="004223DE"/>
    <w:rsid w:val="00422581"/>
    <w:rsid w:val="00422A10"/>
    <w:rsid w:val="004232E7"/>
    <w:rsid w:val="0042362D"/>
    <w:rsid w:val="00423969"/>
    <w:rsid w:val="00423C89"/>
    <w:rsid w:val="00424D17"/>
    <w:rsid w:val="004258A1"/>
    <w:rsid w:val="00425DFD"/>
    <w:rsid w:val="00425F8E"/>
    <w:rsid w:val="004263A3"/>
    <w:rsid w:val="00426AB0"/>
    <w:rsid w:val="00426DE0"/>
    <w:rsid w:val="00427713"/>
    <w:rsid w:val="00427CCC"/>
    <w:rsid w:val="0043013A"/>
    <w:rsid w:val="00430421"/>
    <w:rsid w:val="00430B4F"/>
    <w:rsid w:val="00431084"/>
    <w:rsid w:val="004310D7"/>
    <w:rsid w:val="004319FE"/>
    <w:rsid w:val="004322D6"/>
    <w:rsid w:val="00432589"/>
    <w:rsid w:val="00432A94"/>
    <w:rsid w:val="00432B6A"/>
    <w:rsid w:val="00432C95"/>
    <w:rsid w:val="004330D8"/>
    <w:rsid w:val="00433827"/>
    <w:rsid w:val="00433A40"/>
    <w:rsid w:val="00434B70"/>
    <w:rsid w:val="00435036"/>
    <w:rsid w:val="004350C1"/>
    <w:rsid w:val="00436021"/>
    <w:rsid w:val="004360C8"/>
    <w:rsid w:val="00436485"/>
    <w:rsid w:val="0043715C"/>
    <w:rsid w:val="004371D5"/>
    <w:rsid w:val="0044005C"/>
    <w:rsid w:val="0044006B"/>
    <w:rsid w:val="0044020D"/>
    <w:rsid w:val="0044033F"/>
    <w:rsid w:val="00440450"/>
    <w:rsid w:val="00440630"/>
    <w:rsid w:val="004408A0"/>
    <w:rsid w:val="00440A93"/>
    <w:rsid w:val="00441F0F"/>
    <w:rsid w:val="004420EA"/>
    <w:rsid w:val="00442965"/>
    <w:rsid w:val="00444157"/>
    <w:rsid w:val="0044417C"/>
    <w:rsid w:val="004441B8"/>
    <w:rsid w:val="004446BA"/>
    <w:rsid w:val="00444DB3"/>
    <w:rsid w:val="00444FB7"/>
    <w:rsid w:val="00445829"/>
    <w:rsid w:val="00445A2F"/>
    <w:rsid w:val="00445F45"/>
    <w:rsid w:val="0044610C"/>
    <w:rsid w:val="0044684E"/>
    <w:rsid w:val="00446D79"/>
    <w:rsid w:val="00446F22"/>
    <w:rsid w:val="0044762A"/>
    <w:rsid w:val="00447CCD"/>
    <w:rsid w:val="0045019F"/>
    <w:rsid w:val="004503A4"/>
    <w:rsid w:val="00450555"/>
    <w:rsid w:val="004506FA"/>
    <w:rsid w:val="004507BE"/>
    <w:rsid w:val="00450DC6"/>
    <w:rsid w:val="004516A5"/>
    <w:rsid w:val="00451980"/>
    <w:rsid w:val="00451E9C"/>
    <w:rsid w:val="0045280F"/>
    <w:rsid w:val="004528A0"/>
    <w:rsid w:val="0045334D"/>
    <w:rsid w:val="004535AE"/>
    <w:rsid w:val="00453C56"/>
    <w:rsid w:val="0045444D"/>
    <w:rsid w:val="0045463A"/>
    <w:rsid w:val="00454AC9"/>
    <w:rsid w:val="00455050"/>
    <w:rsid w:val="004554A3"/>
    <w:rsid w:val="00455A6E"/>
    <w:rsid w:val="00455B0F"/>
    <w:rsid w:val="00455EAD"/>
    <w:rsid w:val="004560A4"/>
    <w:rsid w:val="0045628B"/>
    <w:rsid w:val="004563D0"/>
    <w:rsid w:val="004578DD"/>
    <w:rsid w:val="004578EB"/>
    <w:rsid w:val="004604D5"/>
    <w:rsid w:val="00460697"/>
    <w:rsid w:val="0046117B"/>
    <w:rsid w:val="00461739"/>
    <w:rsid w:val="004639AF"/>
    <w:rsid w:val="00464003"/>
    <w:rsid w:val="004645A1"/>
    <w:rsid w:val="004648CD"/>
    <w:rsid w:val="00464AB7"/>
    <w:rsid w:val="00464CC2"/>
    <w:rsid w:val="00465E9D"/>
    <w:rsid w:val="004661A7"/>
    <w:rsid w:val="00466688"/>
    <w:rsid w:val="00467EF8"/>
    <w:rsid w:val="004710E2"/>
    <w:rsid w:val="004721C8"/>
    <w:rsid w:val="00472429"/>
    <w:rsid w:val="00472444"/>
    <w:rsid w:val="004725E5"/>
    <w:rsid w:val="00472751"/>
    <w:rsid w:val="00473128"/>
    <w:rsid w:val="00473AAB"/>
    <w:rsid w:val="00474C19"/>
    <w:rsid w:val="00475078"/>
    <w:rsid w:val="00475767"/>
    <w:rsid w:val="00476440"/>
    <w:rsid w:val="0047694F"/>
    <w:rsid w:val="00476BE0"/>
    <w:rsid w:val="00476EC6"/>
    <w:rsid w:val="0047787B"/>
    <w:rsid w:val="004779A0"/>
    <w:rsid w:val="00477F58"/>
    <w:rsid w:val="004808E3"/>
    <w:rsid w:val="00480B2A"/>
    <w:rsid w:val="00481016"/>
    <w:rsid w:val="0048204C"/>
    <w:rsid w:val="004821BB"/>
    <w:rsid w:val="004826FE"/>
    <w:rsid w:val="004827D5"/>
    <w:rsid w:val="00482AF2"/>
    <w:rsid w:val="004830C9"/>
    <w:rsid w:val="00483347"/>
    <w:rsid w:val="00483C34"/>
    <w:rsid w:val="00483E2E"/>
    <w:rsid w:val="00484B69"/>
    <w:rsid w:val="00485406"/>
    <w:rsid w:val="00485580"/>
    <w:rsid w:val="0048590F"/>
    <w:rsid w:val="00485E5F"/>
    <w:rsid w:val="0048670E"/>
    <w:rsid w:val="00486A82"/>
    <w:rsid w:val="00486D60"/>
    <w:rsid w:val="00487649"/>
    <w:rsid w:val="0049079E"/>
    <w:rsid w:val="00490C0A"/>
    <w:rsid w:val="00490CA2"/>
    <w:rsid w:val="00491660"/>
    <w:rsid w:val="00491ACC"/>
    <w:rsid w:val="00491C06"/>
    <w:rsid w:val="00491FA1"/>
    <w:rsid w:val="00492A25"/>
    <w:rsid w:val="004938A3"/>
    <w:rsid w:val="004946E3"/>
    <w:rsid w:val="004960CB"/>
    <w:rsid w:val="00496350"/>
    <w:rsid w:val="00496AF0"/>
    <w:rsid w:val="00496D82"/>
    <w:rsid w:val="00496E87"/>
    <w:rsid w:val="0049797C"/>
    <w:rsid w:val="004A0380"/>
    <w:rsid w:val="004A0541"/>
    <w:rsid w:val="004A110D"/>
    <w:rsid w:val="004A1405"/>
    <w:rsid w:val="004A1FC6"/>
    <w:rsid w:val="004A2B8C"/>
    <w:rsid w:val="004A2E5F"/>
    <w:rsid w:val="004A38C2"/>
    <w:rsid w:val="004A3C03"/>
    <w:rsid w:val="004A3DB7"/>
    <w:rsid w:val="004A4B8E"/>
    <w:rsid w:val="004A5088"/>
    <w:rsid w:val="004A5255"/>
    <w:rsid w:val="004A533E"/>
    <w:rsid w:val="004A5880"/>
    <w:rsid w:val="004A62C6"/>
    <w:rsid w:val="004A661B"/>
    <w:rsid w:val="004A6CB0"/>
    <w:rsid w:val="004A6F25"/>
    <w:rsid w:val="004A70FF"/>
    <w:rsid w:val="004A755A"/>
    <w:rsid w:val="004A7EDE"/>
    <w:rsid w:val="004B06DC"/>
    <w:rsid w:val="004B0834"/>
    <w:rsid w:val="004B0D93"/>
    <w:rsid w:val="004B0EA6"/>
    <w:rsid w:val="004B0F18"/>
    <w:rsid w:val="004B13F0"/>
    <w:rsid w:val="004B1480"/>
    <w:rsid w:val="004B1586"/>
    <w:rsid w:val="004B1FA4"/>
    <w:rsid w:val="004B23CB"/>
    <w:rsid w:val="004B2871"/>
    <w:rsid w:val="004B29AC"/>
    <w:rsid w:val="004B35DF"/>
    <w:rsid w:val="004B3627"/>
    <w:rsid w:val="004B4062"/>
    <w:rsid w:val="004B44B3"/>
    <w:rsid w:val="004B460E"/>
    <w:rsid w:val="004B4922"/>
    <w:rsid w:val="004B4B4A"/>
    <w:rsid w:val="004B50A7"/>
    <w:rsid w:val="004B57DF"/>
    <w:rsid w:val="004B5976"/>
    <w:rsid w:val="004B6790"/>
    <w:rsid w:val="004B722E"/>
    <w:rsid w:val="004B72E8"/>
    <w:rsid w:val="004C01A5"/>
    <w:rsid w:val="004C0412"/>
    <w:rsid w:val="004C083B"/>
    <w:rsid w:val="004C101E"/>
    <w:rsid w:val="004C1261"/>
    <w:rsid w:val="004C1AAE"/>
    <w:rsid w:val="004C1D80"/>
    <w:rsid w:val="004C2138"/>
    <w:rsid w:val="004C2F84"/>
    <w:rsid w:val="004C3935"/>
    <w:rsid w:val="004C3940"/>
    <w:rsid w:val="004C51FD"/>
    <w:rsid w:val="004C5ED7"/>
    <w:rsid w:val="004C641C"/>
    <w:rsid w:val="004C65A8"/>
    <w:rsid w:val="004C6689"/>
    <w:rsid w:val="004C6DA6"/>
    <w:rsid w:val="004C733D"/>
    <w:rsid w:val="004C7508"/>
    <w:rsid w:val="004C792C"/>
    <w:rsid w:val="004C7F66"/>
    <w:rsid w:val="004D139A"/>
    <w:rsid w:val="004D1414"/>
    <w:rsid w:val="004D14DC"/>
    <w:rsid w:val="004D17C6"/>
    <w:rsid w:val="004D2858"/>
    <w:rsid w:val="004D35BA"/>
    <w:rsid w:val="004D38E5"/>
    <w:rsid w:val="004D3C5A"/>
    <w:rsid w:val="004D3FE6"/>
    <w:rsid w:val="004D4350"/>
    <w:rsid w:val="004D449A"/>
    <w:rsid w:val="004D4701"/>
    <w:rsid w:val="004D47C7"/>
    <w:rsid w:val="004D4CA1"/>
    <w:rsid w:val="004D4F35"/>
    <w:rsid w:val="004D516A"/>
    <w:rsid w:val="004D5D45"/>
    <w:rsid w:val="004D618D"/>
    <w:rsid w:val="004D62A9"/>
    <w:rsid w:val="004D6862"/>
    <w:rsid w:val="004D6939"/>
    <w:rsid w:val="004D6C12"/>
    <w:rsid w:val="004D6FC3"/>
    <w:rsid w:val="004D7476"/>
    <w:rsid w:val="004D7716"/>
    <w:rsid w:val="004D7D80"/>
    <w:rsid w:val="004E0288"/>
    <w:rsid w:val="004E02F2"/>
    <w:rsid w:val="004E0306"/>
    <w:rsid w:val="004E0572"/>
    <w:rsid w:val="004E0C2A"/>
    <w:rsid w:val="004E1641"/>
    <w:rsid w:val="004E1818"/>
    <w:rsid w:val="004E1990"/>
    <w:rsid w:val="004E25A8"/>
    <w:rsid w:val="004E3930"/>
    <w:rsid w:val="004E3ED9"/>
    <w:rsid w:val="004E42F4"/>
    <w:rsid w:val="004E4D34"/>
    <w:rsid w:val="004E4D87"/>
    <w:rsid w:val="004E4FE0"/>
    <w:rsid w:val="004E545F"/>
    <w:rsid w:val="004E5866"/>
    <w:rsid w:val="004E59FC"/>
    <w:rsid w:val="004E5F9F"/>
    <w:rsid w:val="004E6097"/>
    <w:rsid w:val="004E61EF"/>
    <w:rsid w:val="004E63C6"/>
    <w:rsid w:val="004E76A7"/>
    <w:rsid w:val="004E7A60"/>
    <w:rsid w:val="004E7B03"/>
    <w:rsid w:val="004F0064"/>
    <w:rsid w:val="004F0558"/>
    <w:rsid w:val="004F06AC"/>
    <w:rsid w:val="004F1B53"/>
    <w:rsid w:val="004F1D2A"/>
    <w:rsid w:val="004F1E89"/>
    <w:rsid w:val="004F243F"/>
    <w:rsid w:val="004F252C"/>
    <w:rsid w:val="004F36A3"/>
    <w:rsid w:val="004F3E0C"/>
    <w:rsid w:val="004F4377"/>
    <w:rsid w:val="004F625F"/>
    <w:rsid w:val="004F6554"/>
    <w:rsid w:val="004F7160"/>
    <w:rsid w:val="00500258"/>
    <w:rsid w:val="005005DF"/>
    <w:rsid w:val="00500B2D"/>
    <w:rsid w:val="00501804"/>
    <w:rsid w:val="00501A99"/>
    <w:rsid w:val="005024F4"/>
    <w:rsid w:val="00503180"/>
    <w:rsid w:val="005038A4"/>
    <w:rsid w:val="00503B16"/>
    <w:rsid w:val="00503B2A"/>
    <w:rsid w:val="00503C48"/>
    <w:rsid w:val="00503EA2"/>
    <w:rsid w:val="00504CD7"/>
    <w:rsid w:val="00505450"/>
    <w:rsid w:val="00507472"/>
    <w:rsid w:val="005100B7"/>
    <w:rsid w:val="00510CCA"/>
    <w:rsid w:val="005113C9"/>
    <w:rsid w:val="00511460"/>
    <w:rsid w:val="00512025"/>
    <w:rsid w:val="00512050"/>
    <w:rsid w:val="00512055"/>
    <w:rsid w:val="00512179"/>
    <w:rsid w:val="0051280C"/>
    <w:rsid w:val="00512842"/>
    <w:rsid w:val="005128BE"/>
    <w:rsid w:val="00512C20"/>
    <w:rsid w:val="00512E49"/>
    <w:rsid w:val="00513464"/>
    <w:rsid w:val="0051356F"/>
    <w:rsid w:val="00513E7C"/>
    <w:rsid w:val="005140BB"/>
    <w:rsid w:val="00514837"/>
    <w:rsid w:val="00514FD9"/>
    <w:rsid w:val="00515187"/>
    <w:rsid w:val="00515441"/>
    <w:rsid w:val="0051550A"/>
    <w:rsid w:val="0051561D"/>
    <w:rsid w:val="0051608F"/>
    <w:rsid w:val="0051656F"/>
    <w:rsid w:val="00517E04"/>
    <w:rsid w:val="00520EF8"/>
    <w:rsid w:val="00520F0C"/>
    <w:rsid w:val="005210F7"/>
    <w:rsid w:val="005214F0"/>
    <w:rsid w:val="00521753"/>
    <w:rsid w:val="005224EE"/>
    <w:rsid w:val="00522879"/>
    <w:rsid w:val="005236DB"/>
    <w:rsid w:val="00523BB1"/>
    <w:rsid w:val="005257F6"/>
    <w:rsid w:val="00525889"/>
    <w:rsid w:val="005260CD"/>
    <w:rsid w:val="00526265"/>
    <w:rsid w:val="0052655D"/>
    <w:rsid w:val="005265E0"/>
    <w:rsid w:val="00526BC3"/>
    <w:rsid w:val="00527505"/>
    <w:rsid w:val="00527AA2"/>
    <w:rsid w:val="00527B05"/>
    <w:rsid w:val="00531761"/>
    <w:rsid w:val="0053248F"/>
    <w:rsid w:val="0053332A"/>
    <w:rsid w:val="00533336"/>
    <w:rsid w:val="0053358A"/>
    <w:rsid w:val="00534668"/>
    <w:rsid w:val="00534723"/>
    <w:rsid w:val="00534ACA"/>
    <w:rsid w:val="00534DDD"/>
    <w:rsid w:val="00535291"/>
    <w:rsid w:val="005352A9"/>
    <w:rsid w:val="00535A94"/>
    <w:rsid w:val="00535F83"/>
    <w:rsid w:val="00536E37"/>
    <w:rsid w:val="00537874"/>
    <w:rsid w:val="0053795F"/>
    <w:rsid w:val="005379C4"/>
    <w:rsid w:val="00540406"/>
    <w:rsid w:val="00540511"/>
    <w:rsid w:val="00540578"/>
    <w:rsid w:val="00540808"/>
    <w:rsid w:val="0054080E"/>
    <w:rsid w:val="00540EA1"/>
    <w:rsid w:val="005411E4"/>
    <w:rsid w:val="00541503"/>
    <w:rsid w:val="00541697"/>
    <w:rsid w:val="005416A8"/>
    <w:rsid w:val="005417BF"/>
    <w:rsid w:val="005420E4"/>
    <w:rsid w:val="0054358E"/>
    <w:rsid w:val="00543950"/>
    <w:rsid w:val="00543AF4"/>
    <w:rsid w:val="00543FD3"/>
    <w:rsid w:val="00544191"/>
    <w:rsid w:val="005443E5"/>
    <w:rsid w:val="005448EC"/>
    <w:rsid w:val="00544931"/>
    <w:rsid w:val="00544A4F"/>
    <w:rsid w:val="00544F39"/>
    <w:rsid w:val="00544F82"/>
    <w:rsid w:val="0054514F"/>
    <w:rsid w:val="005458D8"/>
    <w:rsid w:val="00546F90"/>
    <w:rsid w:val="00547EFB"/>
    <w:rsid w:val="0055033C"/>
    <w:rsid w:val="005511C4"/>
    <w:rsid w:val="00551B86"/>
    <w:rsid w:val="005522F2"/>
    <w:rsid w:val="00552555"/>
    <w:rsid w:val="005525E5"/>
    <w:rsid w:val="005527F5"/>
    <w:rsid w:val="005531DF"/>
    <w:rsid w:val="00553320"/>
    <w:rsid w:val="00553874"/>
    <w:rsid w:val="00553ECF"/>
    <w:rsid w:val="00554AD8"/>
    <w:rsid w:val="00554F78"/>
    <w:rsid w:val="00555565"/>
    <w:rsid w:val="005557BC"/>
    <w:rsid w:val="00555DA1"/>
    <w:rsid w:val="00556BF7"/>
    <w:rsid w:val="00556F14"/>
    <w:rsid w:val="0055737F"/>
    <w:rsid w:val="00557556"/>
    <w:rsid w:val="00557F60"/>
    <w:rsid w:val="0056011B"/>
    <w:rsid w:val="005603F9"/>
    <w:rsid w:val="00560C19"/>
    <w:rsid w:val="00561602"/>
    <w:rsid w:val="00561730"/>
    <w:rsid w:val="00561B97"/>
    <w:rsid w:val="00562149"/>
    <w:rsid w:val="0056242B"/>
    <w:rsid w:val="00564F6D"/>
    <w:rsid w:val="00566FC1"/>
    <w:rsid w:val="00567B5D"/>
    <w:rsid w:val="005706C1"/>
    <w:rsid w:val="00570757"/>
    <w:rsid w:val="00571243"/>
    <w:rsid w:val="0057148D"/>
    <w:rsid w:val="00571846"/>
    <w:rsid w:val="00572F0A"/>
    <w:rsid w:val="00573733"/>
    <w:rsid w:val="00573F8B"/>
    <w:rsid w:val="00574554"/>
    <w:rsid w:val="005747A8"/>
    <w:rsid w:val="00574E06"/>
    <w:rsid w:val="005751BB"/>
    <w:rsid w:val="00575A87"/>
    <w:rsid w:val="00576089"/>
    <w:rsid w:val="0057611E"/>
    <w:rsid w:val="005764B1"/>
    <w:rsid w:val="00576852"/>
    <w:rsid w:val="00576D06"/>
    <w:rsid w:val="005779E4"/>
    <w:rsid w:val="00577AA5"/>
    <w:rsid w:val="00580664"/>
    <w:rsid w:val="00581D82"/>
    <w:rsid w:val="005825A5"/>
    <w:rsid w:val="0058289C"/>
    <w:rsid w:val="005836C7"/>
    <w:rsid w:val="005838C7"/>
    <w:rsid w:val="00583ADB"/>
    <w:rsid w:val="0058408E"/>
    <w:rsid w:val="00585374"/>
    <w:rsid w:val="005854CA"/>
    <w:rsid w:val="00585FAB"/>
    <w:rsid w:val="00586107"/>
    <w:rsid w:val="00590B77"/>
    <w:rsid w:val="00590D9A"/>
    <w:rsid w:val="005913A3"/>
    <w:rsid w:val="00592BDD"/>
    <w:rsid w:val="005940D4"/>
    <w:rsid w:val="00594A09"/>
    <w:rsid w:val="00594A7B"/>
    <w:rsid w:val="0059580E"/>
    <w:rsid w:val="00595D90"/>
    <w:rsid w:val="00596A6F"/>
    <w:rsid w:val="00596E40"/>
    <w:rsid w:val="00596FCE"/>
    <w:rsid w:val="00597B42"/>
    <w:rsid w:val="005A03AB"/>
    <w:rsid w:val="005A0B9A"/>
    <w:rsid w:val="005A0F60"/>
    <w:rsid w:val="005A11BC"/>
    <w:rsid w:val="005A1525"/>
    <w:rsid w:val="005A1575"/>
    <w:rsid w:val="005A1904"/>
    <w:rsid w:val="005A1E17"/>
    <w:rsid w:val="005A223D"/>
    <w:rsid w:val="005A252B"/>
    <w:rsid w:val="005A2BD4"/>
    <w:rsid w:val="005A3204"/>
    <w:rsid w:val="005A3341"/>
    <w:rsid w:val="005A3884"/>
    <w:rsid w:val="005A3C3D"/>
    <w:rsid w:val="005A4688"/>
    <w:rsid w:val="005A46EC"/>
    <w:rsid w:val="005A5EAE"/>
    <w:rsid w:val="005A6254"/>
    <w:rsid w:val="005A6407"/>
    <w:rsid w:val="005A7AD2"/>
    <w:rsid w:val="005B0372"/>
    <w:rsid w:val="005B056C"/>
    <w:rsid w:val="005B0735"/>
    <w:rsid w:val="005B07EC"/>
    <w:rsid w:val="005B1AF9"/>
    <w:rsid w:val="005B21B3"/>
    <w:rsid w:val="005B23C1"/>
    <w:rsid w:val="005B2B11"/>
    <w:rsid w:val="005B32A4"/>
    <w:rsid w:val="005B3BAF"/>
    <w:rsid w:val="005B4DA3"/>
    <w:rsid w:val="005B5448"/>
    <w:rsid w:val="005B58D5"/>
    <w:rsid w:val="005B5BEE"/>
    <w:rsid w:val="005B6351"/>
    <w:rsid w:val="005B708B"/>
    <w:rsid w:val="005B72FA"/>
    <w:rsid w:val="005B759E"/>
    <w:rsid w:val="005B77D2"/>
    <w:rsid w:val="005C019B"/>
    <w:rsid w:val="005C10A8"/>
    <w:rsid w:val="005C145E"/>
    <w:rsid w:val="005C1AED"/>
    <w:rsid w:val="005C30E7"/>
    <w:rsid w:val="005C30F5"/>
    <w:rsid w:val="005C3B73"/>
    <w:rsid w:val="005C3CA0"/>
    <w:rsid w:val="005C3CCA"/>
    <w:rsid w:val="005C4284"/>
    <w:rsid w:val="005C4DF4"/>
    <w:rsid w:val="005C4FDE"/>
    <w:rsid w:val="005C51A5"/>
    <w:rsid w:val="005C557A"/>
    <w:rsid w:val="005C5BFE"/>
    <w:rsid w:val="005C5C47"/>
    <w:rsid w:val="005C61DD"/>
    <w:rsid w:val="005C6438"/>
    <w:rsid w:val="005C664A"/>
    <w:rsid w:val="005C6B8B"/>
    <w:rsid w:val="005C727F"/>
    <w:rsid w:val="005C7C7F"/>
    <w:rsid w:val="005D02E3"/>
    <w:rsid w:val="005D0FBF"/>
    <w:rsid w:val="005D114E"/>
    <w:rsid w:val="005D1B3F"/>
    <w:rsid w:val="005D1F34"/>
    <w:rsid w:val="005D25ED"/>
    <w:rsid w:val="005D2C1F"/>
    <w:rsid w:val="005D34B2"/>
    <w:rsid w:val="005D38D5"/>
    <w:rsid w:val="005D3967"/>
    <w:rsid w:val="005D3B54"/>
    <w:rsid w:val="005D40CD"/>
    <w:rsid w:val="005D5522"/>
    <w:rsid w:val="005D5751"/>
    <w:rsid w:val="005D6B59"/>
    <w:rsid w:val="005D6CC7"/>
    <w:rsid w:val="005D6EC5"/>
    <w:rsid w:val="005D7334"/>
    <w:rsid w:val="005D784B"/>
    <w:rsid w:val="005E032C"/>
    <w:rsid w:val="005E03E4"/>
    <w:rsid w:val="005E0454"/>
    <w:rsid w:val="005E05F6"/>
    <w:rsid w:val="005E0E17"/>
    <w:rsid w:val="005E0FF8"/>
    <w:rsid w:val="005E1B14"/>
    <w:rsid w:val="005E1CB1"/>
    <w:rsid w:val="005E1E96"/>
    <w:rsid w:val="005E240F"/>
    <w:rsid w:val="005E2442"/>
    <w:rsid w:val="005E2457"/>
    <w:rsid w:val="005E29A1"/>
    <w:rsid w:val="005E3111"/>
    <w:rsid w:val="005E34BF"/>
    <w:rsid w:val="005E37B9"/>
    <w:rsid w:val="005E3F85"/>
    <w:rsid w:val="005E41C9"/>
    <w:rsid w:val="005E4527"/>
    <w:rsid w:val="005E5387"/>
    <w:rsid w:val="005E57B0"/>
    <w:rsid w:val="005E5851"/>
    <w:rsid w:val="005E5B01"/>
    <w:rsid w:val="005E5EE5"/>
    <w:rsid w:val="005E614A"/>
    <w:rsid w:val="005E6D3B"/>
    <w:rsid w:val="005E75CF"/>
    <w:rsid w:val="005F009E"/>
    <w:rsid w:val="005F0DF1"/>
    <w:rsid w:val="005F1516"/>
    <w:rsid w:val="005F1585"/>
    <w:rsid w:val="005F2205"/>
    <w:rsid w:val="005F229E"/>
    <w:rsid w:val="005F2400"/>
    <w:rsid w:val="005F2564"/>
    <w:rsid w:val="005F2694"/>
    <w:rsid w:val="005F318E"/>
    <w:rsid w:val="005F3822"/>
    <w:rsid w:val="005F3901"/>
    <w:rsid w:val="005F39B8"/>
    <w:rsid w:val="005F4352"/>
    <w:rsid w:val="005F43EF"/>
    <w:rsid w:val="005F4635"/>
    <w:rsid w:val="005F4729"/>
    <w:rsid w:val="005F4900"/>
    <w:rsid w:val="005F4E52"/>
    <w:rsid w:val="005F5B2B"/>
    <w:rsid w:val="005F6858"/>
    <w:rsid w:val="005F6DB2"/>
    <w:rsid w:val="005F7383"/>
    <w:rsid w:val="005F7854"/>
    <w:rsid w:val="0060058E"/>
    <w:rsid w:val="006010A8"/>
    <w:rsid w:val="00601260"/>
    <w:rsid w:val="0060161F"/>
    <w:rsid w:val="00601A1D"/>
    <w:rsid w:val="00602049"/>
    <w:rsid w:val="00602A3C"/>
    <w:rsid w:val="00602C6B"/>
    <w:rsid w:val="00602DED"/>
    <w:rsid w:val="00603BF3"/>
    <w:rsid w:val="00603EFD"/>
    <w:rsid w:val="0060475B"/>
    <w:rsid w:val="00604A48"/>
    <w:rsid w:val="00604E05"/>
    <w:rsid w:val="00604FA9"/>
    <w:rsid w:val="00604FB6"/>
    <w:rsid w:val="00605387"/>
    <w:rsid w:val="00605499"/>
    <w:rsid w:val="00605DBE"/>
    <w:rsid w:val="00605E6F"/>
    <w:rsid w:val="00606302"/>
    <w:rsid w:val="00607533"/>
    <w:rsid w:val="006076FD"/>
    <w:rsid w:val="00610E10"/>
    <w:rsid w:val="006113CB"/>
    <w:rsid w:val="0061143F"/>
    <w:rsid w:val="006114D8"/>
    <w:rsid w:val="006116AE"/>
    <w:rsid w:val="00611B31"/>
    <w:rsid w:val="0061203A"/>
    <w:rsid w:val="0061332D"/>
    <w:rsid w:val="00613553"/>
    <w:rsid w:val="00613601"/>
    <w:rsid w:val="00613788"/>
    <w:rsid w:val="00613791"/>
    <w:rsid w:val="00614DF9"/>
    <w:rsid w:val="006150D6"/>
    <w:rsid w:val="00615245"/>
    <w:rsid w:val="0061590D"/>
    <w:rsid w:val="00615B6B"/>
    <w:rsid w:val="00615CC5"/>
    <w:rsid w:val="00615DF2"/>
    <w:rsid w:val="0061676C"/>
    <w:rsid w:val="00616CF9"/>
    <w:rsid w:val="00617750"/>
    <w:rsid w:val="00617EEE"/>
    <w:rsid w:val="0062027D"/>
    <w:rsid w:val="00620A1F"/>
    <w:rsid w:val="00621251"/>
    <w:rsid w:val="006212C4"/>
    <w:rsid w:val="0062169D"/>
    <w:rsid w:val="0062181E"/>
    <w:rsid w:val="00621A27"/>
    <w:rsid w:val="00621E04"/>
    <w:rsid w:val="00622725"/>
    <w:rsid w:val="00622BB7"/>
    <w:rsid w:val="00622C1E"/>
    <w:rsid w:val="0062301B"/>
    <w:rsid w:val="00623389"/>
    <w:rsid w:val="00623DAA"/>
    <w:rsid w:val="00623FAF"/>
    <w:rsid w:val="00624339"/>
    <w:rsid w:val="00625F68"/>
    <w:rsid w:val="006261EC"/>
    <w:rsid w:val="00626485"/>
    <w:rsid w:val="006265C4"/>
    <w:rsid w:val="0062678A"/>
    <w:rsid w:val="006270AF"/>
    <w:rsid w:val="00627583"/>
    <w:rsid w:val="00630684"/>
    <w:rsid w:val="006308A5"/>
    <w:rsid w:val="006319CE"/>
    <w:rsid w:val="00632FE4"/>
    <w:rsid w:val="00633324"/>
    <w:rsid w:val="00633353"/>
    <w:rsid w:val="0063414B"/>
    <w:rsid w:val="00634367"/>
    <w:rsid w:val="00634AD9"/>
    <w:rsid w:val="00634FDB"/>
    <w:rsid w:val="00635CFE"/>
    <w:rsid w:val="00635DEA"/>
    <w:rsid w:val="006363E7"/>
    <w:rsid w:val="00637B5D"/>
    <w:rsid w:val="00640082"/>
    <w:rsid w:val="00640291"/>
    <w:rsid w:val="00640EFE"/>
    <w:rsid w:val="00640FEF"/>
    <w:rsid w:val="006413AB"/>
    <w:rsid w:val="00641711"/>
    <w:rsid w:val="00641CB6"/>
    <w:rsid w:val="00641D6D"/>
    <w:rsid w:val="00641FAC"/>
    <w:rsid w:val="00643135"/>
    <w:rsid w:val="00643664"/>
    <w:rsid w:val="00643CAA"/>
    <w:rsid w:val="00643F69"/>
    <w:rsid w:val="0064482A"/>
    <w:rsid w:val="00644F16"/>
    <w:rsid w:val="006455EB"/>
    <w:rsid w:val="006456C2"/>
    <w:rsid w:val="00645AD8"/>
    <w:rsid w:val="0064648C"/>
    <w:rsid w:val="006466D0"/>
    <w:rsid w:val="00647783"/>
    <w:rsid w:val="006477F0"/>
    <w:rsid w:val="006478E4"/>
    <w:rsid w:val="00647EAF"/>
    <w:rsid w:val="006503A6"/>
    <w:rsid w:val="006506DE"/>
    <w:rsid w:val="00650971"/>
    <w:rsid w:val="00651501"/>
    <w:rsid w:val="0065171A"/>
    <w:rsid w:val="00651732"/>
    <w:rsid w:val="00651959"/>
    <w:rsid w:val="00651FC9"/>
    <w:rsid w:val="006522BB"/>
    <w:rsid w:val="00652680"/>
    <w:rsid w:val="006526A2"/>
    <w:rsid w:val="006530A9"/>
    <w:rsid w:val="0065349E"/>
    <w:rsid w:val="00653CDE"/>
    <w:rsid w:val="00653D93"/>
    <w:rsid w:val="00653DC6"/>
    <w:rsid w:val="00654585"/>
    <w:rsid w:val="006551B0"/>
    <w:rsid w:val="00655AB6"/>
    <w:rsid w:val="00655E59"/>
    <w:rsid w:val="0065636A"/>
    <w:rsid w:val="00656A4A"/>
    <w:rsid w:val="00656F95"/>
    <w:rsid w:val="00657003"/>
    <w:rsid w:val="00657A14"/>
    <w:rsid w:val="00657E61"/>
    <w:rsid w:val="0066013F"/>
    <w:rsid w:val="00660238"/>
    <w:rsid w:val="006602EF"/>
    <w:rsid w:val="00661277"/>
    <w:rsid w:val="006619E0"/>
    <w:rsid w:val="0066283F"/>
    <w:rsid w:val="006632BB"/>
    <w:rsid w:val="006638A4"/>
    <w:rsid w:val="00663FEA"/>
    <w:rsid w:val="00664803"/>
    <w:rsid w:val="00664F46"/>
    <w:rsid w:val="0066508D"/>
    <w:rsid w:val="006651D6"/>
    <w:rsid w:val="0066557C"/>
    <w:rsid w:val="006657C5"/>
    <w:rsid w:val="00665F09"/>
    <w:rsid w:val="006661A4"/>
    <w:rsid w:val="00666A54"/>
    <w:rsid w:val="00666AC0"/>
    <w:rsid w:val="006670E0"/>
    <w:rsid w:val="006671B8"/>
    <w:rsid w:val="00667275"/>
    <w:rsid w:val="00667532"/>
    <w:rsid w:val="00667603"/>
    <w:rsid w:val="006677B3"/>
    <w:rsid w:val="0066783E"/>
    <w:rsid w:val="00667E53"/>
    <w:rsid w:val="00670384"/>
    <w:rsid w:val="0067065F"/>
    <w:rsid w:val="006708DC"/>
    <w:rsid w:val="006713AB"/>
    <w:rsid w:val="00671687"/>
    <w:rsid w:val="00672882"/>
    <w:rsid w:val="00672CA5"/>
    <w:rsid w:val="006736A6"/>
    <w:rsid w:val="00673711"/>
    <w:rsid w:val="00673F82"/>
    <w:rsid w:val="006744BC"/>
    <w:rsid w:val="00674F74"/>
    <w:rsid w:val="0067508F"/>
    <w:rsid w:val="006756C3"/>
    <w:rsid w:val="00675881"/>
    <w:rsid w:val="00676E55"/>
    <w:rsid w:val="00677576"/>
    <w:rsid w:val="00677EF3"/>
    <w:rsid w:val="0068051E"/>
    <w:rsid w:val="00680B9D"/>
    <w:rsid w:val="00681F13"/>
    <w:rsid w:val="0068231C"/>
    <w:rsid w:val="00682344"/>
    <w:rsid w:val="00682F28"/>
    <w:rsid w:val="006846ED"/>
    <w:rsid w:val="00684842"/>
    <w:rsid w:val="006859AA"/>
    <w:rsid w:val="00685B58"/>
    <w:rsid w:val="00685BD6"/>
    <w:rsid w:val="00687116"/>
    <w:rsid w:val="006875C4"/>
    <w:rsid w:val="006878A6"/>
    <w:rsid w:val="00687D5F"/>
    <w:rsid w:val="006902FB"/>
    <w:rsid w:val="00690437"/>
    <w:rsid w:val="00690BFE"/>
    <w:rsid w:val="00690DC3"/>
    <w:rsid w:val="00690E65"/>
    <w:rsid w:val="006911B7"/>
    <w:rsid w:val="00691387"/>
    <w:rsid w:val="00691641"/>
    <w:rsid w:val="0069188E"/>
    <w:rsid w:val="006918BD"/>
    <w:rsid w:val="00691974"/>
    <w:rsid w:val="00692BF6"/>
    <w:rsid w:val="00692CE6"/>
    <w:rsid w:val="00692EE1"/>
    <w:rsid w:val="00693186"/>
    <w:rsid w:val="006937D6"/>
    <w:rsid w:val="00693B6C"/>
    <w:rsid w:val="00693F3F"/>
    <w:rsid w:val="006942AE"/>
    <w:rsid w:val="00694E54"/>
    <w:rsid w:val="00695421"/>
    <w:rsid w:val="00696633"/>
    <w:rsid w:val="00696B78"/>
    <w:rsid w:val="00697875"/>
    <w:rsid w:val="00697BD3"/>
    <w:rsid w:val="00697DFA"/>
    <w:rsid w:val="006A16D5"/>
    <w:rsid w:val="006A1772"/>
    <w:rsid w:val="006A1780"/>
    <w:rsid w:val="006A1A4A"/>
    <w:rsid w:val="006A21DD"/>
    <w:rsid w:val="006A26C6"/>
    <w:rsid w:val="006A3772"/>
    <w:rsid w:val="006A385F"/>
    <w:rsid w:val="006A3AC0"/>
    <w:rsid w:val="006A3B28"/>
    <w:rsid w:val="006A3C92"/>
    <w:rsid w:val="006A4BA8"/>
    <w:rsid w:val="006A4DA7"/>
    <w:rsid w:val="006A4FEE"/>
    <w:rsid w:val="006A6F5B"/>
    <w:rsid w:val="006A703E"/>
    <w:rsid w:val="006A736F"/>
    <w:rsid w:val="006A7BE3"/>
    <w:rsid w:val="006A7D32"/>
    <w:rsid w:val="006B0037"/>
    <w:rsid w:val="006B01D1"/>
    <w:rsid w:val="006B079F"/>
    <w:rsid w:val="006B09C7"/>
    <w:rsid w:val="006B101C"/>
    <w:rsid w:val="006B15D3"/>
    <w:rsid w:val="006B16EA"/>
    <w:rsid w:val="006B1780"/>
    <w:rsid w:val="006B17B6"/>
    <w:rsid w:val="006B1A60"/>
    <w:rsid w:val="006B224E"/>
    <w:rsid w:val="006B2FAE"/>
    <w:rsid w:val="006B376E"/>
    <w:rsid w:val="006B3B9B"/>
    <w:rsid w:val="006B40FD"/>
    <w:rsid w:val="006B42D9"/>
    <w:rsid w:val="006B4589"/>
    <w:rsid w:val="006B4D50"/>
    <w:rsid w:val="006B5146"/>
    <w:rsid w:val="006B60DE"/>
    <w:rsid w:val="006B610E"/>
    <w:rsid w:val="006B6805"/>
    <w:rsid w:val="006B6DE0"/>
    <w:rsid w:val="006B71B0"/>
    <w:rsid w:val="006B7AC3"/>
    <w:rsid w:val="006C0220"/>
    <w:rsid w:val="006C0970"/>
    <w:rsid w:val="006C16C3"/>
    <w:rsid w:val="006C2187"/>
    <w:rsid w:val="006C2F31"/>
    <w:rsid w:val="006C308F"/>
    <w:rsid w:val="006C32F4"/>
    <w:rsid w:val="006C35C3"/>
    <w:rsid w:val="006C3C54"/>
    <w:rsid w:val="006C3C59"/>
    <w:rsid w:val="006C43CD"/>
    <w:rsid w:val="006C44B4"/>
    <w:rsid w:val="006C4F9F"/>
    <w:rsid w:val="006C504D"/>
    <w:rsid w:val="006C582E"/>
    <w:rsid w:val="006C6643"/>
    <w:rsid w:val="006C71A2"/>
    <w:rsid w:val="006C73EC"/>
    <w:rsid w:val="006C76C1"/>
    <w:rsid w:val="006D0C1D"/>
    <w:rsid w:val="006D2066"/>
    <w:rsid w:val="006D2E58"/>
    <w:rsid w:val="006D2E9D"/>
    <w:rsid w:val="006D2F32"/>
    <w:rsid w:val="006D3068"/>
    <w:rsid w:val="006D34B2"/>
    <w:rsid w:val="006D38F6"/>
    <w:rsid w:val="006D3C5B"/>
    <w:rsid w:val="006D4A4E"/>
    <w:rsid w:val="006D4C42"/>
    <w:rsid w:val="006D5117"/>
    <w:rsid w:val="006D5809"/>
    <w:rsid w:val="006D5D5A"/>
    <w:rsid w:val="006D5DFF"/>
    <w:rsid w:val="006D607E"/>
    <w:rsid w:val="006D6138"/>
    <w:rsid w:val="006D6B58"/>
    <w:rsid w:val="006D6E12"/>
    <w:rsid w:val="006D70CB"/>
    <w:rsid w:val="006D715C"/>
    <w:rsid w:val="006D733F"/>
    <w:rsid w:val="006D7363"/>
    <w:rsid w:val="006D7628"/>
    <w:rsid w:val="006D774E"/>
    <w:rsid w:val="006E05B6"/>
    <w:rsid w:val="006E0754"/>
    <w:rsid w:val="006E0D93"/>
    <w:rsid w:val="006E182F"/>
    <w:rsid w:val="006E2532"/>
    <w:rsid w:val="006E2668"/>
    <w:rsid w:val="006E2D0E"/>
    <w:rsid w:val="006E2D39"/>
    <w:rsid w:val="006E32B0"/>
    <w:rsid w:val="006E348E"/>
    <w:rsid w:val="006E396A"/>
    <w:rsid w:val="006E3D63"/>
    <w:rsid w:val="006E3F34"/>
    <w:rsid w:val="006E5829"/>
    <w:rsid w:val="006E58BF"/>
    <w:rsid w:val="006E595F"/>
    <w:rsid w:val="006E5DD8"/>
    <w:rsid w:val="006E5EA1"/>
    <w:rsid w:val="006E5EBB"/>
    <w:rsid w:val="006E5FA5"/>
    <w:rsid w:val="006E6DEE"/>
    <w:rsid w:val="006E7D4B"/>
    <w:rsid w:val="006F0760"/>
    <w:rsid w:val="006F09F0"/>
    <w:rsid w:val="006F11E2"/>
    <w:rsid w:val="006F1E68"/>
    <w:rsid w:val="006F2574"/>
    <w:rsid w:val="006F3231"/>
    <w:rsid w:val="006F3DE3"/>
    <w:rsid w:val="006F43E6"/>
    <w:rsid w:val="006F4787"/>
    <w:rsid w:val="006F488A"/>
    <w:rsid w:val="006F61D8"/>
    <w:rsid w:val="006F62B7"/>
    <w:rsid w:val="006F6621"/>
    <w:rsid w:val="006F70BC"/>
    <w:rsid w:val="006F7E7C"/>
    <w:rsid w:val="0070024B"/>
    <w:rsid w:val="00701573"/>
    <w:rsid w:val="0070174E"/>
    <w:rsid w:val="00701793"/>
    <w:rsid w:val="007018DB"/>
    <w:rsid w:val="00701DE6"/>
    <w:rsid w:val="00701DEB"/>
    <w:rsid w:val="0070240C"/>
    <w:rsid w:val="0070381B"/>
    <w:rsid w:val="00703C8C"/>
    <w:rsid w:val="00705206"/>
    <w:rsid w:val="0070524E"/>
    <w:rsid w:val="00705366"/>
    <w:rsid w:val="007058F6"/>
    <w:rsid w:val="00705EC0"/>
    <w:rsid w:val="007067D3"/>
    <w:rsid w:val="0070796C"/>
    <w:rsid w:val="007100A9"/>
    <w:rsid w:val="0071030D"/>
    <w:rsid w:val="00710945"/>
    <w:rsid w:val="00710EBF"/>
    <w:rsid w:val="0071101D"/>
    <w:rsid w:val="007110B8"/>
    <w:rsid w:val="0071209F"/>
    <w:rsid w:val="007125A2"/>
    <w:rsid w:val="0071389C"/>
    <w:rsid w:val="00713F79"/>
    <w:rsid w:val="007148A8"/>
    <w:rsid w:val="0071578A"/>
    <w:rsid w:val="0071641C"/>
    <w:rsid w:val="00716AC8"/>
    <w:rsid w:val="00716CF3"/>
    <w:rsid w:val="00716E54"/>
    <w:rsid w:val="0072033C"/>
    <w:rsid w:val="007207D3"/>
    <w:rsid w:val="00720B1B"/>
    <w:rsid w:val="00721062"/>
    <w:rsid w:val="00721E5D"/>
    <w:rsid w:val="00722005"/>
    <w:rsid w:val="007229D4"/>
    <w:rsid w:val="00722AED"/>
    <w:rsid w:val="007230F8"/>
    <w:rsid w:val="007233F4"/>
    <w:rsid w:val="00723D9B"/>
    <w:rsid w:val="00724044"/>
    <w:rsid w:val="007246D5"/>
    <w:rsid w:val="007248D3"/>
    <w:rsid w:val="00724D4E"/>
    <w:rsid w:val="00724D9E"/>
    <w:rsid w:val="00724EB9"/>
    <w:rsid w:val="00725137"/>
    <w:rsid w:val="00725378"/>
    <w:rsid w:val="007257AA"/>
    <w:rsid w:val="00726A01"/>
    <w:rsid w:val="00726A50"/>
    <w:rsid w:val="00727A43"/>
    <w:rsid w:val="00727B92"/>
    <w:rsid w:val="00727D3F"/>
    <w:rsid w:val="00727FF2"/>
    <w:rsid w:val="00730550"/>
    <w:rsid w:val="00731434"/>
    <w:rsid w:val="007323E0"/>
    <w:rsid w:val="00732911"/>
    <w:rsid w:val="00732B55"/>
    <w:rsid w:val="00733110"/>
    <w:rsid w:val="0073315F"/>
    <w:rsid w:val="00733721"/>
    <w:rsid w:val="00733833"/>
    <w:rsid w:val="00733883"/>
    <w:rsid w:val="00733A80"/>
    <w:rsid w:val="00733DE2"/>
    <w:rsid w:val="0073424A"/>
    <w:rsid w:val="00734EA9"/>
    <w:rsid w:val="007352EA"/>
    <w:rsid w:val="00735EE3"/>
    <w:rsid w:val="0073624C"/>
    <w:rsid w:val="00736BFA"/>
    <w:rsid w:val="007374D6"/>
    <w:rsid w:val="007378F8"/>
    <w:rsid w:val="0073792F"/>
    <w:rsid w:val="00740222"/>
    <w:rsid w:val="00740C81"/>
    <w:rsid w:val="00740DA6"/>
    <w:rsid w:val="00741499"/>
    <w:rsid w:val="00741B4B"/>
    <w:rsid w:val="00741C45"/>
    <w:rsid w:val="00741D1E"/>
    <w:rsid w:val="00741DD6"/>
    <w:rsid w:val="00741EE2"/>
    <w:rsid w:val="0074207F"/>
    <w:rsid w:val="00742367"/>
    <w:rsid w:val="00742A12"/>
    <w:rsid w:val="00742DE6"/>
    <w:rsid w:val="00742EAA"/>
    <w:rsid w:val="00743360"/>
    <w:rsid w:val="00743818"/>
    <w:rsid w:val="00743857"/>
    <w:rsid w:val="007441FB"/>
    <w:rsid w:val="00744517"/>
    <w:rsid w:val="0074522A"/>
    <w:rsid w:val="0074532F"/>
    <w:rsid w:val="00747295"/>
    <w:rsid w:val="007477A8"/>
    <w:rsid w:val="00747829"/>
    <w:rsid w:val="00747D79"/>
    <w:rsid w:val="00747DE2"/>
    <w:rsid w:val="00750012"/>
    <w:rsid w:val="007504BF"/>
    <w:rsid w:val="007506CD"/>
    <w:rsid w:val="00750E5F"/>
    <w:rsid w:val="00751A70"/>
    <w:rsid w:val="0075267F"/>
    <w:rsid w:val="007526EC"/>
    <w:rsid w:val="00752A11"/>
    <w:rsid w:val="007539F8"/>
    <w:rsid w:val="00753ABB"/>
    <w:rsid w:val="00753BA5"/>
    <w:rsid w:val="00753C48"/>
    <w:rsid w:val="00754250"/>
    <w:rsid w:val="00754FE4"/>
    <w:rsid w:val="00755216"/>
    <w:rsid w:val="00755BA6"/>
    <w:rsid w:val="00756236"/>
    <w:rsid w:val="00756271"/>
    <w:rsid w:val="00756348"/>
    <w:rsid w:val="00756521"/>
    <w:rsid w:val="00756AB7"/>
    <w:rsid w:val="00756E60"/>
    <w:rsid w:val="0075725F"/>
    <w:rsid w:val="00757404"/>
    <w:rsid w:val="00760088"/>
    <w:rsid w:val="0076106D"/>
    <w:rsid w:val="0076156E"/>
    <w:rsid w:val="007618B7"/>
    <w:rsid w:val="0076204F"/>
    <w:rsid w:val="007623FB"/>
    <w:rsid w:val="00762517"/>
    <w:rsid w:val="00762753"/>
    <w:rsid w:val="00763240"/>
    <w:rsid w:val="0076376A"/>
    <w:rsid w:val="007648AD"/>
    <w:rsid w:val="00764AA9"/>
    <w:rsid w:val="0076504E"/>
    <w:rsid w:val="0076528E"/>
    <w:rsid w:val="007652D4"/>
    <w:rsid w:val="007664E1"/>
    <w:rsid w:val="00767396"/>
    <w:rsid w:val="007673E8"/>
    <w:rsid w:val="0076764C"/>
    <w:rsid w:val="007679D1"/>
    <w:rsid w:val="00767BFD"/>
    <w:rsid w:val="00767EA0"/>
    <w:rsid w:val="0077068F"/>
    <w:rsid w:val="00770C86"/>
    <w:rsid w:val="007710C2"/>
    <w:rsid w:val="00771EDF"/>
    <w:rsid w:val="007720F3"/>
    <w:rsid w:val="007724B2"/>
    <w:rsid w:val="007727CE"/>
    <w:rsid w:val="00772860"/>
    <w:rsid w:val="00772EE2"/>
    <w:rsid w:val="00772F8D"/>
    <w:rsid w:val="00773B85"/>
    <w:rsid w:val="0077408D"/>
    <w:rsid w:val="00774166"/>
    <w:rsid w:val="00774270"/>
    <w:rsid w:val="007743F6"/>
    <w:rsid w:val="00774C9F"/>
    <w:rsid w:val="00775679"/>
    <w:rsid w:val="0077574F"/>
    <w:rsid w:val="00775823"/>
    <w:rsid w:val="0077629E"/>
    <w:rsid w:val="00777B32"/>
    <w:rsid w:val="0078051E"/>
    <w:rsid w:val="00780610"/>
    <w:rsid w:val="00780680"/>
    <w:rsid w:val="00781089"/>
    <w:rsid w:val="00781946"/>
    <w:rsid w:val="00781B5A"/>
    <w:rsid w:val="00781F4B"/>
    <w:rsid w:val="007838F3"/>
    <w:rsid w:val="007848D1"/>
    <w:rsid w:val="007856FE"/>
    <w:rsid w:val="00785836"/>
    <w:rsid w:val="00785D1B"/>
    <w:rsid w:val="00785F46"/>
    <w:rsid w:val="007865F4"/>
    <w:rsid w:val="00786D5C"/>
    <w:rsid w:val="00786E96"/>
    <w:rsid w:val="00786EF1"/>
    <w:rsid w:val="00787060"/>
    <w:rsid w:val="00787DFF"/>
    <w:rsid w:val="00787F93"/>
    <w:rsid w:val="00791D36"/>
    <w:rsid w:val="00791E6D"/>
    <w:rsid w:val="00791EB5"/>
    <w:rsid w:val="007924CA"/>
    <w:rsid w:val="0079264C"/>
    <w:rsid w:val="00793696"/>
    <w:rsid w:val="0079369F"/>
    <w:rsid w:val="00794039"/>
    <w:rsid w:val="00794135"/>
    <w:rsid w:val="00794E75"/>
    <w:rsid w:val="00795F36"/>
    <w:rsid w:val="007964C5"/>
    <w:rsid w:val="00796F65"/>
    <w:rsid w:val="00797191"/>
    <w:rsid w:val="007A0DEE"/>
    <w:rsid w:val="007A11C2"/>
    <w:rsid w:val="007A11C3"/>
    <w:rsid w:val="007A18BB"/>
    <w:rsid w:val="007A1E88"/>
    <w:rsid w:val="007A25A2"/>
    <w:rsid w:val="007A27DD"/>
    <w:rsid w:val="007A41BF"/>
    <w:rsid w:val="007A4609"/>
    <w:rsid w:val="007A490A"/>
    <w:rsid w:val="007A4927"/>
    <w:rsid w:val="007A5DA4"/>
    <w:rsid w:val="007A5FB5"/>
    <w:rsid w:val="007A75BB"/>
    <w:rsid w:val="007A7B95"/>
    <w:rsid w:val="007B0297"/>
    <w:rsid w:val="007B02FA"/>
    <w:rsid w:val="007B0458"/>
    <w:rsid w:val="007B0F53"/>
    <w:rsid w:val="007B1207"/>
    <w:rsid w:val="007B13B6"/>
    <w:rsid w:val="007B2140"/>
    <w:rsid w:val="007B21AE"/>
    <w:rsid w:val="007B2570"/>
    <w:rsid w:val="007B2979"/>
    <w:rsid w:val="007B3113"/>
    <w:rsid w:val="007B3304"/>
    <w:rsid w:val="007B40D5"/>
    <w:rsid w:val="007B4A5E"/>
    <w:rsid w:val="007B4CEB"/>
    <w:rsid w:val="007B63BF"/>
    <w:rsid w:val="007B6F77"/>
    <w:rsid w:val="007B7490"/>
    <w:rsid w:val="007B7F6A"/>
    <w:rsid w:val="007C0525"/>
    <w:rsid w:val="007C0D5D"/>
    <w:rsid w:val="007C13F7"/>
    <w:rsid w:val="007C1D21"/>
    <w:rsid w:val="007C218D"/>
    <w:rsid w:val="007C2379"/>
    <w:rsid w:val="007C2BED"/>
    <w:rsid w:val="007C2D28"/>
    <w:rsid w:val="007C309A"/>
    <w:rsid w:val="007C324C"/>
    <w:rsid w:val="007C3E22"/>
    <w:rsid w:val="007C3E93"/>
    <w:rsid w:val="007C54A1"/>
    <w:rsid w:val="007C54E0"/>
    <w:rsid w:val="007C595B"/>
    <w:rsid w:val="007C6218"/>
    <w:rsid w:val="007C6484"/>
    <w:rsid w:val="007C67C6"/>
    <w:rsid w:val="007C6A36"/>
    <w:rsid w:val="007C730A"/>
    <w:rsid w:val="007C78BE"/>
    <w:rsid w:val="007C7E59"/>
    <w:rsid w:val="007D0476"/>
    <w:rsid w:val="007D0B91"/>
    <w:rsid w:val="007D1452"/>
    <w:rsid w:val="007D2501"/>
    <w:rsid w:val="007D36E5"/>
    <w:rsid w:val="007D3BFD"/>
    <w:rsid w:val="007D3C6C"/>
    <w:rsid w:val="007D43D2"/>
    <w:rsid w:val="007D460C"/>
    <w:rsid w:val="007D4996"/>
    <w:rsid w:val="007D4AD3"/>
    <w:rsid w:val="007D528C"/>
    <w:rsid w:val="007D5D19"/>
    <w:rsid w:val="007D5FDC"/>
    <w:rsid w:val="007D6113"/>
    <w:rsid w:val="007D6176"/>
    <w:rsid w:val="007D6D68"/>
    <w:rsid w:val="007D6DC5"/>
    <w:rsid w:val="007E048D"/>
    <w:rsid w:val="007E0DE8"/>
    <w:rsid w:val="007E1BD2"/>
    <w:rsid w:val="007E2A8B"/>
    <w:rsid w:val="007E2D8E"/>
    <w:rsid w:val="007E32DA"/>
    <w:rsid w:val="007E3C02"/>
    <w:rsid w:val="007E46F9"/>
    <w:rsid w:val="007E4998"/>
    <w:rsid w:val="007E4A9C"/>
    <w:rsid w:val="007E4E1E"/>
    <w:rsid w:val="007E4E47"/>
    <w:rsid w:val="007E5032"/>
    <w:rsid w:val="007E5795"/>
    <w:rsid w:val="007E6914"/>
    <w:rsid w:val="007E79BF"/>
    <w:rsid w:val="007E7D12"/>
    <w:rsid w:val="007E7F78"/>
    <w:rsid w:val="007F0101"/>
    <w:rsid w:val="007F0179"/>
    <w:rsid w:val="007F0530"/>
    <w:rsid w:val="007F075C"/>
    <w:rsid w:val="007F0DBC"/>
    <w:rsid w:val="007F2C13"/>
    <w:rsid w:val="007F2CEC"/>
    <w:rsid w:val="007F3435"/>
    <w:rsid w:val="007F387E"/>
    <w:rsid w:val="007F4B2B"/>
    <w:rsid w:val="007F4EA8"/>
    <w:rsid w:val="007F55DE"/>
    <w:rsid w:val="007F60A8"/>
    <w:rsid w:val="007F762D"/>
    <w:rsid w:val="007F78F0"/>
    <w:rsid w:val="007F78FF"/>
    <w:rsid w:val="00800060"/>
    <w:rsid w:val="008000B6"/>
    <w:rsid w:val="00800167"/>
    <w:rsid w:val="008001C5"/>
    <w:rsid w:val="00800814"/>
    <w:rsid w:val="00800F6C"/>
    <w:rsid w:val="00801065"/>
    <w:rsid w:val="008016E4"/>
    <w:rsid w:val="00801A53"/>
    <w:rsid w:val="00801EFC"/>
    <w:rsid w:val="008027D2"/>
    <w:rsid w:val="00802C0B"/>
    <w:rsid w:val="00802C9E"/>
    <w:rsid w:val="00803B43"/>
    <w:rsid w:val="00803BFA"/>
    <w:rsid w:val="00803C2C"/>
    <w:rsid w:val="00804753"/>
    <w:rsid w:val="00804E41"/>
    <w:rsid w:val="0080509E"/>
    <w:rsid w:val="008051FC"/>
    <w:rsid w:val="008055A9"/>
    <w:rsid w:val="008056C4"/>
    <w:rsid w:val="00805815"/>
    <w:rsid w:val="00805D8B"/>
    <w:rsid w:val="00807A83"/>
    <w:rsid w:val="00810525"/>
    <w:rsid w:val="00810E8E"/>
    <w:rsid w:val="00812686"/>
    <w:rsid w:val="00812C44"/>
    <w:rsid w:val="008135E1"/>
    <w:rsid w:val="00813779"/>
    <w:rsid w:val="00813A64"/>
    <w:rsid w:val="00813E26"/>
    <w:rsid w:val="00813E95"/>
    <w:rsid w:val="0081481D"/>
    <w:rsid w:val="00814BE8"/>
    <w:rsid w:val="00814DE5"/>
    <w:rsid w:val="00814F6E"/>
    <w:rsid w:val="00815B84"/>
    <w:rsid w:val="00815D2F"/>
    <w:rsid w:val="00816046"/>
    <w:rsid w:val="0081606F"/>
    <w:rsid w:val="00816B69"/>
    <w:rsid w:val="00816BE9"/>
    <w:rsid w:val="008172D6"/>
    <w:rsid w:val="0082080C"/>
    <w:rsid w:val="0082083F"/>
    <w:rsid w:val="0082131E"/>
    <w:rsid w:val="00822518"/>
    <w:rsid w:val="008226F5"/>
    <w:rsid w:val="00822ABF"/>
    <w:rsid w:val="00822FA3"/>
    <w:rsid w:val="00823171"/>
    <w:rsid w:val="0082343E"/>
    <w:rsid w:val="00823F9E"/>
    <w:rsid w:val="00823FC6"/>
    <w:rsid w:val="00824306"/>
    <w:rsid w:val="00825A62"/>
    <w:rsid w:val="00825C74"/>
    <w:rsid w:val="00825CFA"/>
    <w:rsid w:val="00825D61"/>
    <w:rsid w:val="00825FFC"/>
    <w:rsid w:val="008269B7"/>
    <w:rsid w:val="00826AB9"/>
    <w:rsid w:val="00826E0E"/>
    <w:rsid w:val="008270E3"/>
    <w:rsid w:val="0082782C"/>
    <w:rsid w:val="00827AF7"/>
    <w:rsid w:val="00827D11"/>
    <w:rsid w:val="00827E0F"/>
    <w:rsid w:val="00827F6E"/>
    <w:rsid w:val="00830810"/>
    <w:rsid w:val="00830F25"/>
    <w:rsid w:val="00831758"/>
    <w:rsid w:val="008317D9"/>
    <w:rsid w:val="008321D6"/>
    <w:rsid w:val="008324B5"/>
    <w:rsid w:val="0083278A"/>
    <w:rsid w:val="0083279F"/>
    <w:rsid w:val="00832A5B"/>
    <w:rsid w:val="008334DB"/>
    <w:rsid w:val="00833B7F"/>
    <w:rsid w:val="00834367"/>
    <w:rsid w:val="00834906"/>
    <w:rsid w:val="0083592B"/>
    <w:rsid w:val="00835D71"/>
    <w:rsid w:val="00836075"/>
    <w:rsid w:val="00836417"/>
    <w:rsid w:val="00837526"/>
    <w:rsid w:val="008375B6"/>
    <w:rsid w:val="008407A7"/>
    <w:rsid w:val="0084144E"/>
    <w:rsid w:val="0084322B"/>
    <w:rsid w:val="0084389C"/>
    <w:rsid w:val="00843F81"/>
    <w:rsid w:val="00843F97"/>
    <w:rsid w:val="00844087"/>
    <w:rsid w:val="00844215"/>
    <w:rsid w:val="008448F1"/>
    <w:rsid w:val="0084519E"/>
    <w:rsid w:val="00845CAE"/>
    <w:rsid w:val="00846370"/>
    <w:rsid w:val="008465F8"/>
    <w:rsid w:val="00846F61"/>
    <w:rsid w:val="008477E7"/>
    <w:rsid w:val="00847C2B"/>
    <w:rsid w:val="008501C5"/>
    <w:rsid w:val="008506B9"/>
    <w:rsid w:val="00850B52"/>
    <w:rsid w:val="00850BBC"/>
    <w:rsid w:val="00851822"/>
    <w:rsid w:val="00851B0A"/>
    <w:rsid w:val="00851DB7"/>
    <w:rsid w:val="00852077"/>
    <w:rsid w:val="008532BF"/>
    <w:rsid w:val="0085348D"/>
    <w:rsid w:val="008539B2"/>
    <w:rsid w:val="00853BF4"/>
    <w:rsid w:val="008541FF"/>
    <w:rsid w:val="00854294"/>
    <w:rsid w:val="00854A54"/>
    <w:rsid w:val="008553F2"/>
    <w:rsid w:val="0085572E"/>
    <w:rsid w:val="00856028"/>
    <w:rsid w:val="008568DE"/>
    <w:rsid w:val="00856CF2"/>
    <w:rsid w:val="00857003"/>
    <w:rsid w:val="008575F4"/>
    <w:rsid w:val="0085788B"/>
    <w:rsid w:val="00857A9E"/>
    <w:rsid w:val="00857B1D"/>
    <w:rsid w:val="00857DE2"/>
    <w:rsid w:val="00860038"/>
    <w:rsid w:val="0086004A"/>
    <w:rsid w:val="00860E5A"/>
    <w:rsid w:val="0086244D"/>
    <w:rsid w:val="00862C7A"/>
    <w:rsid w:val="00862EEE"/>
    <w:rsid w:val="008630FD"/>
    <w:rsid w:val="0086367C"/>
    <w:rsid w:val="00863A8E"/>
    <w:rsid w:val="0086407F"/>
    <w:rsid w:val="008645E3"/>
    <w:rsid w:val="00864E79"/>
    <w:rsid w:val="00865E04"/>
    <w:rsid w:val="0086661F"/>
    <w:rsid w:val="00866A0D"/>
    <w:rsid w:val="00866DB5"/>
    <w:rsid w:val="0086701D"/>
    <w:rsid w:val="0086702B"/>
    <w:rsid w:val="008672E2"/>
    <w:rsid w:val="00867424"/>
    <w:rsid w:val="00867438"/>
    <w:rsid w:val="008677BA"/>
    <w:rsid w:val="0086784E"/>
    <w:rsid w:val="0087121C"/>
    <w:rsid w:val="0087182E"/>
    <w:rsid w:val="00871AB8"/>
    <w:rsid w:val="00872084"/>
    <w:rsid w:val="00872827"/>
    <w:rsid w:val="00872A32"/>
    <w:rsid w:val="00873AA9"/>
    <w:rsid w:val="00874911"/>
    <w:rsid w:val="008754E4"/>
    <w:rsid w:val="00875A67"/>
    <w:rsid w:val="00875CA3"/>
    <w:rsid w:val="00876809"/>
    <w:rsid w:val="008768C0"/>
    <w:rsid w:val="00876C74"/>
    <w:rsid w:val="00876EAE"/>
    <w:rsid w:val="008775E5"/>
    <w:rsid w:val="0087768D"/>
    <w:rsid w:val="00880106"/>
    <w:rsid w:val="008802B3"/>
    <w:rsid w:val="0088039D"/>
    <w:rsid w:val="00880E00"/>
    <w:rsid w:val="00880F95"/>
    <w:rsid w:val="008821DB"/>
    <w:rsid w:val="008822E9"/>
    <w:rsid w:val="00882B44"/>
    <w:rsid w:val="00882F12"/>
    <w:rsid w:val="00882F7E"/>
    <w:rsid w:val="008831F3"/>
    <w:rsid w:val="008838AD"/>
    <w:rsid w:val="008838F7"/>
    <w:rsid w:val="008853CB"/>
    <w:rsid w:val="00885943"/>
    <w:rsid w:val="00885E42"/>
    <w:rsid w:val="008864B3"/>
    <w:rsid w:val="008865E5"/>
    <w:rsid w:val="008871B0"/>
    <w:rsid w:val="00887991"/>
    <w:rsid w:val="00890394"/>
    <w:rsid w:val="00890704"/>
    <w:rsid w:val="00890759"/>
    <w:rsid w:val="00890B57"/>
    <w:rsid w:val="00891034"/>
    <w:rsid w:val="008916BA"/>
    <w:rsid w:val="008917C1"/>
    <w:rsid w:val="0089189F"/>
    <w:rsid w:val="0089217C"/>
    <w:rsid w:val="008922AA"/>
    <w:rsid w:val="008925D1"/>
    <w:rsid w:val="00892790"/>
    <w:rsid w:val="0089320D"/>
    <w:rsid w:val="00893671"/>
    <w:rsid w:val="008948D5"/>
    <w:rsid w:val="00895838"/>
    <w:rsid w:val="00895A1E"/>
    <w:rsid w:val="00895A72"/>
    <w:rsid w:val="00895CDF"/>
    <w:rsid w:val="00896679"/>
    <w:rsid w:val="00896D8C"/>
    <w:rsid w:val="00897888"/>
    <w:rsid w:val="008A0009"/>
    <w:rsid w:val="008A021C"/>
    <w:rsid w:val="008A047A"/>
    <w:rsid w:val="008A05A1"/>
    <w:rsid w:val="008A0FC9"/>
    <w:rsid w:val="008A1946"/>
    <w:rsid w:val="008A1956"/>
    <w:rsid w:val="008A1A7C"/>
    <w:rsid w:val="008A1B11"/>
    <w:rsid w:val="008A1B40"/>
    <w:rsid w:val="008A1F8B"/>
    <w:rsid w:val="008A2404"/>
    <w:rsid w:val="008A2CE2"/>
    <w:rsid w:val="008A2DAE"/>
    <w:rsid w:val="008A3797"/>
    <w:rsid w:val="008A40D3"/>
    <w:rsid w:val="008A469C"/>
    <w:rsid w:val="008A51D1"/>
    <w:rsid w:val="008A581D"/>
    <w:rsid w:val="008A59F1"/>
    <w:rsid w:val="008A5DCE"/>
    <w:rsid w:val="008A5FCB"/>
    <w:rsid w:val="008A62D4"/>
    <w:rsid w:val="008A6727"/>
    <w:rsid w:val="008A690B"/>
    <w:rsid w:val="008A6C02"/>
    <w:rsid w:val="008A75D3"/>
    <w:rsid w:val="008A763D"/>
    <w:rsid w:val="008B05DD"/>
    <w:rsid w:val="008B1263"/>
    <w:rsid w:val="008B13AD"/>
    <w:rsid w:val="008B17E8"/>
    <w:rsid w:val="008B27CF"/>
    <w:rsid w:val="008B284C"/>
    <w:rsid w:val="008B2E7C"/>
    <w:rsid w:val="008B3948"/>
    <w:rsid w:val="008B43A4"/>
    <w:rsid w:val="008B44C3"/>
    <w:rsid w:val="008B45F0"/>
    <w:rsid w:val="008B4A70"/>
    <w:rsid w:val="008B502F"/>
    <w:rsid w:val="008B564B"/>
    <w:rsid w:val="008B5A30"/>
    <w:rsid w:val="008B5D78"/>
    <w:rsid w:val="008B649C"/>
    <w:rsid w:val="008B6DFC"/>
    <w:rsid w:val="008B7075"/>
    <w:rsid w:val="008B7227"/>
    <w:rsid w:val="008C015D"/>
    <w:rsid w:val="008C04A7"/>
    <w:rsid w:val="008C04E0"/>
    <w:rsid w:val="008C0B9E"/>
    <w:rsid w:val="008C191C"/>
    <w:rsid w:val="008C1BF8"/>
    <w:rsid w:val="008C1DA4"/>
    <w:rsid w:val="008C29B0"/>
    <w:rsid w:val="008C2CD5"/>
    <w:rsid w:val="008C3130"/>
    <w:rsid w:val="008C3618"/>
    <w:rsid w:val="008C407D"/>
    <w:rsid w:val="008C40FA"/>
    <w:rsid w:val="008C41E4"/>
    <w:rsid w:val="008C431C"/>
    <w:rsid w:val="008C43AD"/>
    <w:rsid w:val="008C5E40"/>
    <w:rsid w:val="008C6118"/>
    <w:rsid w:val="008C6341"/>
    <w:rsid w:val="008C6EE0"/>
    <w:rsid w:val="008C731F"/>
    <w:rsid w:val="008C74D9"/>
    <w:rsid w:val="008D05F0"/>
    <w:rsid w:val="008D1A1D"/>
    <w:rsid w:val="008D2144"/>
    <w:rsid w:val="008D2501"/>
    <w:rsid w:val="008D2FD3"/>
    <w:rsid w:val="008D36FC"/>
    <w:rsid w:val="008D3B2D"/>
    <w:rsid w:val="008D3EAA"/>
    <w:rsid w:val="008D4302"/>
    <w:rsid w:val="008D58D9"/>
    <w:rsid w:val="008D5AD4"/>
    <w:rsid w:val="008D64FD"/>
    <w:rsid w:val="008D6DD5"/>
    <w:rsid w:val="008D6E59"/>
    <w:rsid w:val="008D7155"/>
    <w:rsid w:val="008E09FF"/>
    <w:rsid w:val="008E0B29"/>
    <w:rsid w:val="008E1286"/>
    <w:rsid w:val="008E141A"/>
    <w:rsid w:val="008E1A44"/>
    <w:rsid w:val="008E28E6"/>
    <w:rsid w:val="008E2F24"/>
    <w:rsid w:val="008E3232"/>
    <w:rsid w:val="008E3674"/>
    <w:rsid w:val="008E3B6C"/>
    <w:rsid w:val="008E3F2B"/>
    <w:rsid w:val="008E3F52"/>
    <w:rsid w:val="008E5467"/>
    <w:rsid w:val="008E562C"/>
    <w:rsid w:val="008E5CC2"/>
    <w:rsid w:val="008E7064"/>
    <w:rsid w:val="008E77D4"/>
    <w:rsid w:val="008E7ADD"/>
    <w:rsid w:val="008F091F"/>
    <w:rsid w:val="008F0E50"/>
    <w:rsid w:val="008F10D1"/>
    <w:rsid w:val="008F17B2"/>
    <w:rsid w:val="008F1F4F"/>
    <w:rsid w:val="008F22B3"/>
    <w:rsid w:val="008F25B1"/>
    <w:rsid w:val="008F2D3A"/>
    <w:rsid w:val="008F2F7A"/>
    <w:rsid w:val="008F34D6"/>
    <w:rsid w:val="008F357B"/>
    <w:rsid w:val="008F44CA"/>
    <w:rsid w:val="008F49D3"/>
    <w:rsid w:val="008F4D7B"/>
    <w:rsid w:val="008F6519"/>
    <w:rsid w:val="008F6A59"/>
    <w:rsid w:val="008F6D04"/>
    <w:rsid w:val="008F7012"/>
    <w:rsid w:val="008F7ADA"/>
    <w:rsid w:val="008F7B17"/>
    <w:rsid w:val="00900042"/>
    <w:rsid w:val="0090034B"/>
    <w:rsid w:val="00901389"/>
    <w:rsid w:val="00901806"/>
    <w:rsid w:val="00901BBC"/>
    <w:rsid w:val="00901D87"/>
    <w:rsid w:val="00902623"/>
    <w:rsid w:val="009027E0"/>
    <w:rsid w:val="00902A67"/>
    <w:rsid w:val="00903179"/>
    <w:rsid w:val="00903501"/>
    <w:rsid w:val="009040DF"/>
    <w:rsid w:val="00904265"/>
    <w:rsid w:val="00904BE4"/>
    <w:rsid w:val="0090504A"/>
    <w:rsid w:val="0090516E"/>
    <w:rsid w:val="009051F5"/>
    <w:rsid w:val="00905221"/>
    <w:rsid w:val="00905A7C"/>
    <w:rsid w:val="00905D7E"/>
    <w:rsid w:val="00907037"/>
    <w:rsid w:val="0091112C"/>
    <w:rsid w:val="0091160A"/>
    <w:rsid w:val="00911FC9"/>
    <w:rsid w:val="00912E04"/>
    <w:rsid w:val="00913258"/>
    <w:rsid w:val="009139D4"/>
    <w:rsid w:val="00913BB0"/>
    <w:rsid w:val="0091456C"/>
    <w:rsid w:val="00914C58"/>
    <w:rsid w:val="0091564D"/>
    <w:rsid w:val="009156DA"/>
    <w:rsid w:val="00915774"/>
    <w:rsid w:val="009162EF"/>
    <w:rsid w:val="00916BC5"/>
    <w:rsid w:val="00916DD2"/>
    <w:rsid w:val="0091726A"/>
    <w:rsid w:val="00917C01"/>
    <w:rsid w:val="00920184"/>
    <w:rsid w:val="009209E2"/>
    <w:rsid w:val="00920A5F"/>
    <w:rsid w:val="00920EA4"/>
    <w:rsid w:val="00920EFA"/>
    <w:rsid w:val="0092138C"/>
    <w:rsid w:val="00921792"/>
    <w:rsid w:val="00921BEA"/>
    <w:rsid w:val="0092209F"/>
    <w:rsid w:val="00923179"/>
    <w:rsid w:val="009238FD"/>
    <w:rsid w:val="00923998"/>
    <w:rsid w:val="00923DB4"/>
    <w:rsid w:val="0092420B"/>
    <w:rsid w:val="0092430E"/>
    <w:rsid w:val="0092456F"/>
    <w:rsid w:val="00924758"/>
    <w:rsid w:val="00925AA4"/>
    <w:rsid w:val="00925D3E"/>
    <w:rsid w:val="00926112"/>
    <w:rsid w:val="0092625F"/>
    <w:rsid w:val="00926457"/>
    <w:rsid w:val="0092650B"/>
    <w:rsid w:val="009268B9"/>
    <w:rsid w:val="00926B28"/>
    <w:rsid w:val="00926D9C"/>
    <w:rsid w:val="00926ED8"/>
    <w:rsid w:val="00927028"/>
    <w:rsid w:val="00927763"/>
    <w:rsid w:val="00927A2D"/>
    <w:rsid w:val="00927B37"/>
    <w:rsid w:val="009321B1"/>
    <w:rsid w:val="0093279D"/>
    <w:rsid w:val="00932ED7"/>
    <w:rsid w:val="0093422D"/>
    <w:rsid w:val="00934237"/>
    <w:rsid w:val="009346CC"/>
    <w:rsid w:val="0093483B"/>
    <w:rsid w:val="00934CF9"/>
    <w:rsid w:val="00934DD7"/>
    <w:rsid w:val="00935905"/>
    <w:rsid w:val="00935C84"/>
    <w:rsid w:val="0093645D"/>
    <w:rsid w:val="009364F3"/>
    <w:rsid w:val="009366C5"/>
    <w:rsid w:val="009369A9"/>
    <w:rsid w:val="00936CF7"/>
    <w:rsid w:val="00936DAE"/>
    <w:rsid w:val="00937783"/>
    <w:rsid w:val="00937EAD"/>
    <w:rsid w:val="00937F28"/>
    <w:rsid w:val="00940A74"/>
    <w:rsid w:val="00940FE1"/>
    <w:rsid w:val="00941087"/>
    <w:rsid w:val="00942306"/>
    <w:rsid w:val="009424B8"/>
    <w:rsid w:val="009426C9"/>
    <w:rsid w:val="00942B18"/>
    <w:rsid w:val="00942D84"/>
    <w:rsid w:val="00942E14"/>
    <w:rsid w:val="009442A7"/>
    <w:rsid w:val="00944668"/>
    <w:rsid w:val="009448E4"/>
    <w:rsid w:val="00944AE8"/>
    <w:rsid w:val="00944DC6"/>
    <w:rsid w:val="0094581C"/>
    <w:rsid w:val="009458B0"/>
    <w:rsid w:val="009459C7"/>
    <w:rsid w:val="00945B52"/>
    <w:rsid w:val="00945B7A"/>
    <w:rsid w:val="00945F05"/>
    <w:rsid w:val="00945FB2"/>
    <w:rsid w:val="009461CB"/>
    <w:rsid w:val="00946348"/>
    <w:rsid w:val="009466F0"/>
    <w:rsid w:val="009467EC"/>
    <w:rsid w:val="00947308"/>
    <w:rsid w:val="00947797"/>
    <w:rsid w:val="009478A2"/>
    <w:rsid w:val="00947A97"/>
    <w:rsid w:val="00950066"/>
    <w:rsid w:val="00951467"/>
    <w:rsid w:val="00951784"/>
    <w:rsid w:val="00951C58"/>
    <w:rsid w:val="00951DC2"/>
    <w:rsid w:val="00952796"/>
    <w:rsid w:val="009532B9"/>
    <w:rsid w:val="009539A6"/>
    <w:rsid w:val="00953C13"/>
    <w:rsid w:val="00954032"/>
    <w:rsid w:val="0095408B"/>
    <w:rsid w:val="00955FBB"/>
    <w:rsid w:val="0095675A"/>
    <w:rsid w:val="0095694B"/>
    <w:rsid w:val="00956BD5"/>
    <w:rsid w:val="00956D84"/>
    <w:rsid w:val="009577B5"/>
    <w:rsid w:val="00957BD1"/>
    <w:rsid w:val="009608E6"/>
    <w:rsid w:val="00960F57"/>
    <w:rsid w:val="00960FB1"/>
    <w:rsid w:val="00961C90"/>
    <w:rsid w:val="009629AE"/>
    <w:rsid w:val="00962CB9"/>
    <w:rsid w:val="009640BA"/>
    <w:rsid w:val="00964A5C"/>
    <w:rsid w:val="00964B56"/>
    <w:rsid w:val="00964D38"/>
    <w:rsid w:val="00965276"/>
    <w:rsid w:val="00965443"/>
    <w:rsid w:val="00965954"/>
    <w:rsid w:val="00965E55"/>
    <w:rsid w:val="0096608E"/>
    <w:rsid w:val="00966522"/>
    <w:rsid w:val="00966C33"/>
    <w:rsid w:val="00966E09"/>
    <w:rsid w:val="009706C9"/>
    <w:rsid w:val="00970F18"/>
    <w:rsid w:val="00971CF1"/>
    <w:rsid w:val="00971CF5"/>
    <w:rsid w:val="00971F5D"/>
    <w:rsid w:val="009721E9"/>
    <w:rsid w:val="00973399"/>
    <w:rsid w:val="0097347E"/>
    <w:rsid w:val="0097369A"/>
    <w:rsid w:val="00973772"/>
    <w:rsid w:val="00974F2A"/>
    <w:rsid w:val="00975551"/>
    <w:rsid w:val="0097569E"/>
    <w:rsid w:val="00975E1E"/>
    <w:rsid w:val="00975E38"/>
    <w:rsid w:val="00975E70"/>
    <w:rsid w:val="009761DE"/>
    <w:rsid w:val="009766FA"/>
    <w:rsid w:val="00977701"/>
    <w:rsid w:val="00977B25"/>
    <w:rsid w:val="00977CD6"/>
    <w:rsid w:val="00977D7A"/>
    <w:rsid w:val="00980DF9"/>
    <w:rsid w:val="0098243D"/>
    <w:rsid w:val="00982D26"/>
    <w:rsid w:val="00983B6E"/>
    <w:rsid w:val="00983CC4"/>
    <w:rsid w:val="00983FE5"/>
    <w:rsid w:val="009848A6"/>
    <w:rsid w:val="009849E9"/>
    <w:rsid w:val="00984A24"/>
    <w:rsid w:val="009859E4"/>
    <w:rsid w:val="00985CC2"/>
    <w:rsid w:val="009868E7"/>
    <w:rsid w:val="00987146"/>
    <w:rsid w:val="00987812"/>
    <w:rsid w:val="00990225"/>
    <w:rsid w:val="00990C05"/>
    <w:rsid w:val="009920BB"/>
    <w:rsid w:val="00992A13"/>
    <w:rsid w:val="00992DC7"/>
    <w:rsid w:val="00993153"/>
    <w:rsid w:val="00994A01"/>
    <w:rsid w:val="00994AAD"/>
    <w:rsid w:val="00995150"/>
    <w:rsid w:val="00995B44"/>
    <w:rsid w:val="00995D67"/>
    <w:rsid w:val="00995DEB"/>
    <w:rsid w:val="00995E5F"/>
    <w:rsid w:val="00996479"/>
    <w:rsid w:val="00996ABD"/>
    <w:rsid w:val="00996D55"/>
    <w:rsid w:val="009A013B"/>
    <w:rsid w:val="009A02F4"/>
    <w:rsid w:val="009A06BF"/>
    <w:rsid w:val="009A0CA1"/>
    <w:rsid w:val="009A0D17"/>
    <w:rsid w:val="009A2438"/>
    <w:rsid w:val="009A2494"/>
    <w:rsid w:val="009A2691"/>
    <w:rsid w:val="009A32B1"/>
    <w:rsid w:val="009A36F2"/>
    <w:rsid w:val="009A3C58"/>
    <w:rsid w:val="009A3F71"/>
    <w:rsid w:val="009A40C3"/>
    <w:rsid w:val="009A40D5"/>
    <w:rsid w:val="009A56DD"/>
    <w:rsid w:val="009A57D0"/>
    <w:rsid w:val="009A5D9A"/>
    <w:rsid w:val="009A6559"/>
    <w:rsid w:val="009A68FC"/>
    <w:rsid w:val="009A6CE4"/>
    <w:rsid w:val="009A6D97"/>
    <w:rsid w:val="009A6E31"/>
    <w:rsid w:val="009A7069"/>
    <w:rsid w:val="009A7514"/>
    <w:rsid w:val="009A7E7A"/>
    <w:rsid w:val="009B1584"/>
    <w:rsid w:val="009B15BF"/>
    <w:rsid w:val="009B17F1"/>
    <w:rsid w:val="009B18F0"/>
    <w:rsid w:val="009B2471"/>
    <w:rsid w:val="009B2F5E"/>
    <w:rsid w:val="009B314F"/>
    <w:rsid w:val="009B439C"/>
    <w:rsid w:val="009B489B"/>
    <w:rsid w:val="009B4A6C"/>
    <w:rsid w:val="009B4DA8"/>
    <w:rsid w:val="009B4E73"/>
    <w:rsid w:val="009B615A"/>
    <w:rsid w:val="009B620C"/>
    <w:rsid w:val="009B6652"/>
    <w:rsid w:val="009B6753"/>
    <w:rsid w:val="009B676C"/>
    <w:rsid w:val="009B6A26"/>
    <w:rsid w:val="009B6D2D"/>
    <w:rsid w:val="009B7AC5"/>
    <w:rsid w:val="009C079D"/>
    <w:rsid w:val="009C0D70"/>
    <w:rsid w:val="009C13D1"/>
    <w:rsid w:val="009C1896"/>
    <w:rsid w:val="009C1C3C"/>
    <w:rsid w:val="009C2913"/>
    <w:rsid w:val="009C2AC3"/>
    <w:rsid w:val="009C2BD4"/>
    <w:rsid w:val="009C353C"/>
    <w:rsid w:val="009C5A70"/>
    <w:rsid w:val="009C5AFE"/>
    <w:rsid w:val="009C6325"/>
    <w:rsid w:val="009C6606"/>
    <w:rsid w:val="009C66EB"/>
    <w:rsid w:val="009C6CE5"/>
    <w:rsid w:val="009C6D50"/>
    <w:rsid w:val="009C7547"/>
    <w:rsid w:val="009C774F"/>
    <w:rsid w:val="009C7979"/>
    <w:rsid w:val="009C7DB6"/>
    <w:rsid w:val="009C7E6D"/>
    <w:rsid w:val="009C7EBF"/>
    <w:rsid w:val="009D05EC"/>
    <w:rsid w:val="009D0D0B"/>
    <w:rsid w:val="009D18D4"/>
    <w:rsid w:val="009D2276"/>
    <w:rsid w:val="009D25AD"/>
    <w:rsid w:val="009D2F60"/>
    <w:rsid w:val="009D3A2E"/>
    <w:rsid w:val="009D4140"/>
    <w:rsid w:val="009D4177"/>
    <w:rsid w:val="009D4D49"/>
    <w:rsid w:val="009D51EE"/>
    <w:rsid w:val="009D5982"/>
    <w:rsid w:val="009D5ADE"/>
    <w:rsid w:val="009D5BAC"/>
    <w:rsid w:val="009D5C56"/>
    <w:rsid w:val="009D6265"/>
    <w:rsid w:val="009D64BD"/>
    <w:rsid w:val="009D6BF0"/>
    <w:rsid w:val="009D6CB1"/>
    <w:rsid w:val="009D768F"/>
    <w:rsid w:val="009D7730"/>
    <w:rsid w:val="009E0286"/>
    <w:rsid w:val="009E153F"/>
    <w:rsid w:val="009E19CD"/>
    <w:rsid w:val="009E322A"/>
    <w:rsid w:val="009E393E"/>
    <w:rsid w:val="009E3A42"/>
    <w:rsid w:val="009E3F00"/>
    <w:rsid w:val="009E4224"/>
    <w:rsid w:val="009E444E"/>
    <w:rsid w:val="009E4831"/>
    <w:rsid w:val="009E4968"/>
    <w:rsid w:val="009E500A"/>
    <w:rsid w:val="009E663C"/>
    <w:rsid w:val="009E684A"/>
    <w:rsid w:val="009E6BB1"/>
    <w:rsid w:val="009E6E14"/>
    <w:rsid w:val="009E7543"/>
    <w:rsid w:val="009E7D93"/>
    <w:rsid w:val="009F0494"/>
    <w:rsid w:val="009F0687"/>
    <w:rsid w:val="009F0860"/>
    <w:rsid w:val="009F0CD9"/>
    <w:rsid w:val="009F0D7A"/>
    <w:rsid w:val="009F174B"/>
    <w:rsid w:val="009F1A79"/>
    <w:rsid w:val="009F1EB3"/>
    <w:rsid w:val="009F1F57"/>
    <w:rsid w:val="009F22F5"/>
    <w:rsid w:val="009F2DDD"/>
    <w:rsid w:val="009F3447"/>
    <w:rsid w:val="009F37CC"/>
    <w:rsid w:val="009F3C82"/>
    <w:rsid w:val="009F4B2E"/>
    <w:rsid w:val="009F55D0"/>
    <w:rsid w:val="009F566E"/>
    <w:rsid w:val="009F6156"/>
    <w:rsid w:val="009F65F4"/>
    <w:rsid w:val="009F676B"/>
    <w:rsid w:val="009F6B01"/>
    <w:rsid w:val="009F6D2D"/>
    <w:rsid w:val="009F6D54"/>
    <w:rsid w:val="00A0011A"/>
    <w:rsid w:val="00A004DF"/>
    <w:rsid w:val="00A00ED7"/>
    <w:rsid w:val="00A00FD5"/>
    <w:rsid w:val="00A010CE"/>
    <w:rsid w:val="00A019A8"/>
    <w:rsid w:val="00A01B03"/>
    <w:rsid w:val="00A01B89"/>
    <w:rsid w:val="00A02B7A"/>
    <w:rsid w:val="00A02C66"/>
    <w:rsid w:val="00A02C84"/>
    <w:rsid w:val="00A03C49"/>
    <w:rsid w:val="00A04407"/>
    <w:rsid w:val="00A045BC"/>
    <w:rsid w:val="00A0464C"/>
    <w:rsid w:val="00A050BB"/>
    <w:rsid w:val="00A05496"/>
    <w:rsid w:val="00A054E0"/>
    <w:rsid w:val="00A05D91"/>
    <w:rsid w:val="00A07155"/>
    <w:rsid w:val="00A0740B"/>
    <w:rsid w:val="00A07A01"/>
    <w:rsid w:val="00A07D60"/>
    <w:rsid w:val="00A07ED3"/>
    <w:rsid w:val="00A10CA8"/>
    <w:rsid w:val="00A11042"/>
    <w:rsid w:val="00A11503"/>
    <w:rsid w:val="00A12579"/>
    <w:rsid w:val="00A12846"/>
    <w:rsid w:val="00A128B6"/>
    <w:rsid w:val="00A128F3"/>
    <w:rsid w:val="00A133D8"/>
    <w:rsid w:val="00A145A3"/>
    <w:rsid w:val="00A14D42"/>
    <w:rsid w:val="00A15655"/>
    <w:rsid w:val="00A1740C"/>
    <w:rsid w:val="00A17FF3"/>
    <w:rsid w:val="00A20069"/>
    <w:rsid w:val="00A2035A"/>
    <w:rsid w:val="00A2113D"/>
    <w:rsid w:val="00A213BC"/>
    <w:rsid w:val="00A2244D"/>
    <w:rsid w:val="00A2253D"/>
    <w:rsid w:val="00A22D47"/>
    <w:rsid w:val="00A23C65"/>
    <w:rsid w:val="00A247B8"/>
    <w:rsid w:val="00A2495A"/>
    <w:rsid w:val="00A24ADA"/>
    <w:rsid w:val="00A24C7A"/>
    <w:rsid w:val="00A24D8F"/>
    <w:rsid w:val="00A24F4E"/>
    <w:rsid w:val="00A255F2"/>
    <w:rsid w:val="00A25B8B"/>
    <w:rsid w:val="00A25BF9"/>
    <w:rsid w:val="00A2689F"/>
    <w:rsid w:val="00A26ECA"/>
    <w:rsid w:val="00A27461"/>
    <w:rsid w:val="00A27C86"/>
    <w:rsid w:val="00A3082A"/>
    <w:rsid w:val="00A309D3"/>
    <w:rsid w:val="00A30ABC"/>
    <w:rsid w:val="00A31381"/>
    <w:rsid w:val="00A31CE3"/>
    <w:rsid w:val="00A321A9"/>
    <w:rsid w:val="00A32D7B"/>
    <w:rsid w:val="00A32D8D"/>
    <w:rsid w:val="00A3353D"/>
    <w:rsid w:val="00A33800"/>
    <w:rsid w:val="00A34304"/>
    <w:rsid w:val="00A3467F"/>
    <w:rsid w:val="00A34B4C"/>
    <w:rsid w:val="00A35030"/>
    <w:rsid w:val="00A3551A"/>
    <w:rsid w:val="00A369E4"/>
    <w:rsid w:val="00A36E04"/>
    <w:rsid w:val="00A37209"/>
    <w:rsid w:val="00A37584"/>
    <w:rsid w:val="00A376E8"/>
    <w:rsid w:val="00A37E33"/>
    <w:rsid w:val="00A37F8E"/>
    <w:rsid w:val="00A40612"/>
    <w:rsid w:val="00A41063"/>
    <w:rsid w:val="00A41537"/>
    <w:rsid w:val="00A41737"/>
    <w:rsid w:val="00A41F4F"/>
    <w:rsid w:val="00A41F96"/>
    <w:rsid w:val="00A42A5F"/>
    <w:rsid w:val="00A42B8F"/>
    <w:rsid w:val="00A42D8E"/>
    <w:rsid w:val="00A43241"/>
    <w:rsid w:val="00A43254"/>
    <w:rsid w:val="00A43896"/>
    <w:rsid w:val="00A43A26"/>
    <w:rsid w:val="00A43C30"/>
    <w:rsid w:val="00A43CFC"/>
    <w:rsid w:val="00A44739"/>
    <w:rsid w:val="00A447A0"/>
    <w:rsid w:val="00A44EC5"/>
    <w:rsid w:val="00A459F5"/>
    <w:rsid w:val="00A45CA4"/>
    <w:rsid w:val="00A45FC0"/>
    <w:rsid w:val="00A47ECC"/>
    <w:rsid w:val="00A50171"/>
    <w:rsid w:val="00A503CA"/>
    <w:rsid w:val="00A504C3"/>
    <w:rsid w:val="00A504FA"/>
    <w:rsid w:val="00A50D46"/>
    <w:rsid w:val="00A5102E"/>
    <w:rsid w:val="00A5132E"/>
    <w:rsid w:val="00A51375"/>
    <w:rsid w:val="00A51533"/>
    <w:rsid w:val="00A51A44"/>
    <w:rsid w:val="00A531D4"/>
    <w:rsid w:val="00A54572"/>
    <w:rsid w:val="00A55300"/>
    <w:rsid w:val="00A5586B"/>
    <w:rsid w:val="00A56456"/>
    <w:rsid w:val="00A56DB4"/>
    <w:rsid w:val="00A574C9"/>
    <w:rsid w:val="00A575B8"/>
    <w:rsid w:val="00A600F5"/>
    <w:rsid w:val="00A60274"/>
    <w:rsid w:val="00A61071"/>
    <w:rsid w:val="00A616B4"/>
    <w:rsid w:val="00A61C60"/>
    <w:rsid w:val="00A61ECB"/>
    <w:rsid w:val="00A62528"/>
    <w:rsid w:val="00A62928"/>
    <w:rsid w:val="00A62C0B"/>
    <w:rsid w:val="00A62E93"/>
    <w:rsid w:val="00A63002"/>
    <w:rsid w:val="00A630EC"/>
    <w:rsid w:val="00A6410C"/>
    <w:rsid w:val="00A64742"/>
    <w:rsid w:val="00A647B1"/>
    <w:rsid w:val="00A647CA"/>
    <w:rsid w:val="00A64D2A"/>
    <w:rsid w:val="00A64DEF"/>
    <w:rsid w:val="00A654D2"/>
    <w:rsid w:val="00A65F33"/>
    <w:rsid w:val="00A665DF"/>
    <w:rsid w:val="00A66ABC"/>
    <w:rsid w:val="00A67934"/>
    <w:rsid w:val="00A67FCC"/>
    <w:rsid w:val="00A70AA5"/>
    <w:rsid w:val="00A70C03"/>
    <w:rsid w:val="00A70ECB"/>
    <w:rsid w:val="00A71256"/>
    <w:rsid w:val="00A71B72"/>
    <w:rsid w:val="00A7217B"/>
    <w:rsid w:val="00A737EE"/>
    <w:rsid w:val="00A73861"/>
    <w:rsid w:val="00A739A6"/>
    <w:rsid w:val="00A740ED"/>
    <w:rsid w:val="00A74189"/>
    <w:rsid w:val="00A74C62"/>
    <w:rsid w:val="00A75EF9"/>
    <w:rsid w:val="00A76D8B"/>
    <w:rsid w:val="00A80230"/>
    <w:rsid w:val="00A802E1"/>
    <w:rsid w:val="00A803D4"/>
    <w:rsid w:val="00A817FD"/>
    <w:rsid w:val="00A81F88"/>
    <w:rsid w:val="00A82149"/>
    <w:rsid w:val="00A8311C"/>
    <w:rsid w:val="00A833B3"/>
    <w:rsid w:val="00A835D0"/>
    <w:rsid w:val="00A83773"/>
    <w:rsid w:val="00A844FF"/>
    <w:rsid w:val="00A846C7"/>
    <w:rsid w:val="00A8479C"/>
    <w:rsid w:val="00A84C5F"/>
    <w:rsid w:val="00A84DC1"/>
    <w:rsid w:val="00A85930"/>
    <w:rsid w:val="00A85A37"/>
    <w:rsid w:val="00A863F7"/>
    <w:rsid w:val="00A86604"/>
    <w:rsid w:val="00A8718B"/>
    <w:rsid w:val="00A871B4"/>
    <w:rsid w:val="00A87519"/>
    <w:rsid w:val="00A87538"/>
    <w:rsid w:val="00A877A2"/>
    <w:rsid w:val="00A87D86"/>
    <w:rsid w:val="00A90E3A"/>
    <w:rsid w:val="00A9246D"/>
    <w:rsid w:val="00A93901"/>
    <w:rsid w:val="00A93938"/>
    <w:rsid w:val="00A939C8"/>
    <w:rsid w:val="00A93BD0"/>
    <w:rsid w:val="00A93CB0"/>
    <w:rsid w:val="00A93CC2"/>
    <w:rsid w:val="00A94CBC"/>
    <w:rsid w:val="00A9666D"/>
    <w:rsid w:val="00A974CC"/>
    <w:rsid w:val="00A978A8"/>
    <w:rsid w:val="00A97E93"/>
    <w:rsid w:val="00AA007D"/>
    <w:rsid w:val="00AA0AAF"/>
    <w:rsid w:val="00AA0CFB"/>
    <w:rsid w:val="00AA1A46"/>
    <w:rsid w:val="00AA1EB4"/>
    <w:rsid w:val="00AA2001"/>
    <w:rsid w:val="00AA21AE"/>
    <w:rsid w:val="00AA243C"/>
    <w:rsid w:val="00AA2B5C"/>
    <w:rsid w:val="00AA32D2"/>
    <w:rsid w:val="00AA33B8"/>
    <w:rsid w:val="00AA385B"/>
    <w:rsid w:val="00AA4016"/>
    <w:rsid w:val="00AA4C1F"/>
    <w:rsid w:val="00AA5328"/>
    <w:rsid w:val="00AA5393"/>
    <w:rsid w:val="00AA63D4"/>
    <w:rsid w:val="00AA7561"/>
    <w:rsid w:val="00AA7F1E"/>
    <w:rsid w:val="00AB03FD"/>
    <w:rsid w:val="00AB09EC"/>
    <w:rsid w:val="00AB0CAA"/>
    <w:rsid w:val="00AB167E"/>
    <w:rsid w:val="00AB2000"/>
    <w:rsid w:val="00AB2824"/>
    <w:rsid w:val="00AB282C"/>
    <w:rsid w:val="00AB2F57"/>
    <w:rsid w:val="00AB38CB"/>
    <w:rsid w:val="00AB3BEC"/>
    <w:rsid w:val="00AB425E"/>
    <w:rsid w:val="00AB44E4"/>
    <w:rsid w:val="00AB4AEB"/>
    <w:rsid w:val="00AB4E5F"/>
    <w:rsid w:val="00AB5352"/>
    <w:rsid w:val="00AB569B"/>
    <w:rsid w:val="00AB56AE"/>
    <w:rsid w:val="00AB5745"/>
    <w:rsid w:val="00AB5D0E"/>
    <w:rsid w:val="00AB62D5"/>
    <w:rsid w:val="00AB65B5"/>
    <w:rsid w:val="00AB661F"/>
    <w:rsid w:val="00AB6B8F"/>
    <w:rsid w:val="00AB6DCD"/>
    <w:rsid w:val="00AB6EE0"/>
    <w:rsid w:val="00AB7BA1"/>
    <w:rsid w:val="00AC0298"/>
    <w:rsid w:val="00AC0472"/>
    <w:rsid w:val="00AC0516"/>
    <w:rsid w:val="00AC1418"/>
    <w:rsid w:val="00AC1432"/>
    <w:rsid w:val="00AC17A2"/>
    <w:rsid w:val="00AC40B7"/>
    <w:rsid w:val="00AC531F"/>
    <w:rsid w:val="00AC5B36"/>
    <w:rsid w:val="00AC62ED"/>
    <w:rsid w:val="00AC6377"/>
    <w:rsid w:val="00AC6450"/>
    <w:rsid w:val="00AC66A4"/>
    <w:rsid w:val="00AC6CB1"/>
    <w:rsid w:val="00AC7353"/>
    <w:rsid w:val="00AC735F"/>
    <w:rsid w:val="00AC7D6D"/>
    <w:rsid w:val="00AD0091"/>
    <w:rsid w:val="00AD23EF"/>
    <w:rsid w:val="00AD2578"/>
    <w:rsid w:val="00AD2662"/>
    <w:rsid w:val="00AD2A90"/>
    <w:rsid w:val="00AD2B01"/>
    <w:rsid w:val="00AD307B"/>
    <w:rsid w:val="00AD4014"/>
    <w:rsid w:val="00AD41B3"/>
    <w:rsid w:val="00AD4511"/>
    <w:rsid w:val="00AD5059"/>
    <w:rsid w:val="00AD5455"/>
    <w:rsid w:val="00AD5D51"/>
    <w:rsid w:val="00AD65CD"/>
    <w:rsid w:val="00AD69F0"/>
    <w:rsid w:val="00AD7127"/>
    <w:rsid w:val="00AD730C"/>
    <w:rsid w:val="00AD73D4"/>
    <w:rsid w:val="00AD75BD"/>
    <w:rsid w:val="00AE060D"/>
    <w:rsid w:val="00AE123A"/>
    <w:rsid w:val="00AE1539"/>
    <w:rsid w:val="00AE28A7"/>
    <w:rsid w:val="00AE2A98"/>
    <w:rsid w:val="00AE2CF2"/>
    <w:rsid w:val="00AE2F5D"/>
    <w:rsid w:val="00AE3012"/>
    <w:rsid w:val="00AE33A6"/>
    <w:rsid w:val="00AE3729"/>
    <w:rsid w:val="00AE47A3"/>
    <w:rsid w:val="00AE4CCE"/>
    <w:rsid w:val="00AE501F"/>
    <w:rsid w:val="00AE559F"/>
    <w:rsid w:val="00AE567A"/>
    <w:rsid w:val="00AE56D5"/>
    <w:rsid w:val="00AE5C6A"/>
    <w:rsid w:val="00AE63C0"/>
    <w:rsid w:val="00AE6E87"/>
    <w:rsid w:val="00AE7280"/>
    <w:rsid w:val="00AE76E4"/>
    <w:rsid w:val="00AF033A"/>
    <w:rsid w:val="00AF1521"/>
    <w:rsid w:val="00AF1699"/>
    <w:rsid w:val="00AF16ED"/>
    <w:rsid w:val="00AF1FD3"/>
    <w:rsid w:val="00AF1FFC"/>
    <w:rsid w:val="00AF2910"/>
    <w:rsid w:val="00AF34B8"/>
    <w:rsid w:val="00AF36A1"/>
    <w:rsid w:val="00AF36D6"/>
    <w:rsid w:val="00AF3896"/>
    <w:rsid w:val="00AF3911"/>
    <w:rsid w:val="00AF3FC2"/>
    <w:rsid w:val="00AF4105"/>
    <w:rsid w:val="00AF4CC9"/>
    <w:rsid w:val="00AF5134"/>
    <w:rsid w:val="00AF5382"/>
    <w:rsid w:val="00AF55A9"/>
    <w:rsid w:val="00AF6BAF"/>
    <w:rsid w:val="00AF7193"/>
    <w:rsid w:val="00B0098A"/>
    <w:rsid w:val="00B00A5F"/>
    <w:rsid w:val="00B014D9"/>
    <w:rsid w:val="00B01894"/>
    <w:rsid w:val="00B029B8"/>
    <w:rsid w:val="00B02F60"/>
    <w:rsid w:val="00B032B8"/>
    <w:rsid w:val="00B03DCD"/>
    <w:rsid w:val="00B04539"/>
    <w:rsid w:val="00B0455C"/>
    <w:rsid w:val="00B046AF"/>
    <w:rsid w:val="00B04B15"/>
    <w:rsid w:val="00B04B46"/>
    <w:rsid w:val="00B0534D"/>
    <w:rsid w:val="00B054A1"/>
    <w:rsid w:val="00B05685"/>
    <w:rsid w:val="00B05D1A"/>
    <w:rsid w:val="00B05F9F"/>
    <w:rsid w:val="00B06368"/>
    <w:rsid w:val="00B06695"/>
    <w:rsid w:val="00B068DA"/>
    <w:rsid w:val="00B06FC6"/>
    <w:rsid w:val="00B07281"/>
    <w:rsid w:val="00B074C9"/>
    <w:rsid w:val="00B07B3E"/>
    <w:rsid w:val="00B07D9D"/>
    <w:rsid w:val="00B10933"/>
    <w:rsid w:val="00B11AE5"/>
    <w:rsid w:val="00B11B06"/>
    <w:rsid w:val="00B12133"/>
    <w:rsid w:val="00B12170"/>
    <w:rsid w:val="00B12D2E"/>
    <w:rsid w:val="00B12FE6"/>
    <w:rsid w:val="00B1303F"/>
    <w:rsid w:val="00B13589"/>
    <w:rsid w:val="00B1364A"/>
    <w:rsid w:val="00B13859"/>
    <w:rsid w:val="00B14319"/>
    <w:rsid w:val="00B14875"/>
    <w:rsid w:val="00B148A4"/>
    <w:rsid w:val="00B14A06"/>
    <w:rsid w:val="00B14D80"/>
    <w:rsid w:val="00B158E1"/>
    <w:rsid w:val="00B16337"/>
    <w:rsid w:val="00B16715"/>
    <w:rsid w:val="00B169E0"/>
    <w:rsid w:val="00B1768E"/>
    <w:rsid w:val="00B1778A"/>
    <w:rsid w:val="00B17910"/>
    <w:rsid w:val="00B17F0C"/>
    <w:rsid w:val="00B20BDC"/>
    <w:rsid w:val="00B20F04"/>
    <w:rsid w:val="00B20F18"/>
    <w:rsid w:val="00B21516"/>
    <w:rsid w:val="00B21A37"/>
    <w:rsid w:val="00B21F62"/>
    <w:rsid w:val="00B220CA"/>
    <w:rsid w:val="00B22AD6"/>
    <w:rsid w:val="00B22CE0"/>
    <w:rsid w:val="00B233DF"/>
    <w:rsid w:val="00B23738"/>
    <w:rsid w:val="00B23BEF"/>
    <w:rsid w:val="00B247BB"/>
    <w:rsid w:val="00B2504A"/>
    <w:rsid w:val="00B25EE6"/>
    <w:rsid w:val="00B2708B"/>
    <w:rsid w:val="00B27FE2"/>
    <w:rsid w:val="00B30296"/>
    <w:rsid w:val="00B308CE"/>
    <w:rsid w:val="00B3115A"/>
    <w:rsid w:val="00B31825"/>
    <w:rsid w:val="00B31A5C"/>
    <w:rsid w:val="00B32629"/>
    <w:rsid w:val="00B32E17"/>
    <w:rsid w:val="00B3383D"/>
    <w:rsid w:val="00B33901"/>
    <w:rsid w:val="00B33A18"/>
    <w:rsid w:val="00B33B06"/>
    <w:rsid w:val="00B33C19"/>
    <w:rsid w:val="00B33FBB"/>
    <w:rsid w:val="00B340ED"/>
    <w:rsid w:val="00B34383"/>
    <w:rsid w:val="00B34A0D"/>
    <w:rsid w:val="00B34DD8"/>
    <w:rsid w:val="00B34FCD"/>
    <w:rsid w:val="00B35A15"/>
    <w:rsid w:val="00B36A99"/>
    <w:rsid w:val="00B378E1"/>
    <w:rsid w:val="00B40140"/>
    <w:rsid w:val="00B41CCC"/>
    <w:rsid w:val="00B42264"/>
    <w:rsid w:val="00B42278"/>
    <w:rsid w:val="00B42577"/>
    <w:rsid w:val="00B425ED"/>
    <w:rsid w:val="00B428CB"/>
    <w:rsid w:val="00B434B2"/>
    <w:rsid w:val="00B4390A"/>
    <w:rsid w:val="00B43D45"/>
    <w:rsid w:val="00B44244"/>
    <w:rsid w:val="00B449ED"/>
    <w:rsid w:val="00B45A2B"/>
    <w:rsid w:val="00B468F2"/>
    <w:rsid w:val="00B469DE"/>
    <w:rsid w:val="00B46BE2"/>
    <w:rsid w:val="00B47286"/>
    <w:rsid w:val="00B47712"/>
    <w:rsid w:val="00B50234"/>
    <w:rsid w:val="00B50C40"/>
    <w:rsid w:val="00B5180A"/>
    <w:rsid w:val="00B5197F"/>
    <w:rsid w:val="00B51BF4"/>
    <w:rsid w:val="00B52577"/>
    <w:rsid w:val="00B52C68"/>
    <w:rsid w:val="00B5416C"/>
    <w:rsid w:val="00B54288"/>
    <w:rsid w:val="00B542FE"/>
    <w:rsid w:val="00B5458B"/>
    <w:rsid w:val="00B5541F"/>
    <w:rsid w:val="00B55A1B"/>
    <w:rsid w:val="00B561DB"/>
    <w:rsid w:val="00B56DF9"/>
    <w:rsid w:val="00B5739E"/>
    <w:rsid w:val="00B600BD"/>
    <w:rsid w:val="00B60443"/>
    <w:rsid w:val="00B60E4F"/>
    <w:rsid w:val="00B61274"/>
    <w:rsid w:val="00B61DCE"/>
    <w:rsid w:val="00B61F69"/>
    <w:rsid w:val="00B62188"/>
    <w:rsid w:val="00B62C2C"/>
    <w:rsid w:val="00B62F79"/>
    <w:rsid w:val="00B62F82"/>
    <w:rsid w:val="00B6306A"/>
    <w:rsid w:val="00B63277"/>
    <w:rsid w:val="00B635E3"/>
    <w:rsid w:val="00B656B4"/>
    <w:rsid w:val="00B658F7"/>
    <w:rsid w:val="00B662FF"/>
    <w:rsid w:val="00B66679"/>
    <w:rsid w:val="00B67EEA"/>
    <w:rsid w:val="00B70145"/>
    <w:rsid w:val="00B70908"/>
    <w:rsid w:val="00B70F88"/>
    <w:rsid w:val="00B71659"/>
    <w:rsid w:val="00B71A92"/>
    <w:rsid w:val="00B721D8"/>
    <w:rsid w:val="00B730CA"/>
    <w:rsid w:val="00B7366F"/>
    <w:rsid w:val="00B747C5"/>
    <w:rsid w:val="00B74CA9"/>
    <w:rsid w:val="00B74F2F"/>
    <w:rsid w:val="00B753ED"/>
    <w:rsid w:val="00B7588E"/>
    <w:rsid w:val="00B769BC"/>
    <w:rsid w:val="00B76AD2"/>
    <w:rsid w:val="00B77349"/>
    <w:rsid w:val="00B7749E"/>
    <w:rsid w:val="00B7761E"/>
    <w:rsid w:val="00B801EC"/>
    <w:rsid w:val="00B8046D"/>
    <w:rsid w:val="00B80A3D"/>
    <w:rsid w:val="00B80B04"/>
    <w:rsid w:val="00B821E4"/>
    <w:rsid w:val="00B823E0"/>
    <w:rsid w:val="00B8260D"/>
    <w:rsid w:val="00B82B78"/>
    <w:rsid w:val="00B82B91"/>
    <w:rsid w:val="00B8398C"/>
    <w:rsid w:val="00B83A3B"/>
    <w:rsid w:val="00B83CE6"/>
    <w:rsid w:val="00B83FC9"/>
    <w:rsid w:val="00B845B4"/>
    <w:rsid w:val="00B84662"/>
    <w:rsid w:val="00B84C74"/>
    <w:rsid w:val="00B8506E"/>
    <w:rsid w:val="00B85191"/>
    <w:rsid w:val="00B85540"/>
    <w:rsid w:val="00B857CA"/>
    <w:rsid w:val="00B858A1"/>
    <w:rsid w:val="00B859CB"/>
    <w:rsid w:val="00B85FEC"/>
    <w:rsid w:val="00B8612D"/>
    <w:rsid w:val="00B864A3"/>
    <w:rsid w:val="00B86856"/>
    <w:rsid w:val="00B86C2A"/>
    <w:rsid w:val="00B86E19"/>
    <w:rsid w:val="00B87A3E"/>
    <w:rsid w:val="00B87B06"/>
    <w:rsid w:val="00B902A5"/>
    <w:rsid w:val="00B90420"/>
    <w:rsid w:val="00B90848"/>
    <w:rsid w:val="00B91146"/>
    <w:rsid w:val="00B9128C"/>
    <w:rsid w:val="00B912C6"/>
    <w:rsid w:val="00B913E4"/>
    <w:rsid w:val="00B91DB9"/>
    <w:rsid w:val="00B91DD7"/>
    <w:rsid w:val="00B922D8"/>
    <w:rsid w:val="00B938E6"/>
    <w:rsid w:val="00B93BFD"/>
    <w:rsid w:val="00B93D65"/>
    <w:rsid w:val="00B93EFE"/>
    <w:rsid w:val="00B944B9"/>
    <w:rsid w:val="00B94956"/>
    <w:rsid w:val="00B94A8B"/>
    <w:rsid w:val="00B94C7F"/>
    <w:rsid w:val="00B94E93"/>
    <w:rsid w:val="00B95671"/>
    <w:rsid w:val="00B956B5"/>
    <w:rsid w:val="00B95CD9"/>
    <w:rsid w:val="00B95D75"/>
    <w:rsid w:val="00B96DF2"/>
    <w:rsid w:val="00B96E18"/>
    <w:rsid w:val="00B96F5A"/>
    <w:rsid w:val="00B97847"/>
    <w:rsid w:val="00B97EA4"/>
    <w:rsid w:val="00BA0B39"/>
    <w:rsid w:val="00BA0CB2"/>
    <w:rsid w:val="00BA0E26"/>
    <w:rsid w:val="00BA138B"/>
    <w:rsid w:val="00BA305B"/>
    <w:rsid w:val="00BA31BF"/>
    <w:rsid w:val="00BA3FC7"/>
    <w:rsid w:val="00BA4074"/>
    <w:rsid w:val="00BA416A"/>
    <w:rsid w:val="00BA4494"/>
    <w:rsid w:val="00BA478B"/>
    <w:rsid w:val="00BA4960"/>
    <w:rsid w:val="00BA50CE"/>
    <w:rsid w:val="00BA5224"/>
    <w:rsid w:val="00BA5427"/>
    <w:rsid w:val="00BA575E"/>
    <w:rsid w:val="00BA6CF9"/>
    <w:rsid w:val="00BA6EEC"/>
    <w:rsid w:val="00BA72EE"/>
    <w:rsid w:val="00BA76B7"/>
    <w:rsid w:val="00BA7DDC"/>
    <w:rsid w:val="00BA7E3B"/>
    <w:rsid w:val="00BB078D"/>
    <w:rsid w:val="00BB079C"/>
    <w:rsid w:val="00BB0D7A"/>
    <w:rsid w:val="00BB0DAF"/>
    <w:rsid w:val="00BB10E1"/>
    <w:rsid w:val="00BB118F"/>
    <w:rsid w:val="00BB2471"/>
    <w:rsid w:val="00BB3035"/>
    <w:rsid w:val="00BB35DB"/>
    <w:rsid w:val="00BB39C1"/>
    <w:rsid w:val="00BB3DF5"/>
    <w:rsid w:val="00BB43DD"/>
    <w:rsid w:val="00BB5D16"/>
    <w:rsid w:val="00BB6180"/>
    <w:rsid w:val="00BB69E6"/>
    <w:rsid w:val="00BB6CAB"/>
    <w:rsid w:val="00BB7BE5"/>
    <w:rsid w:val="00BB7E05"/>
    <w:rsid w:val="00BC0050"/>
    <w:rsid w:val="00BC08BD"/>
    <w:rsid w:val="00BC11E8"/>
    <w:rsid w:val="00BC17BC"/>
    <w:rsid w:val="00BC1A41"/>
    <w:rsid w:val="00BC1B7A"/>
    <w:rsid w:val="00BC2C17"/>
    <w:rsid w:val="00BC34A8"/>
    <w:rsid w:val="00BC3A02"/>
    <w:rsid w:val="00BC3ACD"/>
    <w:rsid w:val="00BC3B20"/>
    <w:rsid w:val="00BC3EE4"/>
    <w:rsid w:val="00BC4387"/>
    <w:rsid w:val="00BC49B3"/>
    <w:rsid w:val="00BC514D"/>
    <w:rsid w:val="00BC57DF"/>
    <w:rsid w:val="00BC588C"/>
    <w:rsid w:val="00BC5B3F"/>
    <w:rsid w:val="00BC6E73"/>
    <w:rsid w:val="00BC745A"/>
    <w:rsid w:val="00BC74D3"/>
    <w:rsid w:val="00BD0014"/>
    <w:rsid w:val="00BD01D8"/>
    <w:rsid w:val="00BD1630"/>
    <w:rsid w:val="00BD2148"/>
    <w:rsid w:val="00BD24F8"/>
    <w:rsid w:val="00BD255F"/>
    <w:rsid w:val="00BD2895"/>
    <w:rsid w:val="00BD4236"/>
    <w:rsid w:val="00BD483B"/>
    <w:rsid w:val="00BD4978"/>
    <w:rsid w:val="00BD5993"/>
    <w:rsid w:val="00BD5A60"/>
    <w:rsid w:val="00BD5CD4"/>
    <w:rsid w:val="00BD65D9"/>
    <w:rsid w:val="00BD6DF3"/>
    <w:rsid w:val="00BD6E09"/>
    <w:rsid w:val="00BD6EF9"/>
    <w:rsid w:val="00BD783B"/>
    <w:rsid w:val="00BE0ACB"/>
    <w:rsid w:val="00BE1A90"/>
    <w:rsid w:val="00BE2260"/>
    <w:rsid w:val="00BE3917"/>
    <w:rsid w:val="00BE4D3E"/>
    <w:rsid w:val="00BE50FD"/>
    <w:rsid w:val="00BE51CA"/>
    <w:rsid w:val="00BE537F"/>
    <w:rsid w:val="00BE5A89"/>
    <w:rsid w:val="00BE5D77"/>
    <w:rsid w:val="00BE6D47"/>
    <w:rsid w:val="00BE7032"/>
    <w:rsid w:val="00BE7330"/>
    <w:rsid w:val="00BE75E3"/>
    <w:rsid w:val="00BF01C5"/>
    <w:rsid w:val="00BF061A"/>
    <w:rsid w:val="00BF066A"/>
    <w:rsid w:val="00BF0E58"/>
    <w:rsid w:val="00BF14CC"/>
    <w:rsid w:val="00BF1821"/>
    <w:rsid w:val="00BF3EB9"/>
    <w:rsid w:val="00BF4256"/>
    <w:rsid w:val="00BF42D2"/>
    <w:rsid w:val="00BF4342"/>
    <w:rsid w:val="00BF4704"/>
    <w:rsid w:val="00BF4CFB"/>
    <w:rsid w:val="00BF4FFC"/>
    <w:rsid w:val="00BF5050"/>
    <w:rsid w:val="00BF50D1"/>
    <w:rsid w:val="00BF5361"/>
    <w:rsid w:val="00BF5422"/>
    <w:rsid w:val="00BF59B1"/>
    <w:rsid w:val="00BF5A15"/>
    <w:rsid w:val="00BF5A81"/>
    <w:rsid w:val="00BF6480"/>
    <w:rsid w:val="00BF6A78"/>
    <w:rsid w:val="00BF6D9A"/>
    <w:rsid w:val="00BF7695"/>
    <w:rsid w:val="00BF79B4"/>
    <w:rsid w:val="00BF7C61"/>
    <w:rsid w:val="00C000D5"/>
    <w:rsid w:val="00C00D29"/>
    <w:rsid w:val="00C01427"/>
    <w:rsid w:val="00C014C7"/>
    <w:rsid w:val="00C031CE"/>
    <w:rsid w:val="00C047AB"/>
    <w:rsid w:val="00C05668"/>
    <w:rsid w:val="00C05704"/>
    <w:rsid w:val="00C058AF"/>
    <w:rsid w:val="00C06B6A"/>
    <w:rsid w:val="00C0796D"/>
    <w:rsid w:val="00C07AAE"/>
    <w:rsid w:val="00C1067A"/>
    <w:rsid w:val="00C108C8"/>
    <w:rsid w:val="00C11655"/>
    <w:rsid w:val="00C1179B"/>
    <w:rsid w:val="00C124C1"/>
    <w:rsid w:val="00C128AE"/>
    <w:rsid w:val="00C12BA8"/>
    <w:rsid w:val="00C136D6"/>
    <w:rsid w:val="00C1381C"/>
    <w:rsid w:val="00C13B26"/>
    <w:rsid w:val="00C13D5B"/>
    <w:rsid w:val="00C14083"/>
    <w:rsid w:val="00C141D7"/>
    <w:rsid w:val="00C1433D"/>
    <w:rsid w:val="00C144E4"/>
    <w:rsid w:val="00C15E4C"/>
    <w:rsid w:val="00C16172"/>
    <w:rsid w:val="00C1659C"/>
    <w:rsid w:val="00C1711B"/>
    <w:rsid w:val="00C1715E"/>
    <w:rsid w:val="00C17454"/>
    <w:rsid w:val="00C17AE2"/>
    <w:rsid w:val="00C20140"/>
    <w:rsid w:val="00C20483"/>
    <w:rsid w:val="00C20F27"/>
    <w:rsid w:val="00C215CF"/>
    <w:rsid w:val="00C216E9"/>
    <w:rsid w:val="00C217A0"/>
    <w:rsid w:val="00C2244B"/>
    <w:rsid w:val="00C224CD"/>
    <w:rsid w:val="00C22711"/>
    <w:rsid w:val="00C2280A"/>
    <w:rsid w:val="00C228F8"/>
    <w:rsid w:val="00C22B0D"/>
    <w:rsid w:val="00C23098"/>
    <w:rsid w:val="00C23405"/>
    <w:rsid w:val="00C23522"/>
    <w:rsid w:val="00C240C1"/>
    <w:rsid w:val="00C24AED"/>
    <w:rsid w:val="00C250D0"/>
    <w:rsid w:val="00C252AC"/>
    <w:rsid w:val="00C25934"/>
    <w:rsid w:val="00C25C0F"/>
    <w:rsid w:val="00C25E2B"/>
    <w:rsid w:val="00C26567"/>
    <w:rsid w:val="00C26923"/>
    <w:rsid w:val="00C26C9B"/>
    <w:rsid w:val="00C27214"/>
    <w:rsid w:val="00C27597"/>
    <w:rsid w:val="00C27E5E"/>
    <w:rsid w:val="00C30168"/>
    <w:rsid w:val="00C3018B"/>
    <w:rsid w:val="00C30382"/>
    <w:rsid w:val="00C30772"/>
    <w:rsid w:val="00C30A43"/>
    <w:rsid w:val="00C30BFE"/>
    <w:rsid w:val="00C30D6F"/>
    <w:rsid w:val="00C31063"/>
    <w:rsid w:val="00C312A2"/>
    <w:rsid w:val="00C312CB"/>
    <w:rsid w:val="00C31B7E"/>
    <w:rsid w:val="00C31DDB"/>
    <w:rsid w:val="00C322D1"/>
    <w:rsid w:val="00C3242A"/>
    <w:rsid w:val="00C325D1"/>
    <w:rsid w:val="00C33201"/>
    <w:rsid w:val="00C33796"/>
    <w:rsid w:val="00C33A39"/>
    <w:rsid w:val="00C33F04"/>
    <w:rsid w:val="00C3401A"/>
    <w:rsid w:val="00C34469"/>
    <w:rsid w:val="00C346C8"/>
    <w:rsid w:val="00C34A2C"/>
    <w:rsid w:val="00C34A2F"/>
    <w:rsid w:val="00C35959"/>
    <w:rsid w:val="00C360B3"/>
    <w:rsid w:val="00C37027"/>
    <w:rsid w:val="00C3742B"/>
    <w:rsid w:val="00C37B19"/>
    <w:rsid w:val="00C37C72"/>
    <w:rsid w:val="00C413CB"/>
    <w:rsid w:val="00C41783"/>
    <w:rsid w:val="00C41F54"/>
    <w:rsid w:val="00C42752"/>
    <w:rsid w:val="00C42973"/>
    <w:rsid w:val="00C450C9"/>
    <w:rsid w:val="00C45C2E"/>
    <w:rsid w:val="00C4643C"/>
    <w:rsid w:val="00C464AB"/>
    <w:rsid w:val="00C47B12"/>
    <w:rsid w:val="00C47D76"/>
    <w:rsid w:val="00C5026C"/>
    <w:rsid w:val="00C5034F"/>
    <w:rsid w:val="00C50830"/>
    <w:rsid w:val="00C50B17"/>
    <w:rsid w:val="00C50B62"/>
    <w:rsid w:val="00C5115A"/>
    <w:rsid w:val="00C51706"/>
    <w:rsid w:val="00C51A25"/>
    <w:rsid w:val="00C52479"/>
    <w:rsid w:val="00C5266E"/>
    <w:rsid w:val="00C5279F"/>
    <w:rsid w:val="00C5289F"/>
    <w:rsid w:val="00C52C59"/>
    <w:rsid w:val="00C5318C"/>
    <w:rsid w:val="00C53486"/>
    <w:rsid w:val="00C5349E"/>
    <w:rsid w:val="00C535E1"/>
    <w:rsid w:val="00C539FF"/>
    <w:rsid w:val="00C53DDC"/>
    <w:rsid w:val="00C54414"/>
    <w:rsid w:val="00C544BD"/>
    <w:rsid w:val="00C548EA"/>
    <w:rsid w:val="00C54CF7"/>
    <w:rsid w:val="00C54D3D"/>
    <w:rsid w:val="00C558B2"/>
    <w:rsid w:val="00C55A30"/>
    <w:rsid w:val="00C56384"/>
    <w:rsid w:val="00C56F56"/>
    <w:rsid w:val="00C57156"/>
    <w:rsid w:val="00C5724A"/>
    <w:rsid w:val="00C57964"/>
    <w:rsid w:val="00C60073"/>
    <w:rsid w:val="00C60DAE"/>
    <w:rsid w:val="00C60F8C"/>
    <w:rsid w:val="00C6113A"/>
    <w:rsid w:val="00C612BD"/>
    <w:rsid w:val="00C61A4A"/>
    <w:rsid w:val="00C624E3"/>
    <w:rsid w:val="00C62648"/>
    <w:rsid w:val="00C62806"/>
    <w:rsid w:val="00C62A48"/>
    <w:rsid w:val="00C62AC4"/>
    <w:rsid w:val="00C62B59"/>
    <w:rsid w:val="00C62F96"/>
    <w:rsid w:val="00C631E1"/>
    <w:rsid w:val="00C63778"/>
    <w:rsid w:val="00C63892"/>
    <w:rsid w:val="00C638D8"/>
    <w:rsid w:val="00C63ADD"/>
    <w:rsid w:val="00C63D26"/>
    <w:rsid w:val="00C64769"/>
    <w:rsid w:val="00C6540A"/>
    <w:rsid w:val="00C668A1"/>
    <w:rsid w:val="00C669C4"/>
    <w:rsid w:val="00C67223"/>
    <w:rsid w:val="00C67831"/>
    <w:rsid w:val="00C6788F"/>
    <w:rsid w:val="00C67E72"/>
    <w:rsid w:val="00C67F1C"/>
    <w:rsid w:val="00C70489"/>
    <w:rsid w:val="00C707B8"/>
    <w:rsid w:val="00C70F39"/>
    <w:rsid w:val="00C712AC"/>
    <w:rsid w:val="00C71C15"/>
    <w:rsid w:val="00C71F3D"/>
    <w:rsid w:val="00C7258C"/>
    <w:rsid w:val="00C72F53"/>
    <w:rsid w:val="00C74035"/>
    <w:rsid w:val="00C746DC"/>
    <w:rsid w:val="00C748EA"/>
    <w:rsid w:val="00C74C2E"/>
    <w:rsid w:val="00C75947"/>
    <w:rsid w:val="00C77207"/>
    <w:rsid w:val="00C776F3"/>
    <w:rsid w:val="00C77818"/>
    <w:rsid w:val="00C8063F"/>
    <w:rsid w:val="00C81282"/>
    <w:rsid w:val="00C8151C"/>
    <w:rsid w:val="00C824F2"/>
    <w:rsid w:val="00C8281F"/>
    <w:rsid w:val="00C82B77"/>
    <w:rsid w:val="00C82BE5"/>
    <w:rsid w:val="00C82C14"/>
    <w:rsid w:val="00C83214"/>
    <w:rsid w:val="00C8329F"/>
    <w:rsid w:val="00C84F8A"/>
    <w:rsid w:val="00C852F0"/>
    <w:rsid w:val="00C85BA4"/>
    <w:rsid w:val="00C8618F"/>
    <w:rsid w:val="00C8625D"/>
    <w:rsid w:val="00C86A96"/>
    <w:rsid w:val="00C871EB"/>
    <w:rsid w:val="00C900A3"/>
    <w:rsid w:val="00C90372"/>
    <w:rsid w:val="00C9041F"/>
    <w:rsid w:val="00C9060D"/>
    <w:rsid w:val="00C90B0B"/>
    <w:rsid w:val="00C910EE"/>
    <w:rsid w:val="00C9166B"/>
    <w:rsid w:val="00C91A45"/>
    <w:rsid w:val="00C91FB4"/>
    <w:rsid w:val="00C9200F"/>
    <w:rsid w:val="00C92150"/>
    <w:rsid w:val="00C92328"/>
    <w:rsid w:val="00C92AC4"/>
    <w:rsid w:val="00C92D42"/>
    <w:rsid w:val="00C92E16"/>
    <w:rsid w:val="00C93085"/>
    <w:rsid w:val="00C931B7"/>
    <w:rsid w:val="00C938C2"/>
    <w:rsid w:val="00C93F8A"/>
    <w:rsid w:val="00C94455"/>
    <w:rsid w:val="00C94720"/>
    <w:rsid w:val="00C94EA1"/>
    <w:rsid w:val="00C95745"/>
    <w:rsid w:val="00C95902"/>
    <w:rsid w:val="00C959FE"/>
    <w:rsid w:val="00C962E3"/>
    <w:rsid w:val="00C97661"/>
    <w:rsid w:val="00C978E2"/>
    <w:rsid w:val="00C97997"/>
    <w:rsid w:val="00CA0FFC"/>
    <w:rsid w:val="00CA10A2"/>
    <w:rsid w:val="00CA1D83"/>
    <w:rsid w:val="00CA25C0"/>
    <w:rsid w:val="00CA26E5"/>
    <w:rsid w:val="00CA284B"/>
    <w:rsid w:val="00CA2FCE"/>
    <w:rsid w:val="00CA3451"/>
    <w:rsid w:val="00CA3789"/>
    <w:rsid w:val="00CA38D1"/>
    <w:rsid w:val="00CA3914"/>
    <w:rsid w:val="00CA4948"/>
    <w:rsid w:val="00CA4961"/>
    <w:rsid w:val="00CA49C4"/>
    <w:rsid w:val="00CA52F9"/>
    <w:rsid w:val="00CA5368"/>
    <w:rsid w:val="00CA54E1"/>
    <w:rsid w:val="00CA568B"/>
    <w:rsid w:val="00CA573A"/>
    <w:rsid w:val="00CA5A11"/>
    <w:rsid w:val="00CA708C"/>
    <w:rsid w:val="00CB002B"/>
    <w:rsid w:val="00CB19FE"/>
    <w:rsid w:val="00CB2210"/>
    <w:rsid w:val="00CB2364"/>
    <w:rsid w:val="00CB2BB4"/>
    <w:rsid w:val="00CB2E31"/>
    <w:rsid w:val="00CB304C"/>
    <w:rsid w:val="00CB3864"/>
    <w:rsid w:val="00CB3933"/>
    <w:rsid w:val="00CB3B3E"/>
    <w:rsid w:val="00CB4160"/>
    <w:rsid w:val="00CB443A"/>
    <w:rsid w:val="00CB53E8"/>
    <w:rsid w:val="00CB594A"/>
    <w:rsid w:val="00CB5CB2"/>
    <w:rsid w:val="00CB5E7B"/>
    <w:rsid w:val="00CB6979"/>
    <w:rsid w:val="00CB7431"/>
    <w:rsid w:val="00CB7DDE"/>
    <w:rsid w:val="00CC0910"/>
    <w:rsid w:val="00CC0A3D"/>
    <w:rsid w:val="00CC0B55"/>
    <w:rsid w:val="00CC0DA6"/>
    <w:rsid w:val="00CC1042"/>
    <w:rsid w:val="00CC1E01"/>
    <w:rsid w:val="00CC2173"/>
    <w:rsid w:val="00CC2291"/>
    <w:rsid w:val="00CC26AE"/>
    <w:rsid w:val="00CC304F"/>
    <w:rsid w:val="00CC35DA"/>
    <w:rsid w:val="00CC3C53"/>
    <w:rsid w:val="00CC3D24"/>
    <w:rsid w:val="00CC3F91"/>
    <w:rsid w:val="00CC4359"/>
    <w:rsid w:val="00CC45BB"/>
    <w:rsid w:val="00CC4647"/>
    <w:rsid w:val="00CC4ACD"/>
    <w:rsid w:val="00CC4B0A"/>
    <w:rsid w:val="00CC544A"/>
    <w:rsid w:val="00CC57EA"/>
    <w:rsid w:val="00CC5954"/>
    <w:rsid w:val="00CC629B"/>
    <w:rsid w:val="00CC6A2B"/>
    <w:rsid w:val="00CC6C4E"/>
    <w:rsid w:val="00CC6D49"/>
    <w:rsid w:val="00CD009D"/>
    <w:rsid w:val="00CD05A2"/>
    <w:rsid w:val="00CD18CD"/>
    <w:rsid w:val="00CD29D4"/>
    <w:rsid w:val="00CD2B5C"/>
    <w:rsid w:val="00CD2FF3"/>
    <w:rsid w:val="00CD3323"/>
    <w:rsid w:val="00CD38F5"/>
    <w:rsid w:val="00CD4028"/>
    <w:rsid w:val="00CD41BD"/>
    <w:rsid w:val="00CD437E"/>
    <w:rsid w:val="00CD4AFE"/>
    <w:rsid w:val="00CD5660"/>
    <w:rsid w:val="00CD5785"/>
    <w:rsid w:val="00CD59AD"/>
    <w:rsid w:val="00CD5A7E"/>
    <w:rsid w:val="00CD5DAD"/>
    <w:rsid w:val="00CD6318"/>
    <w:rsid w:val="00CD64AD"/>
    <w:rsid w:val="00CD6D31"/>
    <w:rsid w:val="00CD6E9D"/>
    <w:rsid w:val="00CD72C5"/>
    <w:rsid w:val="00CD79A7"/>
    <w:rsid w:val="00CE03AA"/>
    <w:rsid w:val="00CE0789"/>
    <w:rsid w:val="00CE0E8D"/>
    <w:rsid w:val="00CE16ED"/>
    <w:rsid w:val="00CE1A03"/>
    <w:rsid w:val="00CE2346"/>
    <w:rsid w:val="00CE247C"/>
    <w:rsid w:val="00CE25B2"/>
    <w:rsid w:val="00CE2BBA"/>
    <w:rsid w:val="00CE301E"/>
    <w:rsid w:val="00CE3529"/>
    <w:rsid w:val="00CE35C8"/>
    <w:rsid w:val="00CE3962"/>
    <w:rsid w:val="00CE4D1A"/>
    <w:rsid w:val="00CE4E8A"/>
    <w:rsid w:val="00CE5105"/>
    <w:rsid w:val="00CE56BD"/>
    <w:rsid w:val="00CE5EC0"/>
    <w:rsid w:val="00CE66EF"/>
    <w:rsid w:val="00CE6F50"/>
    <w:rsid w:val="00CE6F9F"/>
    <w:rsid w:val="00CE781A"/>
    <w:rsid w:val="00CE7B08"/>
    <w:rsid w:val="00CE7D52"/>
    <w:rsid w:val="00CF08E2"/>
    <w:rsid w:val="00CF0B7D"/>
    <w:rsid w:val="00CF0DEA"/>
    <w:rsid w:val="00CF1D74"/>
    <w:rsid w:val="00CF2064"/>
    <w:rsid w:val="00CF209A"/>
    <w:rsid w:val="00CF2BE2"/>
    <w:rsid w:val="00CF2F38"/>
    <w:rsid w:val="00CF3DEB"/>
    <w:rsid w:val="00CF4EF6"/>
    <w:rsid w:val="00CF4F8E"/>
    <w:rsid w:val="00CF55F9"/>
    <w:rsid w:val="00CF7074"/>
    <w:rsid w:val="00CF7495"/>
    <w:rsid w:val="00D0123D"/>
    <w:rsid w:val="00D01244"/>
    <w:rsid w:val="00D01CF9"/>
    <w:rsid w:val="00D01E89"/>
    <w:rsid w:val="00D02F5C"/>
    <w:rsid w:val="00D030F0"/>
    <w:rsid w:val="00D0334D"/>
    <w:rsid w:val="00D0374D"/>
    <w:rsid w:val="00D0425A"/>
    <w:rsid w:val="00D049AA"/>
    <w:rsid w:val="00D0593E"/>
    <w:rsid w:val="00D06D7B"/>
    <w:rsid w:val="00D06DA5"/>
    <w:rsid w:val="00D07191"/>
    <w:rsid w:val="00D072DF"/>
    <w:rsid w:val="00D078DE"/>
    <w:rsid w:val="00D07F1D"/>
    <w:rsid w:val="00D10558"/>
    <w:rsid w:val="00D10F4D"/>
    <w:rsid w:val="00D11CD2"/>
    <w:rsid w:val="00D11D4D"/>
    <w:rsid w:val="00D126DC"/>
    <w:rsid w:val="00D12755"/>
    <w:rsid w:val="00D12B03"/>
    <w:rsid w:val="00D13B29"/>
    <w:rsid w:val="00D13C79"/>
    <w:rsid w:val="00D13E70"/>
    <w:rsid w:val="00D14388"/>
    <w:rsid w:val="00D16C58"/>
    <w:rsid w:val="00D16F34"/>
    <w:rsid w:val="00D17019"/>
    <w:rsid w:val="00D17230"/>
    <w:rsid w:val="00D177FF"/>
    <w:rsid w:val="00D17FC8"/>
    <w:rsid w:val="00D20420"/>
    <w:rsid w:val="00D20B44"/>
    <w:rsid w:val="00D20D4C"/>
    <w:rsid w:val="00D20E83"/>
    <w:rsid w:val="00D21168"/>
    <w:rsid w:val="00D21AF9"/>
    <w:rsid w:val="00D22014"/>
    <w:rsid w:val="00D2266E"/>
    <w:rsid w:val="00D226E8"/>
    <w:rsid w:val="00D22864"/>
    <w:rsid w:val="00D2438C"/>
    <w:rsid w:val="00D24B90"/>
    <w:rsid w:val="00D2519E"/>
    <w:rsid w:val="00D252BA"/>
    <w:rsid w:val="00D260EB"/>
    <w:rsid w:val="00D26C3F"/>
    <w:rsid w:val="00D27185"/>
    <w:rsid w:val="00D308EA"/>
    <w:rsid w:val="00D31FBE"/>
    <w:rsid w:val="00D32266"/>
    <w:rsid w:val="00D3374D"/>
    <w:rsid w:val="00D33AB3"/>
    <w:rsid w:val="00D33C0F"/>
    <w:rsid w:val="00D33F24"/>
    <w:rsid w:val="00D34038"/>
    <w:rsid w:val="00D34160"/>
    <w:rsid w:val="00D346B8"/>
    <w:rsid w:val="00D34DCA"/>
    <w:rsid w:val="00D34FAA"/>
    <w:rsid w:val="00D3556D"/>
    <w:rsid w:val="00D35AC8"/>
    <w:rsid w:val="00D3609F"/>
    <w:rsid w:val="00D36F87"/>
    <w:rsid w:val="00D37113"/>
    <w:rsid w:val="00D37319"/>
    <w:rsid w:val="00D37E4E"/>
    <w:rsid w:val="00D4012A"/>
    <w:rsid w:val="00D41413"/>
    <w:rsid w:val="00D4145A"/>
    <w:rsid w:val="00D417D8"/>
    <w:rsid w:val="00D41F78"/>
    <w:rsid w:val="00D420F8"/>
    <w:rsid w:val="00D4253A"/>
    <w:rsid w:val="00D42AB6"/>
    <w:rsid w:val="00D42E6C"/>
    <w:rsid w:val="00D433E4"/>
    <w:rsid w:val="00D4351C"/>
    <w:rsid w:val="00D43B80"/>
    <w:rsid w:val="00D4405F"/>
    <w:rsid w:val="00D44104"/>
    <w:rsid w:val="00D44988"/>
    <w:rsid w:val="00D454BE"/>
    <w:rsid w:val="00D45B4C"/>
    <w:rsid w:val="00D45BA4"/>
    <w:rsid w:val="00D471AF"/>
    <w:rsid w:val="00D4724F"/>
    <w:rsid w:val="00D47729"/>
    <w:rsid w:val="00D50519"/>
    <w:rsid w:val="00D51601"/>
    <w:rsid w:val="00D516A9"/>
    <w:rsid w:val="00D51ECB"/>
    <w:rsid w:val="00D5264C"/>
    <w:rsid w:val="00D52BBC"/>
    <w:rsid w:val="00D537FE"/>
    <w:rsid w:val="00D53BC8"/>
    <w:rsid w:val="00D53CC9"/>
    <w:rsid w:val="00D54A6A"/>
    <w:rsid w:val="00D54B8F"/>
    <w:rsid w:val="00D5507A"/>
    <w:rsid w:val="00D555D9"/>
    <w:rsid w:val="00D555E7"/>
    <w:rsid w:val="00D55951"/>
    <w:rsid w:val="00D5741C"/>
    <w:rsid w:val="00D57446"/>
    <w:rsid w:val="00D57EB6"/>
    <w:rsid w:val="00D6083D"/>
    <w:rsid w:val="00D608C0"/>
    <w:rsid w:val="00D60D6D"/>
    <w:rsid w:val="00D62CAA"/>
    <w:rsid w:val="00D62F06"/>
    <w:rsid w:val="00D64B62"/>
    <w:rsid w:val="00D651B0"/>
    <w:rsid w:val="00D65589"/>
    <w:rsid w:val="00D65E2A"/>
    <w:rsid w:val="00D6658B"/>
    <w:rsid w:val="00D66D8B"/>
    <w:rsid w:val="00D70005"/>
    <w:rsid w:val="00D70543"/>
    <w:rsid w:val="00D70849"/>
    <w:rsid w:val="00D719D9"/>
    <w:rsid w:val="00D72297"/>
    <w:rsid w:val="00D72A1C"/>
    <w:rsid w:val="00D72B4C"/>
    <w:rsid w:val="00D7308F"/>
    <w:rsid w:val="00D733CC"/>
    <w:rsid w:val="00D73580"/>
    <w:rsid w:val="00D73802"/>
    <w:rsid w:val="00D73C2C"/>
    <w:rsid w:val="00D73D52"/>
    <w:rsid w:val="00D74103"/>
    <w:rsid w:val="00D745E7"/>
    <w:rsid w:val="00D750B8"/>
    <w:rsid w:val="00D761A4"/>
    <w:rsid w:val="00D76391"/>
    <w:rsid w:val="00D76416"/>
    <w:rsid w:val="00D767E3"/>
    <w:rsid w:val="00D76B5E"/>
    <w:rsid w:val="00D774ED"/>
    <w:rsid w:val="00D777C3"/>
    <w:rsid w:val="00D77C44"/>
    <w:rsid w:val="00D77D2F"/>
    <w:rsid w:val="00D77F88"/>
    <w:rsid w:val="00D80156"/>
    <w:rsid w:val="00D803BF"/>
    <w:rsid w:val="00D819F3"/>
    <w:rsid w:val="00D81AFA"/>
    <w:rsid w:val="00D81E22"/>
    <w:rsid w:val="00D81EAA"/>
    <w:rsid w:val="00D81FE2"/>
    <w:rsid w:val="00D81FF1"/>
    <w:rsid w:val="00D8241F"/>
    <w:rsid w:val="00D8259F"/>
    <w:rsid w:val="00D825F2"/>
    <w:rsid w:val="00D8285C"/>
    <w:rsid w:val="00D828B1"/>
    <w:rsid w:val="00D82F93"/>
    <w:rsid w:val="00D84181"/>
    <w:rsid w:val="00D84754"/>
    <w:rsid w:val="00D84963"/>
    <w:rsid w:val="00D84F27"/>
    <w:rsid w:val="00D853F0"/>
    <w:rsid w:val="00D85857"/>
    <w:rsid w:val="00D86D47"/>
    <w:rsid w:val="00D8710C"/>
    <w:rsid w:val="00D873C6"/>
    <w:rsid w:val="00D9074A"/>
    <w:rsid w:val="00D9099E"/>
    <w:rsid w:val="00D90B3C"/>
    <w:rsid w:val="00D9193A"/>
    <w:rsid w:val="00D91DF1"/>
    <w:rsid w:val="00D923B2"/>
    <w:rsid w:val="00D92568"/>
    <w:rsid w:val="00D92BB3"/>
    <w:rsid w:val="00D92DB8"/>
    <w:rsid w:val="00D93A90"/>
    <w:rsid w:val="00D93E64"/>
    <w:rsid w:val="00D93F26"/>
    <w:rsid w:val="00D93F64"/>
    <w:rsid w:val="00D94CA4"/>
    <w:rsid w:val="00D94CDD"/>
    <w:rsid w:val="00D94E01"/>
    <w:rsid w:val="00D95E99"/>
    <w:rsid w:val="00D965D5"/>
    <w:rsid w:val="00D96D5F"/>
    <w:rsid w:val="00D97AE5"/>
    <w:rsid w:val="00D97DA2"/>
    <w:rsid w:val="00DA1350"/>
    <w:rsid w:val="00DA18AF"/>
    <w:rsid w:val="00DA1A3A"/>
    <w:rsid w:val="00DA2351"/>
    <w:rsid w:val="00DA249E"/>
    <w:rsid w:val="00DA2D3D"/>
    <w:rsid w:val="00DA37E1"/>
    <w:rsid w:val="00DA3FA4"/>
    <w:rsid w:val="00DA489C"/>
    <w:rsid w:val="00DA4C30"/>
    <w:rsid w:val="00DA7DCE"/>
    <w:rsid w:val="00DB05AB"/>
    <w:rsid w:val="00DB0C17"/>
    <w:rsid w:val="00DB1215"/>
    <w:rsid w:val="00DB145E"/>
    <w:rsid w:val="00DB1A94"/>
    <w:rsid w:val="00DB1D52"/>
    <w:rsid w:val="00DB1F62"/>
    <w:rsid w:val="00DB1FAB"/>
    <w:rsid w:val="00DB21E7"/>
    <w:rsid w:val="00DB2319"/>
    <w:rsid w:val="00DB2E03"/>
    <w:rsid w:val="00DB320B"/>
    <w:rsid w:val="00DB3742"/>
    <w:rsid w:val="00DB3E9B"/>
    <w:rsid w:val="00DB3F4B"/>
    <w:rsid w:val="00DB5375"/>
    <w:rsid w:val="00DB6628"/>
    <w:rsid w:val="00DB67C1"/>
    <w:rsid w:val="00DB6902"/>
    <w:rsid w:val="00DB6C0B"/>
    <w:rsid w:val="00DB705C"/>
    <w:rsid w:val="00DB70F4"/>
    <w:rsid w:val="00DB7579"/>
    <w:rsid w:val="00DB7AA8"/>
    <w:rsid w:val="00DC0F46"/>
    <w:rsid w:val="00DC1056"/>
    <w:rsid w:val="00DC1442"/>
    <w:rsid w:val="00DC1A38"/>
    <w:rsid w:val="00DC213D"/>
    <w:rsid w:val="00DC21D8"/>
    <w:rsid w:val="00DC2362"/>
    <w:rsid w:val="00DC282A"/>
    <w:rsid w:val="00DC34DC"/>
    <w:rsid w:val="00DC3623"/>
    <w:rsid w:val="00DC3780"/>
    <w:rsid w:val="00DC3ADA"/>
    <w:rsid w:val="00DC3CC6"/>
    <w:rsid w:val="00DC3DA5"/>
    <w:rsid w:val="00DC3F55"/>
    <w:rsid w:val="00DC4084"/>
    <w:rsid w:val="00DC4782"/>
    <w:rsid w:val="00DC4ACE"/>
    <w:rsid w:val="00DC514A"/>
    <w:rsid w:val="00DC562A"/>
    <w:rsid w:val="00DC67B1"/>
    <w:rsid w:val="00DC7755"/>
    <w:rsid w:val="00DC7FBC"/>
    <w:rsid w:val="00DD0019"/>
    <w:rsid w:val="00DD0137"/>
    <w:rsid w:val="00DD0A70"/>
    <w:rsid w:val="00DD0E59"/>
    <w:rsid w:val="00DD132B"/>
    <w:rsid w:val="00DD1725"/>
    <w:rsid w:val="00DD2159"/>
    <w:rsid w:val="00DD2A18"/>
    <w:rsid w:val="00DD3044"/>
    <w:rsid w:val="00DD34EC"/>
    <w:rsid w:val="00DD3652"/>
    <w:rsid w:val="00DD3985"/>
    <w:rsid w:val="00DD39F9"/>
    <w:rsid w:val="00DD3E4C"/>
    <w:rsid w:val="00DD4991"/>
    <w:rsid w:val="00DD61E8"/>
    <w:rsid w:val="00DD62C0"/>
    <w:rsid w:val="00DD64DE"/>
    <w:rsid w:val="00DD6B29"/>
    <w:rsid w:val="00DD73AB"/>
    <w:rsid w:val="00DD7859"/>
    <w:rsid w:val="00DD7B41"/>
    <w:rsid w:val="00DE040C"/>
    <w:rsid w:val="00DE04B3"/>
    <w:rsid w:val="00DE06D5"/>
    <w:rsid w:val="00DE074D"/>
    <w:rsid w:val="00DE0784"/>
    <w:rsid w:val="00DE0A1D"/>
    <w:rsid w:val="00DE0C49"/>
    <w:rsid w:val="00DE148C"/>
    <w:rsid w:val="00DE15B2"/>
    <w:rsid w:val="00DE17A1"/>
    <w:rsid w:val="00DE1A9A"/>
    <w:rsid w:val="00DE2973"/>
    <w:rsid w:val="00DE2A6B"/>
    <w:rsid w:val="00DE2A83"/>
    <w:rsid w:val="00DE2FBE"/>
    <w:rsid w:val="00DE3D2C"/>
    <w:rsid w:val="00DE41F0"/>
    <w:rsid w:val="00DE4563"/>
    <w:rsid w:val="00DE483A"/>
    <w:rsid w:val="00DE5CD6"/>
    <w:rsid w:val="00DE5E82"/>
    <w:rsid w:val="00DE5FA6"/>
    <w:rsid w:val="00DE6792"/>
    <w:rsid w:val="00DE6AA1"/>
    <w:rsid w:val="00DE73DA"/>
    <w:rsid w:val="00DE7EF7"/>
    <w:rsid w:val="00DF015B"/>
    <w:rsid w:val="00DF02EC"/>
    <w:rsid w:val="00DF0925"/>
    <w:rsid w:val="00DF0AB7"/>
    <w:rsid w:val="00DF1045"/>
    <w:rsid w:val="00DF10FC"/>
    <w:rsid w:val="00DF1185"/>
    <w:rsid w:val="00DF1299"/>
    <w:rsid w:val="00DF1A70"/>
    <w:rsid w:val="00DF1E5F"/>
    <w:rsid w:val="00DF23A8"/>
    <w:rsid w:val="00DF2F26"/>
    <w:rsid w:val="00DF2F27"/>
    <w:rsid w:val="00DF36B6"/>
    <w:rsid w:val="00DF4043"/>
    <w:rsid w:val="00DF4296"/>
    <w:rsid w:val="00DF4A70"/>
    <w:rsid w:val="00DF597C"/>
    <w:rsid w:val="00DF5F38"/>
    <w:rsid w:val="00DF5F9D"/>
    <w:rsid w:val="00DF6608"/>
    <w:rsid w:val="00DF66A8"/>
    <w:rsid w:val="00DF6CCC"/>
    <w:rsid w:val="00DF6D0C"/>
    <w:rsid w:val="00DF6F64"/>
    <w:rsid w:val="00DF721E"/>
    <w:rsid w:val="00DF7B2E"/>
    <w:rsid w:val="00DF7B8A"/>
    <w:rsid w:val="00DF7BA5"/>
    <w:rsid w:val="00DF7C87"/>
    <w:rsid w:val="00DF7E96"/>
    <w:rsid w:val="00E00695"/>
    <w:rsid w:val="00E0099A"/>
    <w:rsid w:val="00E009B0"/>
    <w:rsid w:val="00E00A12"/>
    <w:rsid w:val="00E00C49"/>
    <w:rsid w:val="00E011A2"/>
    <w:rsid w:val="00E01D83"/>
    <w:rsid w:val="00E0219D"/>
    <w:rsid w:val="00E030F6"/>
    <w:rsid w:val="00E0314D"/>
    <w:rsid w:val="00E047CB"/>
    <w:rsid w:val="00E04C0F"/>
    <w:rsid w:val="00E04F3F"/>
    <w:rsid w:val="00E04F6C"/>
    <w:rsid w:val="00E0570B"/>
    <w:rsid w:val="00E057EA"/>
    <w:rsid w:val="00E0602A"/>
    <w:rsid w:val="00E0610A"/>
    <w:rsid w:val="00E1003C"/>
    <w:rsid w:val="00E1077C"/>
    <w:rsid w:val="00E10913"/>
    <w:rsid w:val="00E10B87"/>
    <w:rsid w:val="00E11081"/>
    <w:rsid w:val="00E11C7F"/>
    <w:rsid w:val="00E121CE"/>
    <w:rsid w:val="00E126CF"/>
    <w:rsid w:val="00E127FD"/>
    <w:rsid w:val="00E12916"/>
    <w:rsid w:val="00E12DA4"/>
    <w:rsid w:val="00E12E0E"/>
    <w:rsid w:val="00E1437D"/>
    <w:rsid w:val="00E1478B"/>
    <w:rsid w:val="00E14FAC"/>
    <w:rsid w:val="00E15007"/>
    <w:rsid w:val="00E157FB"/>
    <w:rsid w:val="00E15D89"/>
    <w:rsid w:val="00E15EF8"/>
    <w:rsid w:val="00E16277"/>
    <w:rsid w:val="00E16EC7"/>
    <w:rsid w:val="00E17876"/>
    <w:rsid w:val="00E17DDF"/>
    <w:rsid w:val="00E21585"/>
    <w:rsid w:val="00E21730"/>
    <w:rsid w:val="00E219CE"/>
    <w:rsid w:val="00E21CDF"/>
    <w:rsid w:val="00E21F69"/>
    <w:rsid w:val="00E22A94"/>
    <w:rsid w:val="00E23626"/>
    <w:rsid w:val="00E23BAE"/>
    <w:rsid w:val="00E23D64"/>
    <w:rsid w:val="00E24071"/>
    <w:rsid w:val="00E24EBC"/>
    <w:rsid w:val="00E2522C"/>
    <w:rsid w:val="00E2552F"/>
    <w:rsid w:val="00E2599B"/>
    <w:rsid w:val="00E26001"/>
    <w:rsid w:val="00E26644"/>
    <w:rsid w:val="00E26F81"/>
    <w:rsid w:val="00E2710C"/>
    <w:rsid w:val="00E273E7"/>
    <w:rsid w:val="00E27428"/>
    <w:rsid w:val="00E27A35"/>
    <w:rsid w:val="00E305B4"/>
    <w:rsid w:val="00E3094B"/>
    <w:rsid w:val="00E319A5"/>
    <w:rsid w:val="00E31AFA"/>
    <w:rsid w:val="00E31C92"/>
    <w:rsid w:val="00E31CB7"/>
    <w:rsid w:val="00E32363"/>
    <w:rsid w:val="00E324EE"/>
    <w:rsid w:val="00E332CD"/>
    <w:rsid w:val="00E33B0E"/>
    <w:rsid w:val="00E3479A"/>
    <w:rsid w:val="00E34985"/>
    <w:rsid w:val="00E349D1"/>
    <w:rsid w:val="00E34DB1"/>
    <w:rsid w:val="00E34F26"/>
    <w:rsid w:val="00E358E7"/>
    <w:rsid w:val="00E359FF"/>
    <w:rsid w:val="00E35BA4"/>
    <w:rsid w:val="00E36F85"/>
    <w:rsid w:val="00E402C5"/>
    <w:rsid w:val="00E402F4"/>
    <w:rsid w:val="00E405F1"/>
    <w:rsid w:val="00E4086E"/>
    <w:rsid w:val="00E40DA0"/>
    <w:rsid w:val="00E413AC"/>
    <w:rsid w:val="00E427D9"/>
    <w:rsid w:val="00E427DA"/>
    <w:rsid w:val="00E42840"/>
    <w:rsid w:val="00E42A58"/>
    <w:rsid w:val="00E43054"/>
    <w:rsid w:val="00E4369A"/>
    <w:rsid w:val="00E4405D"/>
    <w:rsid w:val="00E44440"/>
    <w:rsid w:val="00E45620"/>
    <w:rsid w:val="00E45C29"/>
    <w:rsid w:val="00E46013"/>
    <w:rsid w:val="00E4641F"/>
    <w:rsid w:val="00E47099"/>
    <w:rsid w:val="00E47284"/>
    <w:rsid w:val="00E474AB"/>
    <w:rsid w:val="00E477C3"/>
    <w:rsid w:val="00E503E0"/>
    <w:rsid w:val="00E504C1"/>
    <w:rsid w:val="00E518E7"/>
    <w:rsid w:val="00E51E16"/>
    <w:rsid w:val="00E5254B"/>
    <w:rsid w:val="00E531F0"/>
    <w:rsid w:val="00E532BD"/>
    <w:rsid w:val="00E53730"/>
    <w:rsid w:val="00E5438D"/>
    <w:rsid w:val="00E5440A"/>
    <w:rsid w:val="00E54511"/>
    <w:rsid w:val="00E54950"/>
    <w:rsid w:val="00E54BA7"/>
    <w:rsid w:val="00E54E50"/>
    <w:rsid w:val="00E55288"/>
    <w:rsid w:val="00E55FA9"/>
    <w:rsid w:val="00E569F4"/>
    <w:rsid w:val="00E56FF6"/>
    <w:rsid w:val="00E573B0"/>
    <w:rsid w:val="00E57577"/>
    <w:rsid w:val="00E57D20"/>
    <w:rsid w:val="00E57EDE"/>
    <w:rsid w:val="00E613BC"/>
    <w:rsid w:val="00E61C1F"/>
    <w:rsid w:val="00E62043"/>
    <w:rsid w:val="00E626B9"/>
    <w:rsid w:val="00E627B2"/>
    <w:rsid w:val="00E627C9"/>
    <w:rsid w:val="00E62A83"/>
    <w:rsid w:val="00E62AB6"/>
    <w:rsid w:val="00E62DCB"/>
    <w:rsid w:val="00E630F3"/>
    <w:rsid w:val="00E6332F"/>
    <w:rsid w:val="00E637C9"/>
    <w:rsid w:val="00E6428E"/>
    <w:rsid w:val="00E6501B"/>
    <w:rsid w:val="00E650AB"/>
    <w:rsid w:val="00E66322"/>
    <w:rsid w:val="00E665EC"/>
    <w:rsid w:val="00E6680A"/>
    <w:rsid w:val="00E66BE1"/>
    <w:rsid w:val="00E66E2A"/>
    <w:rsid w:val="00E66F0D"/>
    <w:rsid w:val="00E70615"/>
    <w:rsid w:val="00E70BC8"/>
    <w:rsid w:val="00E7111D"/>
    <w:rsid w:val="00E7161E"/>
    <w:rsid w:val="00E71A47"/>
    <w:rsid w:val="00E7207B"/>
    <w:rsid w:val="00E72670"/>
    <w:rsid w:val="00E7347A"/>
    <w:rsid w:val="00E746ED"/>
    <w:rsid w:val="00E747C3"/>
    <w:rsid w:val="00E748A6"/>
    <w:rsid w:val="00E74A7B"/>
    <w:rsid w:val="00E74FDB"/>
    <w:rsid w:val="00E75A47"/>
    <w:rsid w:val="00E75BB6"/>
    <w:rsid w:val="00E75D8C"/>
    <w:rsid w:val="00E7704B"/>
    <w:rsid w:val="00E775F4"/>
    <w:rsid w:val="00E777F2"/>
    <w:rsid w:val="00E802C9"/>
    <w:rsid w:val="00E80F0A"/>
    <w:rsid w:val="00E815D4"/>
    <w:rsid w:val="00E81953"/>
    <w:rsid w:val="00E81A80"/>
    <w:rsid w:val="00E81BAB"/>
    <w:rsid w:val="00E82075"/>
    <w:rsid w:val="00E8258B"/>
    <w:rsid w:val="00E8291B"/>
    <w:rsid w:val="00E82DDE"/>
    <w:rsid w:val="00E82E70"/>
    <w:rsid w:val="00E82F92"/>
    <w:rsid w:val="00E8395F"/>
    <w:rsid w:val="00E8410F"/>
    <w:rsid w:val="00E8458D"/>
    <w:rsid w:val="00E8540F"/>
    <w:rsid w:val="00E8579B"/>
    <w:rsid w:val="00E859EE"/>
    <w:rsid w:val="00E85E41"/>
    <w:rsid w:val="00E85EA1"/>
    <w:rsid w:val="00E86703"/>
    <w:rsid w:val="00E87F92"/>
    <w:rsid w:val="00E90013"/>
    <w:rsid w:val="00E91044"/>
    <w:rsid w:val="00E910D3"/>
    <w:rsid w:val="00E92154"/>
    <w:rsid w:val="00E923CF"/>
    <w:rsid w:val="00E92A24"/>
    <w:rsid w:val="00E933B1"/>
    <w:rsid w:val="00E93685"/>
    <w:rsid w:val="00E93C8C"/>
    <w:rsid w:val="00E9407F"/>
    <w:rsid w:val="00E95111"/>
    <w:rsid w:val="00E95FDF"/>
    <w:rsid w:val="00E973A2"/>
    <w:rsid w:val="00E97658"/>
    <w:rsid w:val="00EA0158"/>
    <w:rsid w:val="00EA12B8"/>
    <w:rsid w:val="00EA14C8"/>
    <w:rsid w:val="00EA206F"/>
    <w:rsid w:val="00EA2110"/>
    <w:rsid w:val="00EA275A"/>
    <w:rsid w:val="00EA283A"/>
    <w:rsid w:val="00EA2C90"/>
    <w:rsid w:val="00EA2E07"/>
    <w:rsid w:val="00EA3677"/>
    <w:rsid w:val="00EA36EF"/>
    <w:rsid w:val="00EA3856"/>
    <w:rsid w:val="00EA4535"/>
    <w:rsid w:val="00EA48F3"/>
    <w:rsid w:val="00EA60BF"/>
    <w:rsid w:val="00EA614F"/>
    <w:rsid w:val="00EA65A6"/>
    <w:rsid w:val="00EA687F"/>
    <w:rsid w:val="00EA6D18"/>
    <w:rsid w:val="00EA7365"/>
    <w:rsid w:val="00EA763F"/>
    <w:rsid w:val="00EA77E9"/>
    <w:rsid w:val="00EA7A37"/>
    <w:rsid w:val="00EB05D0"/>
    <w:rsid w:val="00EB08E2"/>
    <w:rsid w:val="00EB1151"/>
    <w:rsid w:val="00EB119E"/>
    <w:rsid w:val="00EB1D49"/>
    <w:rsid w:val="00EB1D6E"/>
    <w:rsid w:val="00EB1E36"/>
    <w:rsid w:val="00EB2221"/>
    <w:rsid w:val="00EB23D9"/>
    <w:rsid w:val="00EB25F1"/>
    <w:rsid w:val="00EB278E"/>
    <w:rsid w:val="00EB3026"/>
    <w:rsid w:val="00EB33C9"/>
    <w:rsid w:val="00EB34E8"/>
    <w:rsid w:val="00EB3735"/>
    <w:rsid w:val="00EB37EF"/>
    <w:rsid w:val="00EB39A0"/>
    <w:rsid w:val="00EB3D8A"/>
    <w:rsid w:val="00EB3F14"/>
    <w:rsid w:val="00EB559F"/>
    <w:rsid w:val="00EB5F3D"/>
    <w:rsid w:val="00EB66DB"/>
    <w:rsid w:val="00EB6954"/>
    <w:rsid w:val="00EC0D02"/>
    <w:rsid w:val="00EC1CEB"/>
    <w:rsid w:val="00EC1DC0"/>
    <w:rsid w:val="00EC1E98"/>
    <w:rsid w:val="00EC21EC"/>
    <w:rsid w:val="00EC24B8"/>
    <w:rsid w:val="00EC268C"/>
    <w:rsid w:val="00EC3476"/>
    <w:rsid w:val="00EC36DF"/>
    <w:rsid w:val="00EC3753"/>
    <w:rsid w:val="00EC3CF4"/>
    <w:rsid w:val="00EC4C1C"/>
    <w:rsid w:val="00EC4E71"/>
    <w:rsid w:val="00EC5698"/>
    <w:rsid w:val="00EC5F1C"/>
    <w:rsid w:val="00EC7C2B"/>
    <w:rsid w:val="00EC7CCE"/>
    <w:rsid w:val="00ED0365"/>
    <w:rsid w:val="00ED039B"/>
    <w:rsid w:val="00ED0865"/>
    <w:rsid w:val="00ED16D6"/>
    <w:rsid w:val="00ED1988"/>
    <w:rsid w:val="00ED1A1F"/>
    <w:rsid w:val="00ED1C60"/>
    <w:rsid w:val="00ED24E7"/>
    <w:rsid w:val="00ED273F"/>
    <w:rsid w:val="00ED2CB7"/>
    <w:rsid w:val="00ED2EB9"/>
    <w:rsid w:val="00ED302D"/>
    <w:rsid w:val="00ED3A31"/>
    <w:rsid w:val="00ED4469"/>
    <w:rsid w:val="00ED4C8A"/>
    <w:rsid w:val="00ED579E"/>
    <w:rsid w:val="00ED5F23"/>
    <w:rsid w:val="00ED6015"/>
    <w:rsid w:val="00ED6659"/>
    <w:rsid w:val="00ED6DC0"/>
    <w:rsid w:val="00ED7A7A"/>
    <w:rsid w:val="00EE0327"/>
    <w:rsid w:val="00EE038C"/>
    <w:rsid w:val="00EE0541"/>
    <w:rsid w:val="00EE11C4"/>
    <w:rsid w:val="00EE1937"/>
    <w:rsid w:val="00EE28C5"/>
    <w:rsid w:val="00EE2D7C"/>
    <w:rsid w:val="00EE2F09"/>
    <w:rsid w:val="00EE33C5"/>
    <w:rsid w:val="00EE47C5"/>
    <w:rsid w:val="00EE490C"/>
    <w:rsid w:val="00EE4D68"/>
    <w:rsid w:val="00EE4E57"/>
    <w:rsid w:val="00EE4EE5"/>
    <w:rsid w:val="00EE5738"/>
    <w:rsid w:val="00EE58BD"/>
    <w:rsid w:val="00EE596C"/>
    <w:rsid w:val="00EE5E59"/>
    <w:rsid w:val="00EE5E89"/>
    <w:rsid w:val="00EE73D0"/>
    <w:rsid w:val="00EE7CB0"/>
    <w:rsid w:val="00EF002A"/>
    <w:rsid w:val="00EF08A8"/>
    <w:rsid w:val="00EF1044"/>
    <w:rsid w:val="00EF167B"/>
    <w:rsid w:val="00EF1ED5"/>
    <w:rsid w:val="00EF2917"/>
    <w:rsid w:val="00EF2B04"/>
    <w:rsid w:val="00EF2CCC"/>
    <w:rsid w:val="00EF3376"/>
    <w:rsid w:val="00EF3E73"/>
    <w:rsid w:val="00EF41A8"/>
    <w:rsid w:val="00EF44FB"/>
    <w:rsid w:val="00EF5122"/>
    <w:rsid w:val="00EF5554"/>
    <w:rsid w:val="00EF5AD8"/>
    <w:rsid w:val="00EF6745"/>
    <w:rsid w:val="00EF6B90"/>
    <w:rsid w:val="00EF739F"/>
    <w:rsid w:val="00EF74E5"/>
    <w:rsid w:val="00EF764E"/>
    <w:rsid w:val="00EF7807"/>
    <w:rsid w:val="00EF79F7"/>
    <w:rsid w:val="00F0058C"/>
    <w:rsid w:val="00F006C0"/>
    <w:rsid w:val="00F00E1A"/>
    <w:rsid w:val="00F0125F"/>
    <w:rsid w:val="00F019AA"/>
    <w:rsid w:val="00F0267E"/>
    <w:rsid w:val="00F02686"/>
    <w:rsid w:val="00F02BCC"/>
    <w:rsid w:val="00F030C0"/>
    <w:rsid w:val="00F03291"/>
    <w:rsid w:val="00F0459B"/>
    <w:rsid w:val="00F04E15"/>
    <w:rsid w:val="00F05DF3"/>
    <w:rsid w:val="00F069EA"/>
    <w:rsid w:val="00F070E5"/>
    <w:rsid w:val="00F07882"/>
    <w:rsid w:val="00F07A50"/>
    <w:rsid w:val="00F07DDE"/>
    <w:rsid w:val="00F07E01"/>
    <w:rsid w:val="00F07EEA"/>
    <w:rsid w:val="00F10963"/>
    <w:rsid w:val="00F11675"/>
    <w:rsid w:val="00F117F6"/>
    <w:rsid w:val="00F11DD8"/>
    <w:rsid w:val="00F11EFF"/>
    <w:rsid w:val="00F123DB"/>
    <w:rsid w:val="00F12557"/>
    <w:rsid w:val="00F12869"/>
    <w:rsid w:val="00F12DE6"/>
    <w:rsid w:val="00F13048"/>
    <w:rsid w:val="00F132F8"/>
    <w:rsid w:val="00F13599"/>
    <w:rsid w:val="00F13B28"/>
    <w:rsid w:val="00F13F80"/>
    <w:rsid w:val="00F14544"/>
    <w:rsid w:val="00F156A0"/>
    <w:rsid w:val="00F15730"/>
    <w:rsid w:val="00F1613F"/>
    <w:rsid w:val="00F169B5"/>
    <w:rsid w:val="00F202C2"/>
    <w:rsid w:val="00F21163"/>
    <w:rsid w:val="00F212F6"/>
    <w:rsid w:val="00F2179B"/>
    <w:rsid w:val="00F21FF9"/>
    <w:rsid w:val="00F221FA"/>
    <w:rsid w:val="00F226A3"/>
    <w:rsid w:val="00F22756"/>
    <w:rsid w:val="00F22D5A"/>
    <w:rsid w:val="00F23735"/>
    <w:rsid w:val="00F23890"/>
    <w:rsid w:val="00F23D36"/>
    <w:rsid w:val="00F244BD"/>
    <w:rsid w:val="00F2504D"/>
    <w:rsid w:val="00F25DE1"/>
    <w:rsid w:val="00F2619C"/>
    <w:rsid w:val="00F261D0"/>
    <w:rsid w:val="00F2637F"/>
    <w:rsid w:val="00F268F7"/>
    <w:rsid w:val="00F26DAB"/>
    <w:rsid w:val="00F279EC"/>
    <w:rsid w:val="00F3022D"/>
    <w:rsid w:val="00F306B0"/>
    <w:rsid w:val="00F30B83"/>
    <w:rsid w:val="00F30BDB"/>
    <w:rsid w:val="00F30CF8"/>
    <w:rsid w:val="00F31119"/>
    <w:rsid w:val="00F31A44"/>
    <w:rsid w:val="00F31EDF"/>
    <w:rsid w:val="00F32411"/>
    <w:rsid w:val="00F324A0"/>
    <w:rsid w:val="00F32CDE"/>
    <w:rsid w:val="00F32D4C"/>
    <w:rsid w:val="00F33079"/>
    <w:rsid w:val="00F3327E"/>
    <w:rsid w:val="00F338C3"/>
    <w:rsid w:val="00F33AD8"/>
    <w:rsid w:val="00F343D9"/>
    <w:rsid w:val="00F34679"/>
    <w:rsid w:val="00F347E3"/>
    <w:rsid w:val="00F34B14"/>
    <w:rsid w:val="00F34F58"/>
    <w:rsid w:val="00F35D45"/>
    <w:rsid w:val="00F35DA7"/>
    <w:rsid w:val="00F36671"/>
    <w:rsid w:val="00F36A6A"/>
    <w:rsid w:val="00F36AA2"/>
    <w:rsid w:val="00F3760F"/>
    <w:rsid w:val="00F37CCA"/>
    <w:rsid w:val="00F40101"/>
    <w:rsid w:val="00F404F7"/>
    <w:rsid w:val="00F40CCA"/>
    <w:rsid w:val="00F40E9D"/>
    <w:rsid w:val="00F415F7"/>
    <w:rsid w:val="00F416A9"/>
    <w:rsid w:val="00F41960"/>
    <w:rsid w:val="00F41B0B"/>
    <w:rsid w:val="00F41D7E"/>
    <w:rsid w:val="00F429BE"/>
    <w:rsid w:val="00F42D97"/>
    <w:rsid w:val="00F43053"/>
    <w:rsid w:val="00F436B2"/>
    <w:rsid w:val="00F43813"/>
    <w:rsid w:val="00F43FEE"/>
    <w:rsid w:val="00F44A65"/>
    <w:rsid w:val="00F451D3"/>
    <w:rsid w:val="00F45A72"/>
    <w:rsid w:val="00F45C01"/>
    <w:rsid w:val="00F45EC1"/>
    <w:rsid w:val="00F465CF"/>
    <w:rsid w:val="00F46723"/>
    <w:rsid w:val="00F4706D"/>
    <w:rsid w:val="00F47D1D"/>
    <w:rsid w:val="00F47F29"/>
    <w:rsid w:val="00F50016"/>
    <w:rsid w:val="00F508DB"/>
    <w:rsid w:val="00F50D2C"/>
    <w:rsid w:val="00F5118A"/>
    <w:rsid w:val="00F51572"/>
    <w:rsid w:val="00F51929"/>
    <w:rsid w:val="00F5195A"/>
    <w:rsid w:val="00F51A21"/>
    <w:rsid w:val="00F52614"/>
    <w:rsid w:val="00F5276E"/>
    <w:rsid w:val="00F52E9F"/>
    <w:rsid w:val="00F53304"/>
    <w:rsid w:val="00F53B81"/>
    <w:rsid w:val="00F53C32"/>
    <w:rsid w:val="00F540FE"/>
    <w:rsid w:val="00F54AF2"/>
    <w:rsid w:val="00F54D8B"/>
    <w:rsid w:val="00F54F21"/>
    <w:rsid w:val="00F5536D"/>
    <w:rsid w:val="00F556FF"/>
    <w:rsid w:val="00F55D12"/>
    <w:rsid w:val="00F56464"/>
    <w:rsid w:val="00F5687F"/>
    <w:rsid w:val="00F57190"/>
    <w:rsid w:val="00F57343"/>
    <w:rsid w:val="00F5745F"/>
    <w:rsid w:val="00F5749F"/>
    <w:rsid w:val="00F575C7"/>
    <w:rsid w:val="00F577EE"/>
    <w:rsid w:val="00F57FD0"/>
    <w:rsid w:val="00F60305"/>
    <w:rsid w:val="00F609FA"/>
    <w:rsid w:val="00F61420"/>
    <w:rsid w:val="00F61A2A"/>
    <w:rsid w:val="00F61B12"/>
    <w:rsid w:val="00F62FE9"/>
    <w:rsid w:val="00F63264"/>
    <w:rsid w:val="00F634E4"/>
    <w:rsid w:val="00F6379E"/>
    <w:rsid w:val="00F646DA"/>
    <w:rsid w:val="00F65171"/>
    <w:rsid w:val="00F6556A"/>
    <w:rsid w:val="00F65AC6"/>
    <w:rsid w:val="00F65E89"/>
    <w:rsid w:val="00F66B8B"/>
    <w:rsid w:val="00F66C0F"/>
    <w:rsid w:val="00F671E8"/>
    <w:rsid w:val="00F67844"/>
    <w:rsid w:val="00F70172"/>
    <w:rsid w:val="00F70799"/>
    <w:rsid w:val="00F70A8B"/>
    <w:rsid w:val="00F70B8D"/>
    <w:rsid w:val="00F70F50"/>
    <w:rsid w:val="00F71E6C"/>
    <w:rsid w:val="00F722B0"/>
    <w:rsid w:val="00F724FB"/>
    <w:rsid w:val="00F725CB"/>
    <w:rsid w:val="00F726B8"/>
    <w:rsid w:val="00F72A26"/>
    <w:rsid w:val="00F733C3"/>
    <w:rsid w:val="00F74077"/>
    <w:rsid w:val="00F746A1"/>
    <w:rsid w:val="00F756DD"/>
    <w:rsid w:val="00F75C97"/>
    <w:rsid w:val="00F76556"/>
    <w:rsid w:val="00F779B8"/>
    <w:rsid w:val="00F77F4E"/>
    <w:rsid w:val="00F80047"/>
    <w:rsid w:val="00F800C7"/>
    <w:rsid w:val="00F8104D"/>
    <w:rsid w:val="00F81587"/>
    <w:rsid w:val="00F81BDB"/>
    <w:rsid w:val="00F82267"/>
    <w:rsid w:val="00F8288F"/>
    <w:rsid w:val="00F83253"/>
    <w:rsid w:val="00F83915"/>
    <w:rsid w:val="00F83D89"/>
    <w:rsid w:val="00F84802"/>
    <w:rsid w:val="00F84B35"/>
    <w:rsid w:val="00F8519C"/>
    <w:rsid w:val="00F853F7"/>
    <w:rsid w:val="00F85B72"/>
    <w:rsid w:val="00F864D9"/>
    <w:rsid w:val="00F86E30"/>
    <w:rsid w:val="00F8766F"/>
    <w:rsid w:val="00F87A69"/>
    <w:rsid w:val="00F91082"/>
    <w:rsid w:val="00F9116D"/>
    <w:rsid w:val="00F91A9A"/>
    <w:rsid w:val="00F93ABB"/>
    <w:rsid w:val="00F93E53"/>
    <w:rsid w:val="00F94B20"/>
    <w:rsid w:val="00F94D79"/>
    <w:rsid w:val="00F94EDB"/>
    <w:rsid w:val="00F9529B"/>
    <w:rsid w:val="00F96261"/>
    <w:rsid w:val="00F963CC"/>
    <w:rsid w:val="00F964F2"/>
    <w:rsid w:val="00F96F28"/>
    <w:rsid w:val="00F96F2F"/>
    <w:rsid w:val="00F978B8"/>
    <w:rsid w:val="00F97A7F"/>
    <w:rsid w:val="00F97B72"/>
    <w:rsid w:val="00F97C17"/>
    <w:rsid w:val="00FA0889"/>
    <w:rsid w:val="00FA1514"/>
    <w:rsid w:val="00FA16E7"/>
    <w:rsid w:val="00FA1D10"/>
    <w:rsid w:val="00FA234C"/>
    <w:rsid w:val="00FA2656"/>
    <w:rsid w:val="00FA278B"/>
    <w:rsid w:val="00FA27AC"/>
    <w:rsid w:val="00FA2BDC"/>
    <w:rsid w:val="00FA31C7"/>
    <w:rsid w:val="00FA396F"/>
    <w:rsid w:val="00FA472D"/>
    <w:rsid w:val="00FA47BA"/>
    <w:rsid w:val="00FA4BB3"/>
    <w:rsid w:val="00FA4BD0"/>
    <w:rsid w:val="00FA6702"/>
    <w:rsid w:val="00FA7282"/>
    <w:rsid w:val="00FB0CBF"/>
    <w:rsid w:val="00FB0CEE"/>
    <w:rsid w:val="00FB18F6"/>
    <w:rsid w:val="00FB19A7"/>
    <w:rsid w:val="00FB1B5F"/>
    <w:rsid w:val="00FB1D0C"/>
    <w:rsid w:val="00FB224F"/>
    <w:rsid w:val="00FB2A52"/>
    <w:rsid w:val="00FB2CD6"/>
    <w:rsid w:val="00FB3075"/>
    <w:rsid w:val="00FB40AB"/>
    <w:rsid w:val="00FB52C7"/>
    <w:rsid w:val="00FB57DC"/>
    <w:rsid w:val="00FB583D"/>
    <w:rsid w:val="00FB6B45"/>
    <w:rsid w:val="00FB6E19"/>
    <w:rsid w:val="00FB71F6"/>
    <w:rsid w:val="00FC03F7"/>
    <w:rsid w:val="00FC09E2"/>
    <w:rsid w:val="00FC0AF8"/>
    <w:rsid w:val="00FC1483"/>
    <w:rsid w:val="00FC1736"/>
    <w:rsid w:val="00FC1B5A"/>
    <w:rsid w:val="00FC1C47"/>
    <w:rsid w:val="00FC2B3C"/>
    <w:rsid w:val="00FC308C"/>
    <w:rsid w:val="00FC3102"/>
    <w:rsid w:val="00FC39ED"/>
    <w:rsid w:val="00FC4419"/>
    <w:rsid w:val="00FC47E2"/>
    <w:rsid w:val="00FC4AA5"/>
    <w:rsid w:val="00FC4B88"/>
    <w:rsid w:val="00FC4BB8"/>
    <w:rsid w:val="00FC4D05"/>
    <w:rsid w:val="00FC5148"/>
    <w:rsid w:val="00FC612C"/>
    <w:rsid w:val="00FC6982"/>
    <w:rsid w:val="00FC710E"/>
    <w:rsid w:val="00FC75AC"/>
    <w:rsid w:val="00FC7AFB"/>
    <w:rsid w:val="00FC7D5A"/>
    <w:rsid w:val="00FC7F7F"/>
    <w:rsid w:val="00FD01BF"/>
    <w:rsid w:val="00FD0525"/>
    <w:rsid w:val="00FD0AB7"/>
    <w:rsid w:val="00FD1842"/>
    <w:rsid w:val="00FD297D"/>
    <w:rsid w:val="00FD2D13"/>
    <w:rsid w:val="00FD4233"/>
    <w:rsid w:val="00FD4A31"/>
    <w:rsid w:val="00FD5964"/>
    <w:rsid w:val="00FD6071"/>
    <w:rsid w:val="00FD633B"/>
    <w:rsid w:val="00FD6A47"/>
    <w:rsid w:val="00FD705C"/>
    <w:rsid w:val="00FD70C6"/>
    <w:rsid w:val="00FE06AF"/>
    <w:rsid w:val="00FE0794"/>
    <w:rsid w:val="00FE0A85"/>
    <w:rsid w:val="00FE1041"/>
    <w:rsid w:val="00FE1488"/>
    <w:rsid w:val="00FE1DDF"/>
    <w:rsid w:val="00FE24CB"/>
    <w:rsid w:val="00FE323F"/>
    <w:rsid w:val="00FE3473"/>
    <w:rsid w:val="00FE35F4"/>
    <w:rsid w:val="00FE374B"/>
    <w:rsid w:val="00FE3AE0"/>
    <w:rsid w:val="00FE4049"/>
    <w:rsid w:val="00FE4794"/>
    <w:rsid w:val="00FE480F"/>
    <w:rsid w:val="00FE4998"/>
    <w:rsid w:val="00FE533B"/>
    <w:rsid w:val="00FE57DE"/>
    <w:rsid w:val="00FE59EE"/>
    <w:rsid w:val="00FE680E"/>
    <w:rsid w:val="00FE708F"/>
    <w:rsid w:val="00FE7A68"/>
    <w:rsid w:val="00FF0231"/>
    <w:rsid w:val="00FF0B4A"/>
    <w:rsid w:val="00FF11C9"/>
    <w:rsid w:val="00FF13BB"/>
    <w:rsid w:val="00FF1462"/>
    <w:rsid w:val="00FF14C1"/>
    <w:rsid w:val="00FF1C9B"/>
    <w:rsid w:val="00FF1D49"/>
    <w:rsid w:val="00FF203B"/>
    <w:rsid w:val="00FF2425"/>
    <w:rsid w:val="00FF2562"/>
    <w:rsid w:val="00FF3A41"/>
    <w:rsid w:val="00FF3E5B"/>
    <w:rsid w:val="00FF40D3"/>
    <w:rsid w:val="00FF5377"/>
    <w:rsid w:val="00FF54F2"/>
    <w:rsid w:val="00FF57E4"/>
    <w:rsid w:val="00FF6030"/>
    <w:rsid w:val="00FF73E0"/>
    <w:rsid w:val="00FF78E5"/>
    <w:rsid w:val="01AF3D99"/>
    <w:rsid w:val="023E1D2B"/>
    <w:rsid w:val="02511F9D"/>
    <w:rsid w:val="02F753F7"/>
    <w:rsid w:val="03A314B8"/>
    <w:rsid w:val="03D82B98"/>
    <w:rsid w:val="03F83E8B"/>
    <w:rsid w:val="040870E4"/>
    <w:rsid w:val="04D744E3"/>
    <w:rsid w:val="05BC25F9"/>
    <w:rsid w:val="05C56868"/>
    <w:rsid w:val="0681252D"/>
    <w:rsid w:val="068311DE"/>
    <w:rsid w:val="06B61FB7"/>
    <w:rsid w:val="07B72767"/>
    <w:rsid w:val="07BE5F7A"/>
    <w:rsid w:val="08077E72"/>
    <w:rsid w:val="08882DD0"/>
    <w:rsid w:val="09097651"/>
    <w:rsid w:val="092B016A"/>
    <w:rsid w:val="095D1A37"/>
    <w:rsid w:val="096D23DA"/>
    <w:rsid w:val="09CC2AAC"/>
    <w:rsid w:val="09D35A3A"/>
    <w:rsid w:val="0A652D3E"/>
    <w:rsid w:val="0AF94A01"/>
    <w:rsid w:val="0B165F40"/>
    <w:rsid w:val="0B326F2A"/>
    <w:rsid w:val="0C1947F9"/>
    <w:rsid w:val="0C1E2888"/>
    <w:rsid w:val="0C6576FF"/>
    <w:rsid w:val="0C92213C"/>
    <w:rsid w:val="0D84032B"/>
    <w:rsid w:val="0E034839"/>
    <w:rsid w:val="0EEC792B"/>
    <w:rsid w:val="0F2A74C4"/>
    <w:rsid w:val="105B0FFA"/>
    <w:rsid w:val="10A27F31"/>
    <w:rsid w:val="10B92FBD"/>
    <w:rsid w:val="11330D2C"/>
    <w:rsid w:val="11927058"/>
    <w:rsid w:val="12CF4972"/>
    <w:rsid w:val="12EA1CF2"/>
    <w:rsid w:val="13114649"/>
    <w:rsid w:val="13AF4F03"/>
    <w:rsid w:val="146E2BB0"/>
    <w:rsid w:val="14736E66"/>
    <w:rsid w:val="147F458F"/>
    <w:rsid w:val="14CA237D"/>
    <w:rsid w:val="1534169A"/>
    <w:rsid w:val="15C03E03"/>
    <w:rsid w:val="162A25EB"/>
    <w:rsid w:val="16FD2A55"/>
    <w:rsid w:val="17067C1A"/>
    <w:rsid w:val="17366761"/>
    <w:rsid w:val="174006DF"/>
    <w:rsid w:val="176C4613"/>
    <w:rsid w:val="177C01F0"/>
    <w:rsid w:val="17CE6630"/>
    <w:rsid w:val="17FC5B2A"/>
    <w:rsid w:val="18AA4654"/>
    <w:rsid w:val="18D215BE"/>
    <w:rsid w:val="1A225645"/>
    <w:rsid w:val="1A2D400E"/>
    <w:rsid w:val="1AFF0AFE"/>
    <w:rsid w:val="1B4F19F8"/>
    <w:rsid w:val="1BAC59B2"/>
    <w:rsid w:val="1BC51582"/>
    <w:rsid w:val="1BDE0896"/>
    <w:rsid w:val="1C7E2CF4"/>
    <w:rsid w:val="1D612983"/>
    <w:rsid w:val="1E087E4C"/>
    <w:rsid w:val="1E2634B2"/>
    <w:rsid w:val="1ECC44FA"/>
    <w:rsid w:val="1F063325"/>
    <w:rsid w:val="1F6072F8"/>
    <w:rsid w:val="1F7645D2"/>
    <w:rsid w:val="1FAD6012"/>
    <w:rsid w:val="1FBC5DF5"/>
    <w:rsid w:val="1FC74EBF"/>
    <w:rsid w:val="205B0ECD"/>
    <w:rsid w:val="20AB7BA1"/>
    <w:rsid w:val="20C3623F"/>
    <w:rsid w:val="21781212"/>
    <w:rsid w:val="21B83F86"/>
    <w:rsid w:val="21F71068"/>
    <w:rsid w:val="221178A8"/>
    <w:rsid w:val="221213CF"/>
    <w:rsid w:val="221943D6"/>
    <w:rsid w:val="22327A92"/>
    <w:rsid w:val="231D53A2"/>
    <w:rsid w:val="236D5383"/>
    <w:rsid w:val="23B7504C"/>
    <w:rsid w:val="24571307"/>
    <w:rsid w:val="25110A2A"/>
    <w:rsid w:val="256C0944"/>
    <w:rsid w:val="25B316D6"/>
    <w:rsid w:val="26446DE3"/>
    <w:rsid w:val="269669E7"/>
    <w:rsid w:val="26D7699F"/>
    <w:rsid w:val="26F47815"/>
    <w:rsid w:val="28083C7A"/>
    <w:rsid w:val="28096C9A"/>
    <w:rsid w:val="280D1651"/>
    <w:rsid w:val="286B254E"/>
    <w:rsid w:val="297B0474"/>
    <w:rsid w:val="298C35B2"/>
    <w:rsid w:val="29FC12D3"/>
    <w:rsid w:val="2A735802"/>
    <w:rsid w:val="2B220D3B"/>
    <w:rsid w:val="2B774624"/>
    <w:rsid w:val="2C7A72BE"/>
    <w:rsid w:val="2C9A7D75"/>
    <w:rsid w:val="2CCA5D75"/>
    <w:rsid w:val="2E9976CE"/>
    <w:rsid w:val="2F401D3C"/>
    <w:rsid w:val="2F5B24E1"/>
    <w:rsid w:val="2FA95C88"/>
    <w:rsid w:val="3041370F"/>
    <w:rsid w:val="30E94B41"/>
    <w:rsid w:val="312B50A3"/>
    <w:rsid w:val="32453A27"/>
    <w:rsid w:val="3263064A"/>
    <w:rsid w:val="32A43132"/>
    <w:rsid w:val="32AC0C06"/>
    <w:rsid w:val="332948C4"/>
    <w:rsid w:val="33D53400"/>
    <w:rsid w:val="3406423A"/>
    <w:rsid w:val="3537750C"/>
    <w:rsid w:val="3537798C"/>
    <w:rsid w:val="35C13FC9"/>
    <w:rsid w:val="35E508C9"/>
    <w:rsid w:val="364257B6"/>
    <w:rsid w:val="36B27F93"/>
    <w:rsid w:val="36BF793A"/>
    <w:rsid w:val="36D4006E"/>
    <w:rsid w:val="36DD37CC"/>
    <w:rsid w:val="37EA5922"/>
    <w:rsid w:val="38276B93"/>
    <w:rsid w:val="38AC3431"/>
    <w:rsid w:val="38FD63A7"/>
    <w:rsid w:val="39404E32"/>
    <w:rsid w:val="39E00529"/>
    <w:rsid w:val="3A0B64A7"/>
    <w:rsid w:val="3A3A25C4"/>
    <w:rsid w:val="3A574DDA"/>
    <w:rsid w:val="3AD3075A"/>
    <w:rsid w:val="3AF74C02"/>
    <w:rsid w:val="3AFC1769"/>
    <w:rsid w:val="3BD10B1A"/>
    <w:rsid w:val="3C0059A5"/>
    <w:rsid w:val="3C134E78"/>
    <w:rsid w:val="3C78423A"/>
    <w:rsid w:val="3DF6345D"/>
    <w:rsid w:val="3E4D4F28"/>
    <w:rsid w:val="3EE13701"/>
    <w:rsid w:val="3F1A4BB3"/>
    <w:rsid w:val="3FEC0F19"/>
    <w:rsid w:val="40044BBB"/>
    <w:rsid w:val="40192BA6"/>
    <w:rsid w:val="40246B2D"/>
    <w:rsid w:val="40F60AC0"/>
    <w:rsid w:val="412819F9"/>
    <w:rsid w:val="42360E2E"/>
    <w:rsid w:val="42550A18"/>
    <w:rsid w:val="429D496A"/>
    <w:rsid w:val="42B75615"/>
    <w:rsid w:val="42F473A1"/>
    <w:rsid w:val="441E62C0"/>
    <w:rsid w:val="45325D14"/>
    <w:rsid w:val="45811C7C"/>
    <w:rsid w:val="468B3EFB"/>
    <w:rsid w:val="46A91E4B"/>
    <w:rsid w:val="470A6193"/>
    <w:rsid w:val="47385210"/>
    <w:rsid w:val="47DC4F5C"/>
    <w:rsid w:val="48B40671"/>
    <w:rsid w:val="49137415"/>
    <w:rsid w:val="499B5738"/>
    <w:rsid w:val="499F244D"/>
    <w:rsid w:val="49E42D58"/>
    <w:rsid w:val="4A973F3F"/>
    <w:rsid w:val="4AF96BC7"/>
    <w:rsid w:val="4B862A85"/>
    <w:rsid w:val="4CE749CB"/>
    <w:rsid w:val="4CEF36E2"/>
    <w:rsid w:val="4CEF4DC5"/>
    <w:rsid w:val="4D5F3EF2"/>
    <w:rsid w:val="4DDA40F3"/>
    <w:rsid w:val="4E257655"/>
    <w:rsid w:val="4EE77E4F"/>
    <w:rsid w:val="4F1C7334"/>
    <w:rsid w:val="4F372380"/>
    <w:rsid w:val="4F372FFB"/>
    <w:rsid w:val="4F3D0E54"/>
    <w:rsid w:val="4FC87F6D"/>
    <w:rsid w:val="4FF17FC8"/>
    <w:rsid w:val="51385D77"/>
    <w:rsid w:val="51577584"/>
    <w:rsid w:val="515D633A"/>
    <w:rsid w:val="51ED403B"/>
    <w:rsid w:val="52395ECD"/>
    <w:rsid w:val="52C10D75"/>
    <w:rsid w:val="53C27FF8"/>
    <w:rsid w:val="54254A68"/>
    <w:rsid w:val="549E1A80"/>
    <w:rsid w:val="54C658F4"/>
    <w:rsid w:val="550C4BD7"/>
    <w:rsid w:val="554C1D56"/>
    <w:rsid w:val="55572986"/>
    <w:rsid w:val="556D7F0A"/>
    <w:rsid w:val="565340FA"/>
    <w:rsid w:val="58156B2C"/>
    <w:rsid w:val="584829F5"/>
    <w:rsid w:val="5A2F2CC8"/>
    <w:rsid w:val="5B3C19CA"/>
    <w:rsid w:val="5C0923EF"/>
    <w:rsid w:val="5C10702D"/>
    <w:rsid w:val="5C8A1B2F"/>
    <w:rsid w:val="5CAD6052"/>
    <w:rsid w:val="5EBE043C"/>
    <w:rsid w:val="5F215B57"/>
    <w:rsid w:val="603E6718"/>
    <w:rsid w:val="606007BB"/>
    <w:rsid w:val="60AC7F66"/>
    <w:rsid w:val="60FC0B32"/>
    <w:rsid w:val="61671D60"/>
    <w:rsid w:val="61BF10D9"/>
    <w:rsid w:val="62AC22DC"/>
    <w:rsid w:val="62B66347"/>
    <w:rsid w:val="62BE0207"/>
    <w:rsid w:val="631A5DD2"/>
    <w:rsid w:val="632F69CC"/>
    <w:rsid w:val="63BD58EA"/>
    <w:rsid w:val="64B41C43"/>
    <w:rsid w:val="64C077D1"/>
    <w:rsid w:val="64DA6587"/>
    <w:rsid w:val="64E45EF7"/>
    <w:rsid w:val="64E51C3C"/>
    <w:rsid w:val="652B2098"/>
    <w:rsid w:val="65D8322D"/>
    <w:rsid w:val="65E71623"/>
    <w:rsid w:val="65F73C69"/>
    <w:rsid w:val="6691014E"/>
    <w:rsid w:val="677435B2"/>
    <w:rsid w:val="679D03F3"/>
    <w:rsid w:val="67EF75F1"/>
    <w:rsid w:val="67F1730A"/>
    <w:rsid w:val="69124F16"/>
    <w:rsid w:val="69CD5C14"/>
    <w:rsid w:val="69CF0D33"/>
    <w:rsid w:val="6A3D41E9"/>
    <w:rsid w:val="6A411BEA"/>
    <w:rsid w:val="6A950824"/>
    <w:rsid w:val="6B27717E"/>
    <w:rsid w:val="6B9946B3"/>
    <w:rsid w:val="6BD875F4"/>
    <w:rsid w:val="6C7007C7"/>
    <w:rsid w:val="6CC565EF"/>
    <w:rsid w:val="6DBE4DBA"/>
    <w:rsid w:val="6DE76850"/>
    <w:rsid w:val="6F23010B"/>
    <w:rsid w:val="6F612734"/>
    <w:rsid w:val="6FB20BD4"/>
    <w:rsid w:val="6FBA59BE"/>
    <w:rsid w:val="70296B3E"/>
    <w:rsid w:val="70611204"/>
    <w:rsid w:val="70C019FC"/>
    <w:rsid w:val="70D8520B"/>
    <w:rsid w:val="71BA489B"/>
    <w:rsid w:val="72FD382E"/>
    <w:rsid w:val="73B029AD"/>
    <w:rsid w:val="74604537"/>
    <w:rsid w:val="74FA2C30"/>
    <w:rsid w:val="754D5C4B"/>
    <w:rsid w:val="76C240A7"/>
    <w:rsid w:val="775246B7"/>
    <w:rsid w:val="781E69D1"/>
    <w:rsid w:val="79535F4F"/>
    <w:rsid w:val="7A263B6B"/>
    <w:rsid w:val="7AF46346"/>
    <w:rsid w:val="7B0F5EBF"/>
    <w:rsid w:val="7B130FB9"/>
    <w:rsid w:val="7B2E25DB"/>
    <w:rsid w:val="7B76754A"/>
    <w:rsid w:val="7BCF4062"/>
    <w:rsid w:val="7BD5275A"/>
    <w:rsid w:val="7BF64EDE"/>
    <w:rsid w:val="7C400C1E"/>
    <w:rsid w:val="7D514044"/>
    <w:rsid w:val="7DBF4132"/>
    <w:rsid w:val="7DD11708"/>
    <w:rsid w:val="7DED5ABE"/>
    <w:rsid w:val="7EC167BD"/>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7"/>
    <w:qFormat/>
    <w:uiPriority w:val="9"/>
    <w:pPr>
      <w:keepNext/>
      <w:keepLines/>
      <w:spacing w:before="260" w:after="260" w:line="416" w:lineRule="auto"/>
      <w:outlineLvl w:val="2"/>
    </w:pPr>
    <w:rPr>
      <w:b/>
      <w:bCs/>
      <w:sz w:val="32"/>
      <w:szCs w:val="32"/>
    </w:rPr>
  </w:style>
  <w:style w:type="paragraph" w:styleId="5">
    <w:name w:val="heading 4"/>
    <w:basedOn w:val="1"/>
    <w:next w:val="1"/>
    <w:link w:val="38"/>
    <w:qFormat/>
    <w:uiPriority w:val="9"/>
    <w:pPr>
      <w:keepNext/>
      <w:keepLines/>
      <w:spacing w:before="280" w:after="290" w:line="374" w:lineRule="auto"/>
      <w:outlineLvl w:val="3"/>
    </w:pPr>
    <w:rPr>
      <w:rFonts w:ascii="Cambria" w:hAnsi="Cambria" w:cs="宋体"/>
      <w:b/>
      <w:bCs/>
      <w:sz w:val="28"/>
      <w:szCs w:val="28"/>
    </w:rPr>
  </w:style>
  <w:style w:type="paragraph" w:styleId="6">
    <w:name w:val="heading 5"/>
    <w:basedOn w:val="1"/>
    <w:next w:val="7"/>
    <w:link w:val="39"/>
    <w:qFormat/>
    <w:uiPriority w:val="9"/>
    <w:pPr>
      <w:keepNext/>
      <w:keepLines/>
      <w:spacing w:before="280" w:after="290" w:line="376" w:lineRule="auto"/>
      <w:outlineLvl w:val="4"/>
    </w:pPr>
    <w:rPr>
      <w:b/>
      <w:bCs/>
      <w:sz w:val="28"/>
      <w:szCs w:val="28"/>
    </w:rPr>
  </w:style>
  <w:style w:type="paragraph" w:styleId="8">
    <w:name w:val="heading 7"/>
    <w:basedOn w:val="1"/>
    <w:next w:val="1"/>
    <w:link w:val="40"/>
    <w:qFormat/>
    <w:uiPriority w:val="0"/>
    <w:pPr>
      <w:keepNext/>
      <w:keepLines/>
      <w:spacing w:before="240" w:after="64" w:line="320" w:lineRule="auto"/>
      <w:outlineLvl w:val="6"/>
    </w:pPr>
    <w:rPr>
      <w:b/>
      <w:bCs/>
      <w:sz w:val="24"/>
    </w:rPr>
  </w:style>
  <w:style w:type="paragraph" w:styleId="9">
    <w:name w:val="heading 8"/>
    <w:basedOn w:val="1"/>
    <w:next w:val="1"/>
    <w:link w:val="41"/>
    <w:qFormat/>
    <w:uiPriority w:val="9"/>
    <w:pPr>
      <w:keepNext/>
      <w:keepLines/>
      <w:spacing w:before="240" w:after="64" w:line="320" w:lineRule="auto"/>
      <w:outlineLvl w:val="7"/>
    </w:pPr>
    <w:rPr>
      <w:rFonts w:ascii="等线 Light" w:hAnsi="等线 Light" w:eastAsia="等线 Light"/>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0">
    <w:name w:val="index 8"/>
    <w:basedOn w:val="1"/>
    <w:next w:val="1"/>
    <w:qFormat/>
    <w:uiPriority w:val="99"/>
    <w:pPr>
      <w:ind w:left="1400" w:leftChars="1400"/>
    </w:pPr>
  </w:style>
  <w:style w:type="paragraph" w:styleId="11">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annotation text"/>
    <w:basedOn w:val="1"/>
    <w:link w:val="42"/>
    <w:qFormat/>
    <w:uiPriority w:val="0"/>
    <w:pPr>
      <w:jc w:val="left"/>
    </w:pPr>
  </w:style>
  <w:style w:type="paragraph" w:styleId="13">
    <w:name w:val="Body Text 3"/>
    <w:basedOn w:val="1"/>
    <w:link w:val="43"/>
    <w:unhideWhenUsed/>
    <w:qFormat/>
    <w:uiPriority w:val="99"/>
    <w:pPr>
      <w:spacing w:after="120"/>
    </w:pPr>
    <w:rPr>
      <w:sz w:val="16"/>
      <w:szCs w:val="16"/>
    </w:rPr>
  </w:style>
  <w:style w:type="paragraph" w:styleId="14">
    <w:name w:val="Body Text"/>
    <w:basedOn w:val="1"/>
    <w:link w:val="44"/>
    <w:unhideWhenUsed/>
    <w:qFormat/>
    <w:uiPriority w:val="0"/>
    <w:pPr>
      <w:spacing w:after="120"/>
    </w:pPr>
  </w:style>
  <w:style w:type="paragraph" w:styleId="15">
    <w:name w:val="Body Text Indent"/>
    <w:basedOn w:val="1"/>
    <w:link w:val="45"/>
    <w:qFormat/>
    <w:uiPriority w:val="0"/>
    <w:pPr>
      <w:ind w:firstLine="830" w:firstLineChars="352"/>
    </w:pPr>
    <w:rPr>
      <w:rFonts w:ascii="仿宋_GB2312" w:eastAsia="仿宋_GB2312"/>
      <w:kern w:val="0"/>
      <w:sz w:val="32"/>
      <w:szCs w:val="20"/>
    </w:rPr>
  </w:style>
  <w:style w:type="paragraph" w:styleId="16">
    <w:name w:val="List 2"/>
    <w:basedOn w:val="1"/>
    <w:unhideWhenUsed/>
    <w:qFormat/>
    <w:uiPriority w:val="99"/>
    <w:pPr>
      <w:ind w:left="100" w:leftChars="200" w:hanging="200" w:hangingChars="200"/>
      <w:contextualSpacing/>
    </w:pPr>
  </w:style>
  <w:style w:type="paragraph" w:styleId="17">
    <w:name w:val="Plain Text"/>
    <w:basedOn w:val="1"/>
    <w:link w:val="46"/>
    <w:qFormat/>
    <w:uiPriority w:val="0"/>
    <w:rPr>
      <w:rFonts w:ascii="宋体" w:hAnsi="Courier New"/>
      <w:kern w:val="0"/>
      <w:sz w:val="20"/>
      <w:szCs w:val="21"/>
    </w:rPr>
  </w:style>
  <w:style w:type="paragraph" w:styleId="18">
    <w:name w:val="Date"/>
    <w:basedOn w:val="1"/>
    <w:next w:val="1"/>
    <w:link w:val="47"/>
    <w:unhideWhenUsed/>
    <w:qFormat/>
    <w:uiPriority w:val="99"/>
    <w:pPr>
      <w:ind w:left="100" w:leftChars="2500"/>
    </w:pPr>
  </w:style>
  <w:style w:type="paragraph" w:styleId="19">
    <w:name w:val="Balloon Text"/>
    <w:basedOn w:val="1"/>
    <w:semiHidden/>
    <w:qFormat/>
    <w:uiPriority w:val="0"/>
    <w:rPr>
      <w:sz w:val="18"/>
      <w:szCs w:val="18"/>
    </w:rPr>
  </w:style>
  <w:style w:type="paragraph" w:styleId="20">
    <w:name w:val="footer"/>
    <w:basedOn w:val="1"/>
    <w:link w:val="48"/>
    <w:unhideWhenUsed/>
    <w:qFormat/>
    <w:uiPriority w:val="99"/>
    <w:pPr>
      <w:tabs>
        <w:tab w:val="center" w:pos="4153"/>
        <w:tab w:val="right" w:pos="8306"/>
      </w:tabs>
      <w:snapToGrid w:val="0"/>
      <w:jc w:val="left"/>
    </w:pPr>
    <w:rPr>
      <w:kern w:val="0"/>
      <w:sz w:val="18"/>
      <w:szCs w:val="18"/>
    </w:rPr>
  </w:style>
  <w:style w:type="paragraph" w:styleId="21">
    <w:name w:val="header"/>
    <w:basedOn w:val="1"/>
    <w:link w:val="4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4">
    <w:name w:val="toc 2"/>
    <w:basedOn w:val="1"/>
    <w:next w:val="1"/>
    <w:unhideWhenUsed/>
    <w:qFormat/>
    <w:uiPriority w:val="39"/>
    <w:pPr>
      <w:tabs>
        <w:tab w:val="right" w:leader="dot" w:pos="8296"/>
      </w:tabs>
      <w:ind w:left="420" w:leftChars="200"/>
    </w:pPr>
  </w:style>
  <w:style w:type="paragraph" w:styleId="25">
    <w:name w:val="Normal (Web)"/>
    <w:basedOn w:val="1"/>
    <w:unhideWhenUsed/>
    <w:qFormat/>
    <w:uiPriority w:val="99"/>
    <w:rPr>
      <w:rFonts w:ascii="Calibri" w:hAnsi="Calibri"/>
      <w:kern w:val="0"/>
      <w:sz w:val="24"/>
    </w:rPr>
  </w:style>
  <w:style w:type="paragraph" w:styleId="26">
    <w:name w:val="annotation subject"/>
    <w:basedOn w:val="12"/>
    <w:next w:val="12"/>
    <w:link w:val="50"/>
    <w:qFormat/>
    <w:uiPriority w:val="99"/>
    <w:rPr>
      <w:b/>
      <w:bCs/>
    </w:rPr>
  </w:style>
  <w:style w:type="paragraph" w:styleId="27">
    <w:name w:val="Body Text First Indent 2"/>
    <w:basedOn w:val="15"/>
    <w:next w:val="1"/>
    <w:qFormat/>
    <w:uiPriority w:val="0"/>
    <w:pPr>
      <w:ind w:firstLine="420" w:firstLineChars="200"/>
    </w:p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endnote reference"/>
    <w:unhideWhenUsed/>
    <w:qFormat/>
    <w:uiPriority w:val="99"/>
    <w:rPr>
      <w:vertAlign w:val="superscript"/>
    </w:rPr>
  </w:style>
  <w:style w:type="character" w:styleId="33">
    <w:name w:val="Hyperlink"/>
    <w:unhideWhenUsed/>
    <w:qFormat/>
    <w:uiPriority w:val="99"/>
    <w:rPr>
      <w:color w:val="0000FF"/>
      <w:u w:val="single"/>
    </w:rPr>
  </w:style>
  <w:style w:type="character" w:styleId="34">
    <w:name w:val="annotation reference"/>
    <w:qFormat/>
    <w:uiPriority w:val="0"/>
    <w:rPr>
      <w:sz w:val="21"/>
      <w:szCs w:val="21"/>
    </w:rPr>
  </w:style>
  <w:style w:type="character" w:customStyle="1" w:styleId="35">
    <w:name w:val="标题 1 Char2"/>
    <w:link w:val="2"/>
    <w:qFormat/>
    <w:uiPriority w:val="0"/>
    <w:rPr>
      <w:b/>
      <w:bCs/>
      <w:kern w:val="44"/>
      <w:sz w:val="44"/>
      <w:szCs w:val="44"/>
    </w:rPr>
  </w:style>
  <w:style w:type="character" w:customStyle="1" w:styleId="36">
    <w:name w:val="标题 2 Char2"/>
    <w:link w:val="3"/>
    <w:qFormat/>
    <w:uiPriority w:val="9"/>
    <w:rPr>
      <w:rFonts w:ascii="Cambria" w:hAnsi="Cambria" w:eastAsia="宋体" w:cs="Times New Roman"/>
      <w:b/>
      <w:bCs/>
      <w:kern w:val="2"/>
      <w:sz w:val="32"/>
      <w:szCs w:val="32"/>
    </w:rPr>
  </w:style>
  <w:style w:type="character" w:customStyle="1" w:styleId="37">
    <w:name w:val="标题 3 Char1"/>
    <w:link w:val="4"/>
    <w:qFormat/>
    <w:uiPriority w:val="9"/>
    <w:rPr>
      <w:b/>
      <w:bCs/>
      <w:kern w:val="2"/>
      <w:sz w:val="32"/>
      <w:szCs w:val="32"/>
    </w:rPr>
  </w:style>
  <w:style w:type="character" w:customStyle="1" w:styleId="38">
    <w:name w:val="标题 4 Char"/>
    <w:link w:val="5"/>
    <w:semiHidden/>
    <w:qFormat/>
    <w:uiPriority w:val="9"/>
    <w:rPr>
      <w:rFonts w:ascii="Cambria" w:hAnsi="Cambria" w:cs="宋体"/>
      <w:b/>
      <w:bCs/>
      <w:kern w:val="2"/>
      <w:sz w:val="28"/>
      <w:szCs w:val="28"/>
    </w:rPr>
  </w:style>
  <w:style w:type="character" w:customStyle="1" w:styleId="39">
    <w:name w:val="标题 5 Char1"/>
    <w:link w:val="6"/>
    <w:semiHidden/>
    <w:qFormat/>
    <w:uiPriority w:val="9"/>
    <w:rPr>
      <w:rFonts w:ascii="Times New Roman" w:hAnsi="Times New Roman"/>
      <w:b/>
      <w:bCs/>
      <w:kern w:val="2"/>
      <w:sz w:val="28"/>
      <w:szCs w:val="28"/>
    </w:rPr>
  </w:style>
  <w:style w:type="character" w:customStyle="1" w:styleId="40">
    <w:name w:val="标题 7 Char1"/>
    <w:link w:val="8"/>
    <w:qFormat/>
    <w:uiPriority w:val="0"/>
    <w:rPr>
      <w:b/>
      <w:bCs/>
      <w:kern w:val="2"/>
      <w:sz w:val="24"/>
      <w:szCs w:val="24"/>
    </w:rPr>
  </w:style>
  <w:style w:type="character" w:customStyle="1" w:styleId="41">
    <w:name w:val="标题 8 Char2"/>
    <w:link w:val="9"/>
    <w:semiHidden/>
    <w:qFormat/>
    <w:uiPriority w:val="9"/>
    <w:rPr>
      <w:rFonts w:ascii="等线 Light" w:hAnsi="等线 Light" w:eastAsia="等线 Light" w:cs="Times New Roman"/>
      <w:kern w:val="2"/>
      <w:sz w:val="24"/>
      <w:szCs w:val="24"/>
    </w:rPr>
  </w:style>
  <w:style w:type="character" w:customStyle="1" w:styleId="42">
    <w:name w:val="批注文字 Char4"/>
    <w:link w:val="12"/>
    <w:qFormat/>
    <w:uiPriority w:val="0"/>
    <w:rPr>
      <w:rFonts w:ascii="Times New Roman" w:hAnsi="Times New Roman"/>
      <w:kern w:val="2"/>
      <w:sz w:val="21"/>
      <w:szCs w:val="24"/>
    </w:rPr>
  </w:style>
  <w:style w:type="character" w:customStyle="1" w:styleId="43">
    <w:name w:val="正文文本 3 Char1"/>
    <w:link w:val="13"/>
    <w:semiHidden/>
    <w:qFormat/>
    <w:uiPriority w:val="99"/>
    <w:rPr>
      <w:kern w:val="2"/>
      <w:sz w:val="16"/>
      <w:szCs w:val="16"/>
    </w:rPr>
  </w:style>
  <w:style w:type="character" w:customStyle="1" w:styleId="44">
    <w:name w:val="正文文本 Char3"/>
    <w:link w:val="14"/>
    <w:qFormat/>
    <w:uiPriority w:val="0"/>
    <w:rPr>
      <w:rFonts w:ascii="Times New Roman" w:hAnsi="Times New Roman"/>
      <w:kern w:val="2"/>
      <w:sz w:val="21"/>
      <w:szCs w:val="24"/>
    </w:rPr>
  </w:style>
  <w:style w:type="character" w:customStyle="1" w:styleId="45">
    <w:name w:val="正文文本缩进 Char1"/>
    <w:link w:val="15"/>
    <w:qFormat/>
    <w:uiPriority w:val="0"/>
    <w:rPr>
      <w:rFonts w:ascii="仿宋_GB2312" w:hAnsi="Times New Roman" w:eastAsia="仿宋_GB2312" w:cs="Times New Roman"/>
      <w:sz w:val="32"/>
      <w:szCs w:val="20"/>
    </w:rPr>
  </w:style>
  <w:style w:type="character" w:customStyle="1" w:styleId="46">
    <w:name w:val="纯文本 Char3"/>
    <w:link w:val="17"/>
    <w:qFormat/>
    <w:uiPriority w:val="0"/>
    <w:rPr>
      <w:rFonts w:ascii="宋体" w:hAnsi="Courier New" w:eastAsia="宋体" w:cs="Courier New"/>
      <w:szCs w:val="21"/>
    </w:rPr>
  </w:style>
  <w:style w:type="character" w:customStyle="1" w:styleId="47">
    <w:name w:val="日期 Char1"/>
    <w:link w:val="18"/>
    <w:semiHidden/>
    <w:qFormat/>
    <w:uiPriority w:val="99"/>
    <w:rPr>
      <w:rFonts w:ascii="Times New Roman" w:hAnsi="Times New Roman"/>
      <w:kern w:val="2"/>
      <w:sz w:val="21"/>
      <w:szCs w:val="24"/>
    </w:rPr>
  </w:style>
  <w:style w:type="character" w:customStyle="1" w:styleId="48">
    <w:name w:val="页脚 Char2"/>
    <w:link w:val="20"/>
    <w:qFormat/>
    <w:uiPriority w:val="99"/>
    <w:rPr>
      <w:sz w:val="18"/>
      <w:szCs w:val="18"/>
    </w:rPr>
  </w:style>
  <w:style w:type="character" w:customStyle="1" w:styleId="49">
    <w:name w:val="页眉 Char2"/>
    <w:link w:val="21"/>
    <w:qFormat/>
    <w:uiPriority w:val="99"/>
    <w:rPr>
      <w:sz w:val="18"/>
      <w:szCs w:val="18"/>
    </w:rPr>
  </w:style>
  <w:style w:type="character" w:customStyle="1" w:styleId="50">
    <w:name w:val="批注主题 Char1"/>
    <w:link w:val="26"/>
    <w:qFormat/>
    <w:uiPriority w:val="99"/>
    <w:rPr>
      <w:rFonts w:ascii="Times New Roman" w:hAnsi="Times New Roman"/>
      <w:b/>
      <w:bCs/>
      <w:kern w:val="2"/>
      <w:sz w:val="21"/>
      <w:szCs w:val="24"/>
    </w:rPr>
  </w:style>
  <w:style w:type="character" w:customStyle="1" w:styleId="51">
    <w:name w:val="正文文本 Char"/>
    <w:qFormat/>
    <w:uiPriority w:val="0"/>
    <w:rPr>
      <w:rFonts w:ascii="Times New Roman" w:hAnsi="Times New Roman"/>
      <w:kern w:val="2"/>
      <w:sz w:val="21"/>
      <w:szCs w:val="24"/>
    </w:rPr>
  </w:style>
  <w:style w:type="character" w:customStyle="1" w:styleId="52">
    <w:name w:val="纯文本 Char"/>
    <w:qFormat/>
    <w:uiPriority w:val="99"/>
    <w:rPr>
      <w:rFonts w:ascii="宋体" w:hAnsi="Courier New" w:eastAsia="宋体" w:cs="Courier New"/>
      <w:szCs w:val="21"/>
    </w:rPr>
  </w:style>
  <w:style w:type="character" w:customStyle="1" w:styleId="53">
    <w:name w:val="纯文本 字符2"/>
    <w:qFormat/>
    <w:uiPriority w:val="0"/>
    <w:rPr>
      <w:rFonts w:ascii="宋体" w:hAnsi="Courier New" w:eastAsia="宋体" w:cs="Courier New"/>
      <w:szCs w:val="21"/>
    </w:rPr>
  </w:style>
  <w:style w:type="character" w:customStyle="1" w:styleId="54">
    <w:name w:val="apple-style-span"/>
    <w:qFormat/>
    <w:uiPriority w:val="0"/>
  </w:style>
  <w:style w:type="character" w:customStyle="1" w:styleId="55">
    <w:name w:val="标题 8 Char"/>
    <w:qFormat/>
    <w:uiPriority w:val="0"/>
    <w:rPr>
      <w:rFonts w:ascii="Arial" w:hAnsi="Arial" w:eastAsia="黑体"/>
      <w:kern w:val="2"/>
      <w:sz w:val="24"/>
      <w:szCs w:val="24"/>
    </w:rPr>
  </w:style>
  <w:style w:type="character" w:customStyle="1" w:styleId="56">
    <w:name w:val="批注文字 字符"/>
    <w:qFormat/>
    <w:uiPriority w:val="0"/>
    <w:rPr>
      <w:rFonts w:ascii="Times New Roman" w:hAnsi="Times New Roman"/>
      <w:kern w:val="2"/>
      <w:sz w:val="21"/>
      <w:szCs w:val="24"/>
    </w:rPr>
  </w:style>
  <w:style w:type="character" w:customStyle="1" w:styleId="57">
    <w:name w:val="正文文本 字符"/>
    <w:qFormat/>
    <w:uiPriority w:val="0"/>
    <w:rPr>
      <w:rFonts w:ascii="Times New Roman" w:hAnsi="Times New Roman"/>
      <w:kern w:val="2"/>
      <w:sz w:val="21"/>
      <w:szCs w:val="24"/>
    </w:rPr>
  </w:style>
  <w:style w:type="character" w:customStyle="1" w:styleId="58">
    <w:name w:val="纯文本 字符1"/>
    <w:qFormat/>
    <w:uiPriority w:val="0"/>
    <w:rPr>
      <w:rFonts w:ascii="宋体" w:hAnsi="Courier New"/>
    </w:rPr>
  </w:style>
  <w:style w:type="character" w:customStyle="1" w:styleId="59">
    <w:name w:val="批注文字 Char"/>
    <w:qFormat/>
    <w:uiPriority w:val="0"/>
    <w:rPr>
      <w:rFonts w:ascii="Times New Roman" w:hAnsi="Times New Roman"/>
      <w:kern w:val="2"/>
      <w:sz w:val="21"/>
      <w:szCs w:val="24"/>
    </w:rPr>
  </w:style>
  <w:style w:type="character" w:customStyle="1" w:styleId="60">
    <w:name w:val="标题 2 Char"/>
    <w:qFormat/>
    <w:uiPriority w:val="9"/>
    <w:rPr>
      <w:rFonts w:ascii="Cambria" w:hAnsi="Cambria" w:eastAsia="宋体" w:cs="Times New Roman"/>
      <w:b/>
      <w:bCs/>
      <w:kern w:val="2"/>
      <w:sz w:val="32"/>
      <w:szCs w:val="32"/>
    </w:rPr>
  </w:style>
  <w:style w:type="character" w:customStyle="1" w:styleId="6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2">
    <w:name w:val="批注文字 字符1"/>
    <w:qFormat/>
    <w:uiPriority w:val="0"/>
    <w:rPr>
      <w:rFonts w:ascii="Times New Roman" w:hAnsi="Times New Roman"/>
      <w:kern w:val="2"/>
      <w:sz w:val="21"/>
      <w:szCs w:val="24"/>
    </w:rPr>
  </w:style>
  <w:style w:type="character" w:customStyle="1" w:styleId="63">
    <w:name w:val="textcontents"/>
    <w:qFormat/>
    <w:uiPriority w:val="0"/>
  </w:style>
  <w:style w:type="character" w:customStyle="1" w:styleId="64">
    <w:name w:val="标题 1 字符"/>
    <w:qFormat/>
    <w:uiPriority w:val="9"/>
    <w:rPr>
      <w:b/>
      <w:bCs/>
      <w:kern w:val="44"/>
      <w:sz w:val="44"/>
      <w:szCs w:val="44"/>
    </w:rPr>
  </w:style>
  <w:style w:type="paragraph" w:customStyle="1" w:styleId="6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6">
    <w:name w:val="List Paragraph"/>
    <w:basedOn w:val="1"/>
    <w:qFormat/>
    <w:uiPriority w:val="34"/>
    <w:pPr>
      <w:ind w:firstLine="420" w:firstLineChars="200"/>
    </w:pPr>
  </w:style>
  <w:style w:type="paragraph" w:customStyle="1" w:styleId="67">
    <w:name w:val="默认段落字体 Para Char Char Char Char Char Char Char Char Char1 Char Char Char Char"/>
    <w:basedOn w:val="1"/>
    <w:qFormat/>
    <w:uiPriority w:val="0"/>
    <w:rPr>
      <w:rFonts w:ascii="Tahoma" w:hAnsi="Tahoma"/>
      <w:sz w:val="24"/>
      <w:szCs w:val="20"/>
    </w:rPr>
  </w:style>
  <w:style w:type="paragraph" w:customStyle="1" w:styleId="68">
    <w:name w:val="Table Paragraph"/>
    <w:basedOn w:val="1"/>
    <w:qFormat/>
    <w:uiPriority w:val="1"/>
    <w:pPr>
      <w:jc w:val="left"/>
    </w:pPr>
    <w:rPr>
      <w:rFonts w:ascii="Calibri" w:hAnsi="Calibri"/>
      <w:kern w:val="0"/>
      <w:sz w:val="22"/>
      <w:szCs w:val="22"/>
      <w:lang w:eastAsia="en-US"/>
    </w:rPr>
  </w:style>
  <w:style w:type="character" w:customStyle="1" w:styleId="69">
    <w:name w:val="页脚 字符"/>
    <w:qFormat/>
    <w:uiPriority w:val="99"/>
    <w:rPr>
      <w:sz w:val="18"/>
      <w:szCs w:val="18"/>
    </w:rPr>
  </w:style>
  <w:style w:type="character" w:customStyle="1" w:styleId="70">
    <w:name w:val="标题 2 字符"/>
    <w:qFormat/>
    <w:uiPriority w:val="9"/>
    <w:rPr>
      <w:rFonts w:ascii="Cambria" w:hAnsi="Cambria" w:eastAsia="宋体" w:cs="Times New Roman"/>
      <w:b/>
      <w:bCs/>
      <w:kern w:val="2"/>
      <w:sz w:val="32"/>
      <w:szCs w:val="32"/>
    </w:rPr>
  </w:style>
  <w:style w:type="character" w:customStyle="1" w:styleId="71">
    <w:name w:val="纯文本 字符"/>
    <w:qFormat/>
    <w:uiPriority w:val="0"/>
    <w:rPr>
      <w:rFonts w:ascii="宋体" w:hAnsi="Courier New" w:eastAsia="宋体" w:cs="Courier New"/>
      <w:szCs w:val="21"/>
    </w:rPr>
  </w:style>
  <w:style w:type="character" w:customStyle="1" w:styleId="72">
    <w:name w:val="正文2 Char Char"/>
    <w:link w:val="73"/>
    <w:qFormat/>
    <w:uiPriority w:val="0"/>
    <w:rPr>
      <w:kern w:val="2"/>
      <w:sz w:val="24"/>
    </w:rPr>
  </w:style>
  <w:style w:type="paragraph" w:customStyle="1" w:styleId="73">
    <w:name w:val="正文2"/>
    <w:basedOn w:val="1"/>
    <w:link w:val="72"/>
    <w:qFormat/>
    <w:uiPriority w:val="0"/>
    <w:pPr>
      <w:adjustRightInd w:val="0"/>
      <w:spacing w:before="156" w:line="360" w:lineRule="auto"/>
      <w:ind w:firstLine="510" w:firstLineChars="200"/>
    </w:pPr>
    <w:rPr>
      <w:sz w:val="24"/>
      <w:szCs w:val="20"/>
    </w:rPr>
  </w:style>
  <w:style w:type="character" w:customStyle="1" w:styleId="74">
    <w:name w:val="_Style 72"/>
    <w:unhideWhenUsed/>
    <w:qFormat/>
    <w:uiPriority w:val="99"/>
    <w:rPr>
      <w:color w:val="605E5C"/>
      <w:shd w:val="clear" w:color="auto" w:fill="E1DFDD"/>
    </w:rPr>
  </w:style>
  <w:style w:type="paragraph" w:customStyle="1" w:styleId="75">
    <w:name w:val="首行缩进"/>
    <w:basedOn w:val="1"/>
    <w:qFormat/>
    <w:uiPriority w:val="0"/>
    <w:pPr>
      <w:spacing w:line="400" w:lineRule="exact"/>
      <w:ind w:firstLine="480" w:firstLineChars="200"/>
      <w:jc w:val="left"/>
    </w:pPr>
    <w:rPr>
      <w:lang w:val="zh-CN"/>
    </w:rPr>
  </w:style>
  <w:style w:type="character" w:customStyle="1" w:styleId="76">
    <w:name w:val="NormalCharacter"/>
    <w:qFormat/>
    <w:uiPriority w:val="0"/>
    <w:rPr>
      <w:rFonts w:ascii="Calibri" w:hAnsi="Calibri" w:eastAsia="宋体"/>
    </w:rPr>
  </w:style>
  <w:style w:type="character" w:customStyle="1" w:styleId="77">
    <w:name w:val="页脚 Char1"/>
    <w:qFormat/>
    <w:uiPriority w:val="0"/>
    <w:rPr>
      <w:sz w:val="18"/>
      <w:szCs w:val="18"/>
    </w:rPr>
  </w:style>
  <w:style w:type="paragraph" w:customStyle="1" w:styleId="78">
    <w:name w:val="_Style 79"/>
    <w:basedOn w:val="1"/>
    <w:next w:val="1"/>
    <w:unhideWhenUsed/>
    <w:qFormat/>
    <w:uiPriority w:val="39"/>
  </w:style>
  <w:style w:type="character" w:customStyle="1" w:styleId="79">
    <w:name w:val="批注文字 Char1"/>
    <w:qFormat/>
    <w:uiPriority w:val="0"/>
    <w:rPr>
      <w:rFonts w:ascii="Times New Roman" w:hAnsi="Times New Roman"/>
      <w:kern w:val="2"/>
      <w:sz w:val="21"/>
      <w:szCs w:val="24"/>
    </w:rPr>
  </w:style>
  <w:style w:type="character" w:customStyle="1" w:styleId="80">
    <w:name w:val="纯文本 Char1"/>
    <w:qFormat/>
    <w:uiPriority w:val="0"/>
    <w:rPr>
      <w:rFonts w:ascii="宋体" w:hAnsi="Courier New"/>
      <w:szCs w:val="21"/>
    </w:rPr>
  </w:style>
  <w:style w:type="paragraph" w:customStyle="1" w:styleId="81">
    <w:name w:val="DAS正文"/>
    <w:basedOn w:val="1"/>
    <w:qFormat/>
    <w:uiPriority w:val="0"/>
    <w:pPr>
      <w:ind w:right="181" w:firstLine="480"/>
    </w:pPr>
    <w:rPr>
      <w:rFonts w:ascii="Verdana" w:hAnsi="Verdana"/>
    </w:rPr>
  </w:style>
  <w:style w:type="character" w:customStyle="1" w:styleId="82">
    <w:name w:val="标题 1 Char1"/>
    <w:qFormat/>
    <w:locked/>
    <w:uiPriority w:val="0"/>
    <w:rPr>
      <w:b/>
      <w:bCs/>
      <w:kern w:val="44"/>
      <w:sz w:val="44"/>
      <w:szCs w:val="44"/>
    </w:rPr>
  </w:style>
  <w:style w:type="character" w:customStyle="1" w:styleId="83">
    <w:name w:val="页眉 Char1"/>
    <w:semiHidden/>
    <w:qFormat/>
    <w:locked/>
    <w:uiPriority w:val="0"/>
    <w:rPr>
      <w:kern w:val="2"/>
      <w:sz w:val="18"/>
      <w:szCs w:val="18"/>
    </w:rPr>
  </w:style>
  <w:style w:type="character" w:customStyle="1" w:styleId="84">
    <w:name w:val="正文文本 Char1"/>
    <w:qFormat/>
    <w:uiPriority w:val="0"/>
    <w:rPr>
      <w:kern w:val="2"/>
      <w:sz w:val="21"/>
      <w:szCs w:val="24"/>
    </w:rPr>
  </w:style>
  <w:style w:type="character" w:customStyle="1" w:styleId="85">
    <w:name w:val="批注文字 Char2"/>
    <w:qFormat/>
    <w:uiPriority w:val="0"/>
    <w:rPr>
      <w:kern w:val="2"/>
      <w:sz w:val="21"/>
      <w:szCs w:val="24"/>
    </w:rPr>
  </w:style>
  <w:style w:type="character" w:customStyle="1" w:styleId="86">
    <w:name w:val="标题 1 Char"/>
    <w:qFormat/>
    <w:uiPriority w:val="0"/>
    <w:rPr>
      <w:b/>
      <w:bCs/>
      <w:kern w:val="44"/>
      <w:sz w:val="44"/>
      <w:szCs w:val="44"/>
    </w:rPr>
  </w:style>
  <w:style w:type="character" w:customStyle="1" w:styleId="87">
    <w:name w:val="标题 2 Char1"/>
    <w:qFormat/>
    <w:uiPriority w:val="9"/>
    <w:rPr>
      <w:rFonts w:ascii="Cambria" w:hAnsi="Cambria" w:eastAsia="宋体" w:cs="Times New Roman"/>
      <w:b/>
      <w:bCs/>
      <w:kern w:val="2"/>
      <w:sz w:val="32"/>
      <w:szCs w:val="32"/>
    </w:rPr>
  </w:style>
  <w:style w:type="character" w:customStyle="1" w:styleId="88">
    <w:name w:val="标题 3 Char"/>
    <w:qFormat/>
    <w:uiPriority w:val="9"/>
    <w:rPr>
      <w:b/>
      <w:bCs/>
      <w:kern w:val="2"/>
      <w:sz w:val="32"/>
      <w:szCs w:val="32"/>
    </w:rPr>
  </w:style>
  <w:style w:type="character" w:customStyle="1" w:styleId="89">
    <w:name w:val="标题 5 Char"/>
    <w:semiHidden/>
    <w:qFormat/>
    <w:uiPriority w:val="9"/>
    <w:rPr>
      <w:rFonts w:ascii="Times New Roman" w:hAnsi="Times New Roman"/>
      <w:b/>
      <w:bCs/>
      <w:kern w:val="2"/>
      <w:sz w:val="28"/>
      <w:szCs w:val="28"/>
    </w:rPr>
  </w:style>
  <w:style w:type="character" w:customStyle="1" w:styleId="90">
    <w:name w:val="标题 7 Char"/>
    <w:qFormat/>
    <w:uiPriority w:val="0"/>
    <w:rPr>
      <w:b/>
      <w:bCs/>
      <w:kern w:val="2"/>
      <w:sz w:val="24"/>
      <w:szCs w:val="24"/>
    </w:rPr>
  </w:style>
  <w:style w:type="character" w:customStyle="1" w:styleId="91">
    <w:name w:val="标题 8 Char1"/>
    <w:semiHidden/>
    <w:qFormat/>
    <w:uiPriority w:val="9"/>
    <w:rPr>
      <w:rFonts w:ascii="等线 Light" w:hAnsi="等线 Light" w:eastAsia="等线 Light" w:cs="Times New Roman"/>
      <w:kern w:val="2"/>
      <w:sz w:val="24"/>
      <w:szCs w:val="24"/>
    </w:rPr>
  </w:style>
  <w:style w:type="character" w:customStyle="1" w:styleId="92">
    <w:name w:val="批注文字 Char3"/>
    <w:qFormat/>
    <w:uiPriority w:val="0"/>
    <w:rPr>
      <w:rFonts w:ascii="Times New Roman" w:hAnsi="Times New Roman"/>
      <w:kern w:val="2"/>
      <w:sz w:val="21"/>
      <w:szCs w:val="24"/>
    </w:rPr>
  </w:style>
  <w:style w:type="character" w:customStyle="1" w:styleId="93">
    <w:name w:val="正文文本 3 Char"/>
    <w:semiHidden/>
    <w:qFormat/>
    <w:uiPriority w:val="99"/>
    <w:rPr>
      <w:kern w:val="2"/>
      <w:sz w:val="16"/>
      <w:szCs w:val="16"/>
    </w:rPr>
  </w:style>
  <w:style w:type="character" w:customStyle="1" w:styleId="94">
    <w:name w:val="正文文本 Char2"/>
    <w:qFormat/>
    <w:uiPriority w:val="0"/>
    <w:rPr>
      <w:rFonts w:ascii="Times New Roman" w:hAnsi="Times New Roman"/>
      <w:kern w:val="2"/>
      <w:sz w:val="21"/>
      <w:szCs w:val="24"/>
    </w:rPr>
  </w:style>
  <w:style w:type="character" w:customStyle="1" w:styleId="95">
    <w:name w:val="正文文本缩进 Char"/>
    <w:qFormat/>
    <w:uiPriority w:val="0"/>
    <w:rPr>
      <w:rFonts w:ascii="仿宋_GB2312" w:hAnsi="Times New Roman" w:eastAsia="仿宋_GB2312" w:cs="Times New Roman"/>
      <w:sz w:val="32"/>
      <w:szCs w:val="20"/>
    </w:rPr>
  </w:style>
  <w:style w:type="character" w:customStyle="1" w:styleId="96">
    <w:name w:val="纯文本 Char2"/>
    <w:qFormat/>
    <w:uiPriority w:val="0"/>
    <w:rPr>
      <w:rFonts w:ascii="宋体" w:hAnsi="Courier New" w:eastAsia="宋体" w:cs="Courier New"/>
      <w:szCs w:val="21"/>
    </w:rPr>
  </w:style>
  <w:style w:type="character" w:customStyle="1" w:styleId="97">
    <w:name w:val="日期 Char"/>
    <w:semiHidden/>
    <w:qFormat/>
    <w:uiPriority w:val="99"/>
    <w:rPr>
      <w:rFonts w:ascii="Times New Roman" w:hAnsi="Times New Roman"/>
      <w:kern w:val="2"/>
      <w:sz w:val="21"/>
      <w:szCs w:val="24"/>
    </w:rPr>
  </w:style>
  <w:style w:type="character" w:customStyle="1" w:styleId="98">
    <w:name w:val="页脚 Char"/>
    <w:qFormat/>
    <w:uiPriority w:val="99"/>
    <w:rPr>
      <w:sz w:val="18"/>
      <w:szCs w:val="18"/>
    </w:rPr>
  </w:style>
  <w:style w:type="character" w:customStyle="1" w:styleId="99">
    <w:name w:val="页眉 Char"/>
    <w:qFormat/>
    <w:uiPriority w:val="99"/>
    <w:rPr>
      <w:sz w:val="18"/>
      <w:szCs w:val="18"/>
    </w:rPr>
  </w:style>
  <w:style w:type="character" w:customStyle="1" w:styleId="100">
    <w:name w:val="批注主题 Char"/>
    <w:qFormat/>
    <w:uiPriority w:val="99"/>
    <w:rPr>
      <w:rFonts w:ascii="Times New Roman" w:hAnsi="Times New Roman"/>
      <w:b/>
      <w:bCs/>
      <w:kern w:val="2"/>
      <w:sz w:val="21"/>
      <w:szCs w:val="24"/>
    </w:rPr>
  </w:style>
  <w:style w:type="paragraph" w:customStyle="1" w:styleId="101">
    <w:name w:val="_Style 99"/>
    <w:hidden/>
    <w:unhideWhenUsed/>
    <w:qFormat/>
    <w:uiPriority w:val="99"/>
    <w:rPr>
      <w:rFonts w:ascii="Times New Roman" w:hAnsi="Times New Roman" w:eastAsia="宋体" w:cs="Times New Roman"/>
      <w:kern w:val="2"/>
      <w:sz w:val="21"/>
      <w:szCs w:val="24"/>
      <w:lang w:val="en-US" w:eastAsia="zh-CN" w:bidi="ar-SA"/>
    </w:rPr>
  </w:style>
  <w:style w:type="paragraph" w:customStyle="1" w:styleId="10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03">
    <w:name w:val="Char"/>
    <w:basedOn w:val="1"/>
    <w:qFormat/>
    <w:uiPriority w:val="0"/>
  </w:style>
  <w:style w:type="paragraph" w:customStyle="1" w:styleId="104">
    <w:name w:val="列表段落1"/>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71</Pages>
  <Words>17051</Words>
  <Characters>18244</Characters>
  <Lines>333</Lines>
  <Paragraphs>93</Paragraphs>
  <TotalTime>2</TotalTime>
  <ScaleCrop>false</ScaleCrop>
  <LinksUpToDate>false</LinksUpToDate>
  <CharactersWithSpaces>18336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2022-10-14T04:54:00Z</dcterms:created>
  <dc:creator>唐冰</dc:creator>
  <cp:lastModifiedBy>欧邦-刘芳芳</cp:lastModifiedBy>
  <cp:lastPrinted>2023-04-04T06:50:00Z</cp:lastPrinted>
  <dcterms:modified xsi:type="dcterms:W3CDTF">2024-12-30T07:22:32Z</dcterms:modified>
  <dc:title>竞争性谈判文件规范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56D813F0EBC840F8862384BAD0E91C9E_13</vt:lpwstr>
  </property>
  <property fmtid="{D5CDD505-2E9C-101B-9397-08002B2CF9AE}" pid="4" name="KSOTemplateDocerSaveRecord">
    <vt:lpwstr>eyJoZGlkIjoiMzQ3OTM0NjZmN2MwMjJlODAwNDc1OWZhZGI2YmMwZDQiLCJ1c2VySWQiOiI5NzI4NTYzMDAifQ==</vt:lpwstr>
  </property>
</Properties>
</file>