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64D" w:rsidRDefault="0086664D">
      <w:pPr>
        <w:spacing w:afterLines="50" w:after="156"/>
        <w:jc w:val="center"/>
        <w:rPr>
          <w:rFonts w:ascii="宋体" w:eastAsia="宋体" w:hAnsi="宋体"/>
          <w:b/>
          <w:sz w:val="32"/>
          <w:szCs w:val="32"/>
        </w:rPr>
      </w:pPr>
    </w:p>
    <w:tbl>
      <w:tblPr>
        <w:tblStyle w:val="a9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86664D">
        <w:trPr>
          <w:trHeight w:hRule="exact" w:val="11540"/>
        </w:trPr>
        <w:tc>
          <w:tcPr>
            <w:tcW w:w="9067" w:type="dxa"/>
          </w:tcPr>
          <w:p w:rsidR="0086664D" w:rsidRDefault="00C03DC0"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技术参数</w:t>
            </w:r>
            <w:r>
              <w:rPr>
                <w:rFonts w:ascii="宋体" w:hAnsi="宋体"/>
                <w:b/>
                <w:szCs w:val="21"/>
              </w:rPr>
              <w:t>：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/>
                <w:b/>
                <w:szCs w:val="21"/>
              </w:rPr>
              <w:t xml:space="preserve">                                                           </w:t>
            </w:r>
          </w:p>
          <w:p w:rsidR="0086664D" w:rsidRDefault="00C03DC0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1、结构：钢制结构，柜体落地式，支撑整体重量；柜体采用不小于1.0mm</w:t>
            </w:r>
            <w:proofErr w:type="gramStart"/>
            <w:r>
              <w:rPr>
                <w:rFonts w:hint="eastAsia"/>
                <w:szCs w:val="21"/>
              </w:rPr>
              <w:t>厚冷扎</w:t>
            </w:r>
            <w:proofErr w:type="gramEnd"/>
            <w:r>
              <w:rPr>
                <w:rFonts w:hint="eastAsia"/>
                <w:szCs w:val="21"/>
              </w:rPr>
              <w:t>钢板，表面经：除油、除锈—水洗—中和—水洗—表调—</w:t>
            </w:r>
            <w:proofErr w:type="gramStart"/>
            <w:r>
              <w:rPr>
                <w:rFonts w:hint="eastAsia"/>
                <w:szCs w:val="21"/>
              </w:rPr>
              <w:t>锌系磷化</w:t>
            </w:r>
            <w:proofErr w:type="gramEnd"/>
            <w:r>
              <w:rPr>
                <w:rFonts w:hint="eastAsia"/>
                <w:szCs w:val="21"/>
              </w:rPr>
              <w:t>—钝化—烘干—检验—静电喷涂—高温固化。表层双面磷化环氧树脂粉末静电喷涂，防腐处理，强吸附、抗酸碱。</w:t>
            </w:r>
          </w:p>
          <w:p w:rsidR="0086664D" w:rsidRDefault="00C03D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2、内衬板：顶板、侧板、导流板等采用5mm厚耐腐蚀的高分子材料或类似材料，抗</w:t>
            </w:r>
            <w:proofErr w:type="gramStart"/>
            <w:r>
              <w:rPr>
                <w:rFonts w:hint="eastAsia"/>
                <w:szCs w:val="21"/>
              </w:rPr>
              <w:t>倍特</w:t>
            </w:r>
            <w:proofErr w:type="gramEnd"/>
            <w:r>
              <w:rPr>
                <w:rFonts w:hint="eastAsia"/>
                <w:szCs w:val="21"/>
              </w:rPr>
              <w:t>板，耐稀酸碱及有机溶剂、易清洗。置于通风</w:t>
            </w:r>
            <w:proofErr w:type="gramStart"/>
            <w:r>
              <w:rPr>
                <w:rFonts w:hint="eastAsia"/>
                <w:szCs w:val="21"/>
              </w:rPr>
              <w:t>柜操作区内側</w:t>
            </w:r>
            <w:proofErr w:type="gramEnd"/>
            <w:r>
              <w:rPr>
                <w:rFonts w:hint="eastAsia"/>
                <w:szCs w:val="21"/>
              </w:rPr>
              <w:t>，采用三段式导流板设计，使</w:t>
            </w:r>
            <w:proofErr w:type="gramStart"/>
            <w:r>
              <w:rPr>
                <w:rFonts w:hint="eastAsia"/>
                <w:szCs w:val="21"/>
              </w:rPr>
              <w:t>操作区</w:t>
            </w:r>
            <w:proofErr w:type="gramEnd"/>
            <w:r>
              <w:rPr>
                <w:rFonts w:hint="eastAsia"/>
                <w:szCs w:val="21"/>
              </w:rPr>
              <w:t>污染气体作层流运动，无气流死角，不会产生紊流或漩涡流现象，能迅速将实验过程中产生的不同比重的有毒有害气体排出。</w:t>
            </w:r>
          </w:p>
          <w:p w:rsidR="0086664D" w:rsidRDefault="00C03DC0">
            <w:pPr>
              <w:tabs>
                <w:tab w:val="left" w:pos="84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3、导流板固定座：底座由螺杆、螺帽组成，采用高分子复合材料模塑成型，导流板固定旋钮及蒸馏架安装孔</w:t>
            </w:r>
            <w:proofErr w:type="gramStart"/>
            <w:r>
              <w:rPr>
                <w:rFonts w:hint="eastAsia"/>
                <w:szCs w:val="21"/>
              </w:rPr>
              <w:t>座等</w:t>
            </w:r>
            <w:proofErr w:type="gramEnd"/>
            <w:r>
              <w:rPr>
                <w:rFonts w:hint="eastAsia"/>
                <w:szCs w:val="21"/>
              </w:rPr>
              <w:t>，具有良好性能：（1）背板</w:t>
            </w:r>
            <w:proofErr w:type="gramStart"/>
            <w:r>
              <w:rPr>
                <w:rFonts w:hint="eastAsia"/>
                <w:szCs w:val="21"/>
              </w:rPr>
              <w:t>固定座</w:t>
            </w:r>
            <w:proofErr w:type="gramEnd"/>
            <w:r>
              <w:rPr>
                <w:rFonts w:hint="eastAsia"/>
                <w:szCs w:val="21"/>
              </w:rPr>
              <w:t>及导流板固定旋钮均可由柜体正面轻易组装及拆解维护清理。（2）不含金属成分，耐腐蚀，耐用且无杂质产生影响实验；（3）承重能力每个至少10kg。</w:t>
            </w:r>
          </w:p>
          <w:p w:rsidR="0086664D" w:rsidRDefault="00C03D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4、窗口玻璃：采用上下滑动式设计，可开启于任意高度，采用5mm厚钢化透明安全玻璃；窗框内装有硬质塑胶导轨，两侧设置缓冲垫片，避免玻璃门上下升降撞击，PVC工程材料，线接触设计，最低程度减少摩擦力。视窗把手：采用特制PVC材料，经人体工学设计，外观优美，使用方便。</w:t>
            </w:r>
          </w:p>
          <w:p w:rsidR="0086664D" w:rsidRDefault="00C03D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5</w:t>
            </w:r>
            <w:r w:rsidR="007474BB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同步驱动齿轮升降系统：采用高强度ABS加强白色轮，黑色底座，</w:t>
            </w:r>
            <w:proofErr w:type="gramStart"/>
            <w:r>
              <w:rPr>
                <w:rFonts w:hint="eastAsia"/>
                <w:szCs w:val="21"/>
              </w:rPr>
              <w:t>内置全</w:t>
            </w:r>
            <w:proofErr w:type="gramEnd"/>
            <w:r>
              <w:rPr>
                <w:rFonts w:hint="eastAsia"/>
                <w:szCs w:val="21"/>
              </w:rPr>
              <w:t>包围轴承，整体耐酸碱防腐，有效的防止有害气体的腐蚀，坚固耐用。橡胶皮带，采用宽15mm×厚3.8mm高强度橡胶带绿布同步带，聚氨酯内植8根钢丝，移门升降过程中平稳有效阻止倾斜、轻便、静音、安全（防跌落）。同步链接</w:t>
            </w:r>
            <w:proofErr w:type="gramStart"/>
            <w:r>
              <w:rPr>
                <w:rFonts w:hint="eastAsia"/>
                <w:szCs w:val="21"/>
              </w:rPr>
              <w:t>杆采用</w:t>
            </w:r>
            <w:proofErr w:type="gramEnd"/>
            <w:r>
              <w:rPr>
                <w:rFonts w:hint="eastAsia"/>
                <w:szCs w:val="21"/>
              </w:rPr>
              <w:t>15×15mm不锈钢管，整合了皮带传动、链传动和齿轮传动各自优点的新型带传动本装置可使其传动平稳，结构简单，安装方便。耐酸碱、防潮防锈，</w:t>
            </w:r>
            <w:proofErr w:type="gramStart"/>
            <w:r>
              <w:rPr>
                <w:rFonts w:hint="eastAsia"/>
                <w:szCs w:val="21"/>
              </w:rPr>
              <w:t>不</w:t>
            </w:r>
            <w:proofErr w:type="gramEnd"/>
            <w:r>
              <w:rPr>
                <w:rFonts w:hint="eastAsia"/>
                <w:szCs w:val="21"/>
              </w:rPr>
              <w:t>断裂，使用寿命长。</w:t>
            </w:r>
          </w:p>
          <w:p w:rsidR="0086664D" w:rsidRDefault="00C03D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6、照明：日光</w:t>
            </w:r>
            <w:proofErr w:type="gramStart"/>
            <w:r>
              <w:rPr>
                <w:rFonts w:hint="eastAsia"/>
                <w:szCs w:val="21"/>
              </w:rPr>
              <w:t>灯采</w:t>
            </w:r>
            <w:proofErr w:type="gramEnd"/>
            <w:r>
              <w:rPr>
                <w:rFonts w:hint="eastAsia"/>
                <w:szCs w:val="21"/>
              </w:rPr>
              <w:t>用实验室专用全封闭式日光灯，220V*30W，采用隔离式安装，避免和柜内气体接触。</w:t>
            </w:r>
          </w:p>
          <w:p w:rsidR="0086664D" w:rsidRDefault="00C03D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7、操作台面：12.7mm厚实芯理化板，边缘加厚，台面性能满足：（1）耐酸碱腐蚀，化学特性包括：硫酸(98%)、 硝酸(70%)、 盐酸(55%)、乙酸(99%)、 氢氧化钠(40%) 、亚硝酸钠、磷酸(85%) 等常用试剂，检测表面无明显变化；（2）物理性能良好，抗拉强度≥74mpa、弯曲强度≥110.5mpa、抗冲击检测合格。（3）甲醛释放量检验达到国家环保E1级标准，测试方法使用气候箱法，甲醛释放量不大于0.01mg/m3；（4）重金属检测，包括铅、汞、镉、锌、铬、钡、砷等元素，检测结果合格。</w:t>
            </w:r>
          </w:p>
          <w:p w:rsidR="0086664D" w:rsidRDefault="00C03D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8、柜体：（1）门板：1.0mm</w:t>
            </w:r>
            <w:proofErr w:type="gramStart"/>
            <w:r>
              <w:rPr>
                <w:rFonts w:hint="eastAsia"/>
                <w:szCs w:val="21"/>
              </w:rPr>
              <w:t>厚冷扎</w:t>
            </w:r>
            <w:proofErr w:type="gramEnd"/>
            <w:r>
              <w:rPr>
                <w:rFonts w:hint="eastAsia"/>
                <w:szCs w:val="21"/>
              </w:rPr>
              <w:t>钢板，内外双层扣合式，所有工件经模具冲压折弯焊接而成，焊接部分打磨、抛光处理平滑过渡，焊点无毛刺及假焊，构造表面经酸洗、磷化、环氧树脂粉末静电喷涂，（烤房）180度高温固化，耐酸碱、防潮防锈，使用寿命长；（2）铰链：自闭式液压合金铰链，柜门开启105°内，自动回弹无声关闭，外形美观，无噪音，耐腐蚀，使用寿命长；；（3）滑轨：优质钢制三节静音滑轨，拉动负重25公斤，使用寿命拉动次数大于100000次；（4）拉手：拉手或门板拉手一体内凹成一字型抠手。</w:t>
            </w: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86664D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86664D" w:rsidRDefault="00C03DC0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6664D">
        <w:trPr>
          <w:trHeight w:hRule="exact" w:val="3065"/>
        </w:trPr>
        <w:tc>
          <w:tcPr>
            <w:tcW w:w="9067" w:type="dxa"/>
          </w:tcPr>
          <w:p w:rsidR="0086664D" w:rsidRDefault="00C03DC0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9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PP</w:t>
            </w:r>
            <w:r>
              <w:rPr>
                <w:rFonts w:ascii="宋体" w:hAnsi="宋体" w:hint="eastAsia"/>
                <w:szCs w:val="21"/>
              </w:rPr>
              <w:t>水杯：（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）材质：高密度</w:t>
            </w:r>
            <w:r>
              <w:rPr>
                <w:rFonts w:ascii="宋体" w:hAnsi="宋体" w:hint="eastAsia"/>
                <w:szCs w:val="21"/>
              </w:rPr>
              <w:t>PP,</w:t>
            </w:r>
            <w:r>
              <w:rPr>
                <w:rFonts w:ascii="宋体" w:hAnsi="宋体" w:hint="eastAsia"/>
                <w:szCs w:val="21"/>
              </w:rPr>
              <w:t>耐酸、碱、王水等腐蚀；（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）尺寸：外径约</w:t>
            </w:r>
            <w:r>
              <w:rPr>
                <w:rFonts w:ascii="宋体" w:hAnsi="宋体" w:hint="eastAsia"/>
                <w:szCs w:val="21"/>
              </w:rPr>
              <w:t>L200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W100</w:t>
            </w:r>
            <w:r>
              <w:rPr>
                <w:rFonts w:ascii="宋体" w:hAnsi="宋体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D180mm</w:t>
            </w:r>
            <w:r>
              <w:rPr>
                <w:rFonts w:ascii="宋体" w:hAnsi="宋体" w:hint="eastAsia"/>
                <w:szCs w:val="21"/>
              </w:rPr>
              <w:t>（含）以上；（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）配</w:t>
            </w:r>
            <w:r>
              <w:rPr>
                <w:rFonts w:ascii="宋体" w:hAnsi="宋体" w:hint="eastAsia"/>
                <w:szCs w:val="21"/>
              </w:rPr>
              <w:t>PP</w:t>
            </w:r>
            <w:r>
              <w:rPr>
                <w:rFonts w:ascii="宋体" w:hAnsi="宋体" w:hint="eastAsia"/>
                <w:szCs w:val="21"/>
              </w:rPr>
              <w:t>滤水提笼及塑料水盖</w:t>
            </w:r>
            <w:r>
              <w:rPr>
                <w:rFonts w:ascii="宋体" w:hAnsi="宋体" w:hint="eastAsia"/>
                <w:szCs w:val="21"/>
              </w:rPr>
              <w:t>,PP</w:t>
            </w:r>
            <w:r w:rsidR="007474BB">
              <w:rPr>
                <w:rFonts w:ascii="宋体" w:hAnsi="宋体" w:hint="eastAsia"/>
                <w:szCs w:val="21"/>
              </w:rPr>
              <w:t>落水</w:t>
            </w:r>
            <w:proofErr w:type="gramStart"/>
            <w:r w:rsidR="007474BB">
              <w:rPr>
                <w:rFonts w:ascii="宋体" w:hAnsi="宋体" w:hint="eastAsia"/>
                <w:szCs w:val="21"/>
              </w:rPr>
              <w:t>头堵臭</w:t>
            </w:r>
            <w:proofErr w:type="gramEnd"/>
            <w:r w:rsidR="007474BB">
              <w:rPr>
                <w:rFonts w:ascii="宋体" w:hAnsi="宋体" w:hint="eastAsia"/>
                <w:szCs w:val="21"/>
              </w:rPr>
              <w:t>装置；</w:t>
            </w: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>水龙头：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、主体材料：加厚国标</w:t>
            </w:r>
            <w:r>
              <w:rPr>
                <w:rFonts w:ascii="宋体" w:hAnsi="宋体" w:hint="eastAsia"/>
                <w:szCs w:val="21"/>
              </w:rPr>
              <w:t>H62</w:t>
            </w:r>
            <w:r>
              <w:rPr>
                <w:rFonts w:ascii="宋体" w:hAnsi="宋体" w:hint="eastAsia"/>
                <w:szCs w:val="21"/>
              </w:rPr>
              <w:t>铜管制造，直管管径Φ</w:t>
            </w:r>
            <w:r>
              <w:rPr>
                <w:rFonts w:ascii="宋体" w:hAnsi="宋体" w:hint="eastAsia"/>
                <w:szCs w:val="21"/>
              </w:rPr>
              <w:t>26*1.2mm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,</w:t>
            </w:r>
            <w:r>
              <w:rPr>
                <w:rFonts w:ascii="宋体" w:hAnsi="宋体" w:hint="eastAsia"/>
                <w:szCs w:val="21"/>
              </w:rPr>
              <w:t>臂管管径Φ</w:t>
            </w:r>
            <w:r>
              <w:rPr>
                <w:rFonts w:ascii="宋体" w:hAnsi="宋体" w:hint="eastAsia"/>
                <w:szCs w:val="21"/>
              </w:rPr>
              <w:t>22*1.2mm</w:t>
            </w:r>
            <w:r>
              <w:rPr>
                <w:rFonts w:ascii="宋体" w:hAnsi="宋体" w:hint="eastAsia"/>
                <w:szCs w:val="21"/>
              </w:rPr>
              <w:t>，鹅颈管管径Φ</w:t>
            </w:r>
            <w:r>
              <w:rPr>
                <w:rFonts w:ascii="宋体" w:hAnsi="宋体" w:hint="eastAsia"/>
                <w:szCs w:val="21"/>
              </w:rPr>
              <w:t>19*1.0mm</w:t>
            </w:r>
            <w:r>
              <w:rPr>
                <w:rFonts w:ascii="宋体" w:hAnsi="宋体" w:hint="eastAsia"/>
                <w:szCs w:val="21"/>
              </w:rPr>
              <w:t>，可</w:t>
            </w:r>
            <w:r>
              <w:rPr>
                <w:rFonts w:ascii="宋体" w:hAnsi="宋体" w:hint="eastAsia"/>
                <w:szCs w:val="21"/>
              </w:rPr>
              <w:t>360</w:t>
            </w:r>
            <w:r>
              <w:rPr>
                <w:rFonts w:ascii="宋体" w:hAnsi="宋体" w:hint="eastAsia"/>
                <w:szCs w:val="21"/>
              </w:rPr>
              <w:t>°旋转，固定底座直径≥</w:t>
            </w:r>
            <w:r>
              <w:rPr>
                <w:rFonts w:ascii="宋体" w:hAnsi="宋体" w:hint="eastAsia"/>
                <w:szCs w:val="21"/>
              </w:rPr>
              <w:t>55mm</w:t>
            </w:r>
            <w:r>
              <w:rPr>
                <w:rFonts w:ascii="宋体" w:hAnsi="宋体" w:hint="eastAsia"/>
                <w:szCs w:val="21"/>
              </w:rPr>
              <w:t>，</w:t>
            </w:r>
            <w:proofErr w:type="gramStart"/>
            <w:r>
              <w:rPr>
                <w:rFonts w:ascii="宋体" w:hAnsi="宋体" w:hint="eastAsia"/>
                <w:szCs w:val="21"/>
              </w:rPr>
              <w:t>底座锁母与</w:t>
            </w:r>
            <w:proofErr w:type="gramEnd"/>
            <w:r>
              <w:rPr>
                <w:rFonts w:ascii="宋体" w:hAnsi="宋体" w:hint="eastAsia"/>
                <w:szCs w:val="21"/>
              </w:rPr>
              <w:t>台面中间添加齿形</w:t>
            </w:r>
            <w:proofErr w:type="gramStart"/>
            <w:r>
              <w:rPr>
                <w:rFonts w:ascii="宋体" w:hAnsi="宋体" w:hint="eastAsia"/>
                <w:szCs w:val="21"/>
              </w:rPr>
              <w:t>止退垫</w:t>
            </w:r>
            <w:proofErr w:type="gramEnd"/>
            <w:r>
              <w:rPr>
                <w:rFonts w:ascii="宋体" w:hAnsi="宋体" w:hint="eastAsia"/>
                <w:szCs w:val="21"/>
              </w:rPr>
              <w:t>，使连接后不易松动稳定性强，与台面安装牢固。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、材质要求：加厚纯铜制作，高亮度环氧树脂涂层，耐腐蚀、耐热、防紫外线辐射；开关旋钮</w:t>
            </w:r>
            <w:r>
              <w:rPr>
                <w:rFonts w:ascii="宋体" w:hAnsi="宋体" w:hint="eastAsia"/>
                <w:szCs w:val="21"/>
              </w:rPr>
              <w:t>PP</w:t>
            </w:r>
            <w:r>
              <w:rPr>
                <w:rFonts w:ascii="宋体" w:hAnsi="宋体" w:hint="eastAsia"/>
                <w:szCs w:val="21"/>
              </w:rPr>
              <w:t>材质，开启为红色，关闭为绿色标识清晰醒目</w:t>
            </w:r>
            <w:r>
              <w:rPr>
                <w:rFonts w:ascii="宋体" w:hAnsi="宋体" w:hint="eastAsia"/>
                <w:szCs w:val="21"/>
              </w:rPr>
              <w:t>,</w:t>
            </w:r>
            <w:r>
              <w:rPr>
                <w:rFonts w:ascii="宋体" w:hAnsi="宋体" w:hint="eastAsia"/>
                <w:szCs w:val="21"/>
              </w:rPr>
              <w:t>平稳轻便无卡阻、不易松动稳定性强，开关寿命大于等于</w:t>
            </w:r>
            <w:r>
              <w:rPr>
                <w:rFonts w:ascii="宋体" w:hAnsi="宋体" w:hint="eastAsia"/>
                <w:szCs w:val="21"/>
              </w:rPr>
              <w:t>61</w:t>
            </w:r>
            <w:r>
              <w:rPr>
                <w:rFonts w:ascii="宋体" w:hAnsi="宋体" w:hint="eastAsia"/>
                <w:szCs w:val="21"/>
              </w:rPr>
              <w:t>万次，静态最大耐压</w:t>
            </w:r>
            <w:r>
              <w:rPr>
                <w:rFonts w:ascii="宋体" w:hAnsi="宋体" w:hint="eastAsia"/>
                <w:szCs w:val="21"/>
              </w:rPr>
              <w:t>2.5MPa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86664D" w:rsidRDefault="00C03DC0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、尺寸：</w:t>
            </w:r>
            <w:r>
              <w:rPr>
                <w:rFonts w:ascii="宋体" w:hAnsi="宋体" w:hint="eastAsia"/>
                <w:szCs w:val="21"/>
              </w:rPr>
              <w:t>1800*850*2350mm</w:t>
            </w:r>
            <w:r>
              <w:rPr>
                <w:rFonts w:ascii="宋体" w:hAnsi="宋体" w:hint="eastAsia"/>
                <w:szCs w:val="21"/>
              </w:rPr>
              <w:t>（可定制）。</w:t>
            </w:r>
          </w:p>
        </w:tc>
      </w:tr>
    </w:tbl>
    <w:p w:rsidR="0086664D" w:rsidRDefault="0086664D">
      <w:pPr>
        <w:rPr>
          <w:rFonts w:ascii="宋体" w:eastAsia="宋体" w:hAnsi="宋体"/>
          <w:sz w:val="24"/>
          <w:szCs w:val="24"/>
        </w:rPr>
      </w:pPr>
    </w:p>
    <w:sectPr w:rsidR="0086664D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iMmJjMGUyMDNhMGI0MjllZTc4OTE3ODRjOTBjMWQifQ=="/>
  </w:docVars>
  <w:rsids>
    <w:rsidRoot w:val="005E422F"/>
    <w:rsid w:val="00002FFF"/>
    <w:rsid w:val="000055C9"/>
    <w:rsid w:val="00023E7A"/>
    <w:rsid w:val="0006772C"/>
    <w:rsid w:val="00115D54"/>
    <w:rsid w:val="00124A38"/>
    <w:rsid w:val="00166A53"/>
    <w:rsid w:val="001B234A"/>
    <w:rsid w:val="00236F37"/>
    <w:rsid w:val="00266515"/>
    <w:rsid w:val="002B7059"/>
    <w:rsid w:val="002C02E9"/>
    <w:rsid w:val="002E41E8"/>
    <w:rsid w:val="00423570"/>
    <w:rsid w:val="00433095"/>
    <w:rsid w:val="004342EB"/>
    <w:rsid w:val="00436CF0"/>
    <w:rsid w:val="0046658B"/>
    <w:rsid w:val="004C0F14"/>
    <w:rsid w:val="004E5302"/>
    <w:rsid w:val="004F1D8A"/>
    <w:rsid w:val="004F2E7C"/>
    <w:rsid w:val="00503F07"/>
    <w:rsid w:val="00521128"/>
    <w:rsid w:val="00532EA7"/>
    <w:rsid w:val="00543C99"/>
    <w:rsid w:val="005A6B22"/>
    <w:rsid w:val="005C5E95"/>
    <w:rsid w:val="005E422F"/>
    <w:rsid w:val="00660835"/>
    <w:rsid w:val="006775D4"/>
    <w:rsid w:val="00685891"/>
    <w:rsid w:val="006E2E13"/>
    <w:rsid w:val="006E5D86"/>
    <w:rsid w:val="00700C3E"/>
    <w:rsid w:val="007445E8"/>
    <w:rsid w:val="007474BB"/>
    <w:rsid w:val="00783EF6"/>
    <w:rsid w:val="007F7E05"/>
    <w:rsid w:val="00806E80"/>
    <w:rsid w:val="0086664D"/>
    <w:rsid w:val="008F2E23"/>
    <w:rsid w:val="00912948"/>
    <w:rsid w:val="00976C9E"/>
    <w:rsid w:val="00A0172F"/>
    <w:rsid w:val="00A64A23"/>
    <w:rsid w:val="00AA3968"/>
    <w:rsid w:val="00AC1D72"/>
    <w:rsid w:val="00B0252F"/>
    <w:rsid w:val="00B46C06"/>
    <w:rsid w:val="00B54E84"/>
    <w:rsid w:val="00B63025"/>
    <w:rsid w:val="00BA0C59"/>
    <w:rsid w:val="00BA6C23"/>
    <w:rsid w:val="00BC0509"/>
    <w:rsid w:val="00BE1207"/>
    <w:rsid w:val="00C03DC0"/>
    <w:rsid w:val="00CF48E9"/>
    <w:rsid w:val="00D22E93"/>
    <w:rsid w:val="00D31EB3"/>
    <w:rsid w:val="00D3513D"/>
    <w:rsid w:val="00D46951"/>
    <w:rsid w:val="00D514AF"/>
    <w:rsid w:val="00D77EAF"/>
    <w:rsid w:val="00D915EC"/>
    <w:rsid w:val="00DC4C47"/>
    <w:rsid w:val="00DE298D"/>
    <w:rsid w:val="00E011AC"/>
    <w:rsid w:val="00E070F4"/>
    <w:rsid w:val="00E12369"/>
    <w:rsid w:val="00E262EF"/>
    <w:rsid w:val="00E61636"/>
    <w:rsid w:val="00E93BBD"/>
    <w:rsid w:val="00EE533B"/>
    <w:rsid w:val="00F417CB"/>
    <w:rsid w:val="00FC6E89"/>
    <w:rsid w:val="042F3695"/>
    <w:rsid w:val="0A8C4462"/>
    <w:rsid w:val="0B2C17A1"/>
    <w:rsid w:val="0EC95C85"/>
    <w:rsid w:val="0F4D36BB"/>
    <w:rsid w:val="129E7A0A"/>
    <w:rsid w:val="18095344"/>
    <w:rsid w:val="1B985C17"/>
    <w:rsid w:val="1F191F52"/>
    <w:rsid w:val="248A15BB"/>
    <w:rsid w:val="26243349"/>
    <w:rsid w:val="293E0BC6"/>
    <w:rsid w:val="2F174E96"/>
    <w:rsid w:val="35466E38"/>
    <w:rsid w:val="37286CEF"/>
    <w:rsid w:val="39CD1781"/>
    <w:rsid w:val="4A437992"/>
    <w:rsid w:val="4A5679AD"/>
    <w:rsid w:val="4E7A5794"/>
    <w:rsid w:val="551E25A0"/>
    <w:rsid w:val="661204ED"/>
    <w:rsid w:val="69DA300D"/>
    <w:rsid w:val="6BED2E7B"/>
    <w:rsid w:val="71A30B93"/>
    <w:rsid w:val="72D37256"/>
    <w:rsid w:val="798B2638"/>
    <w:rsid w:val="7CB2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2D67B"/>
  <w15:docId w15:val="{1C9203AC-17AC-45FB-A190-A7DFC37AE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a">
    <w:name w:val="List Paragraph"/>
    <w:basedOn w:val="a"/>
    <w:autoRedefine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A455B-F548-4363-9133-F1B9BF383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296</Words>
  <Characters>1691</Characters>
  <Application>Microsoft Office Word</Application>
  <DocSecurity>0</DocSecurity>
  <Lines>14</Lines>
  <Paragraphs>3</Paragraphs>
  <ScaleCrop>false</ScaleCrop>
  <Company>Microsoft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12</cp:revision>
  <dcterms:created xsi:type="dcterms:W3CDTF">2024-06-18T07:36:00Z</dcterms:created>
  <dcterms:modified xsi:type="dcterms:W3CDTF">2024-09-02T06:56:00Z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B03DD5216A4F44A7938E51EA138759A7_13</vt:lpwstr>
  </property>
</Properties>
</file>