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6F" w:rsidRDefault="00D45D6F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9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D45D6F">
        <w:trPr>
          <w:trHeight w:val="4832"/>
        </w:trPr>
        <w:tc>
          <w:tcPr>
            <w:tcW w:w="9915" w:type="dxa"/>
          </w:tcPr>
          <w:p w:rsidR="00D45D6F" w:rsidRPr="00767951" w:rsidRDefault="00D45D6F">
            <w:pPr>
              <w:rPr>
                <w:rFonts w:ascii="宋体" w:eastAsia="宋体" w:hAnsi="宋体"/>
                <w:b/>
                <w:sz w:val="24"/>
              </w:rPr>
            </w:pPr>
          </w:p>
          <w:p w:rsidR="00D45D6F" w:rsidRPr="00767951" w:rsidRDefault="00FF2F77" w:rsidP="00767951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技术参数：</w:t>
            </w:r>
          </w:p>
          <w:p w:rsidR="00D45D6F" w:rsidRDefault="00FF2F77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ind w:left="100"/>
              <w:jc w:val="center"/>
              <w:rPr>
                <w:rFonts w:ascii="微软雅黑" w:eastAsia="微软雅黑" w:cs="微软雅黑"/>
                <w:b/>
                <w:bCs/>
                <w:kern w:val="0"/>
                <w:sz w:val="11"/>
                <w:szCs w:val="11"/>
                <w:lang w:val="zh-CN"/>
              </w:rPr>
            </w:pPr>
            <w:r>
              <w:rPr>
                <w:rFonts w:ascii="微软雅黑" w:eastAsia="微软雅黑" w:cs="微软雅黑" w:hint="eastAsia"/>
                <w:b/>
                <w:bCs/>
                <w:kern w:val="0"/>
                <w:sz w:val="24"/>
                <w:lang w:val="zh-CN"/>
              </w:rPr>
              <w:t>表一</w:t>
            </w:r>
            <w:r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  <w:t xml:space="preserve">. </w:t>
            </w:r>
            <w:r>
              <w:rPr>
                <w:rFonts w:ascii="微软雅黑" w:eastAsia="微软雅黑" w:cs="微软雅黑" w:hint="eastAsia"/>
                <w:b/>
                <w:bCs/>
                <w:kern w:val="0"/>
                <w:sz w:val="24"/>
                <w:lang w:val="zh-CN"/>
              </w:rPr>
              <w:t>维保服务内容</w:t>
            </w:r>
          </w:p>
          <w:tbl>
            <w:tblPr>
              <w:tblW w:w="911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5"/>
              <w:gridCol w:w="6946"/>
            </w:tblGrid>
            <w:tr w:rsidR="00D45D6F">
              <w:trPr>
                <w:trHeight w:val="721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480" w:lineRule="auto"/>
                    <w:ind w:left="139"/>
                    <w:jc w:val="center"/>
                    <w:rPr>
                      <w:rFonts w:ascii="宋体" w:eastAsia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微软雅黑" w:eastAsia="微软雅黑" w:cs="微软雅黑" w:hint="eastAsia"/>
                      <w:b/>
                      <w:bCs/>
                      <w:kern w:val="0"/>
                      <w:szCs w:val="21"/>
                      <w:lang w:val="zh-CN"/>
                    </w:rPr>
                    <w:t>服务名称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480" w:lineRule="auto"/>
                    <w:ind w:left="18" w:firstLine="210"/>
                    <w:jc w:val="center"/>
                    <w:rPr>
                      <w:rFonts w:ascii="宋体" w:eastAsia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微软雅黑" w:eastAsia="微软雅黑" w:cs="微软雅黑" w:hint="eastAsia"/>
                      <w:b/>
                      <w:bCs/>
                      <w:kern w:val="0"/>
                      <w:szCs w:val="21"/>
                      <w:lang w:val="zh-CN"/>
                    </w:rPr>
                    <w:t>服务描述</w:t>
                  </w:r>
                </w:p>
              </w:tc>
            </w:tr>
            <w:tr w:rsidR="00D45D6F">
              <w:trPr>
                <w:trHeight w:val="721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维修服务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根据实际需求，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24</w:t>
                  </w: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小时内响应上门，不限维修及培训次数；免除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零件更换费用、工程师劳务费及工程师差旅费</w:t>
                  </w:r>
                </w:p>
              </w:tc>
            </w:tr>
            <w:tr w:rsidR="00D45D6F">
              <w:trPr>
                <w:trHeight w:val="910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每年一次的预防性维护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8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定期校准包括检测仪器的光路、液路、温度模块、管路接头状态检查等，确保仪器状态稳定。</w:t>
                  </w:r>
                </w:p>
              </w:tc>
            </w:tr>
            <w:tr w:rsidR="00D45D6F">
              <w:trPr>
                <w:trHeight w:val="910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试剂性能验证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33" w:line="288" w:lineRule="atLeast"/>
                    <w:ind w:left="138" w:right="126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提供仪器及不同试剂厂家上机试剂的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上机参数</w:t>
                  </w: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，避免因上机参数不同导致的数据质量差。</w:t>
                  </w:r>
                </w:p>
              </w:tc>
            </w:tr>
            <w:tr w:rsidR="00D45D6F">
              <w:trPr>
                <w:trHeight w:val="907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数据质量监控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8" w:right="306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通过监控实验数据如Q30、簇密度、PF值、光强度等的特征性指标，评估日常实验质量，便于问题发现及解决。</w:t>
                  </w:r>
                </w:p>
              </w:tc>
            </w:tr>
            <w:tr w:rsidR="00D45D6F">
              <w:trPr>
                <w:trHeight w:val="912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仪器质量巡检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8" w:right="126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定期检查实验质量，及时发现异常问题、排除影响质量的隐患因素，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 xml:space="preserve"> </w:t>
                  </w: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建立可溯源的质量档案</w:t>
                  </w:r>
                </w:p>
              </w:tc>
            </w:tr>
            <w:tr w:rsidR="00D45D6F">
              <w:trPr>
                <w:trHeight w:val="662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系统性数据分析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8" w:right="126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全面分析项目运行情况，为优化项目运行（指标异常、假阳性高、数据稳定性差等）提供解决方向及数据支撑</w:t>
                  </w:r>
                </w:p>
              </w:tc>
            </w:tr>
            <w:tr w:rsidR="00D45D6F">
              <w:trPr>
                <w:trHeight w:val="910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实验人员技能升级培训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8" w:right="126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提供测序仪工作原理、软硬件介绍、仪器操作、常规维护保养、数据分析、故障排查、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生物信息分析远程技术支持</w:t>
                  </w: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等多种培训服务</w:t>
                  </w:r>
                </w:p>
              </w:tc>
            </w:tr>
            <w:tr w:rsidR="00D45D6F">
              <w:trPr>
                <w:trHeight w:val="782"/>
                <w:jc w:val="center"/>
              </w:trPr>
              <w:tc>
                <w:tcPr>
                  <w:tcW w:w="2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兼容性</w:t>
                  </w:r>
                </w:p>
              </w:tc>
              <w:tc>
                <w:tcPr>
                  <w:tcW w:w="6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45D6F" w:rsidRDefault="00FF2F77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8" w:right="126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保证测序仪平台开展的多种检测项目互不干扰，保证数据可靠</w:t>
                  </w:r>
                </w:p>
              </w:tc>
            </w:tr>
          </w:tbl>
          <w:p w:rsidR="00D45D6F" w:rsidRDefault="00D45D6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kern w:val="0"/>
                <w:sz w:val="22"/>
                <w:lang w:val="zh-CN"/>
              </w:rPr>
            </w:pPr>
          </w:p>
          <w:p w:rsidR="00767951" w:rsidRDefault="00767951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</w:p>
          <w:p w:rsidR="00767951" w:rsidRDefault="00767951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</w:p>
          <w:p w:rsidR="00767951" w:rsidRDefault="00767951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</w:p>
          <w:p w:rsidR="00767951" w:rsidRDefault="00767951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</w:p>
          <w:p w:rsidR="00767951" w:rsidRDefault="00767951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</w:p>
          <w:tbl>
            <w:tblPr>
              <w:tblpPr w:leftFromText="180" w:rightFromText="180" w:vertAnchor="text" w:horzAnchor="margin" w:tblpY="759"/>
              <w:tblOverlap w:val="never"/>
              <w:tblW w:w="92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1"/>
              <w:gridCol w:w="6384"/>
            </w:tblGrid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lastRenderedPageBreak/>
                    <w:t>公司资质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公司需具有厂家认证的临床服务资质，有多年测序仪CN500维护经验，设备维护后需保证实验数据的稳定性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服务内容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涵盖维保合同包含仪器维护、仪器保养、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仪器应用以及生物信息分析远程技术支持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主动性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建立用户设备档案，主动进行维护、清洗、保养、配件更换等服务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firstLineChars="100" w:firstLine="240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维保服务次数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snapToGrid w:val="0"/>
                    <w:spacing w:beforeLines="50" w:before="156" w:afterLines="50" w:after="156" w:line="288" w:lineRule="auto"/>
                    <w:ind w:left="139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上门维修次数：不限次数；免除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 xml:space="preserve">零件更换费用、工程师劳务费及工程师差旅费； 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试剂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理赔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基于仪器硬件故障原因导致实验失败的测序试剂（限乙方生产或书面批准）赔偿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定期维护保养包含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snapToGrid w:val="0"/>
                    <w:spacing w:beforeLines="50" w:before="156" w:afterLines="50" w:after="156" w:line="288" w:lineRule="auto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每年一次的PM 预防性维护，包括检测仪器的光路、液路、温度模块、管路接头状态检查等；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仪器搬动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提供免费移机服务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仪器应用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snapToGrid w:val="0"/>
                    <w:spacing w:beforeLines="50" w:before="156" w:afterLines="50" w:after="156" w:line="288" w:lineRule="auto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提供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仪器应用以及生物信息分析远程技术支持；现场应用技术支持；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>响应时间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5×24小时的邮件响应；5×8 小时电话响应；平均3个工作日的现场响应。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卫生部室间质评要求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每年提供仪器校准服务1次，从而保障参加卫生部室间质评仪器有可靠的准确度。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开展多种检测项目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协助使用科室在测序仪平台上开展其它检测项目：如病原宏基因组检测、PGS等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保证仪器兼容性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保证测序仪平台开展的多种检测项目互不干扰，保证数据可靠</w:t>
                  </w:r>
                </w:p>
              </w:tc>
            </w:tr>
            <w:tr w:rsidR="00767951" w:rsidTr="00767951">
              <w:trPr>
                <w:trHeight w:val="855"/>
              </w:trPr>
              <w:tc>
                <w:tcPr>
                  <w:tcW w:w="2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官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 xml:space="preserve"> </w:t>
                  </w: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方</w:t>
                  </w:r>
                  <w:r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  <w:t xml:space="preserve"> PM </w:t>
                  </w: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维护包</w:t>
                  </w:r>
                </w:p>
              </w:tc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67951" w:rsidRDefault="00767951" w:rsidP="00767951">
                  <w:pPr>
                    <w:autoSpaceDE w:val="0"/>
                    <w:autoSpaceDN w:val="0"/>
                    <w:adjustRightInd w:val="0"/>
                    <w:spacing w:before="153" w:line="288" w:lineRule="atLeast"/>
                    <w:ind w:left="139"/>
                    <w:jc w:val="left"/>
                    <w:rPr>
                      <w:rFonts w:ascii="宋体" w:eastAsia="宋体" w:cs="宋体"/>
                      <w:kern w:val="0"/>
                      <w:sz w:val="24"/>
                      <w:lang w:val="zh-CN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24"/>
                      <w:lang w:val="zh-CN"/>
                    </w:rPr>
                    <w:t>赠送</w:t>
                  </w:r>
                </w:p>
              </w:tc>
            </w:tr>
          </w:tbl>
          <w:p w:rsidR="00D45D6F" w:rsidRDefault="00FF2F77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微软雅黑" w:eastAsia="微软雅黑" w:cs="微软雅黑" w:hint="eastAsia"/>
                <w:b/>
                <w:bCs/>
                <w:kern w:val="0"/>
                <w:sz w:val="24"/>
                <w:lang w:val="zh-CN"/>
              </w:rPr>
              <w:t>表二</w:t>
            </w:r>
            <w:r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  <w:t xml:space="preserve">. </w:t>
            </w:r>
            <w:r>
              <w:rPr>
                <w:rFonts w:ascii="微软雅黑" w:eastAsia="微软雅黑" w:cs="微软雅黑" w:hint="eastAsia"/>
                <w:b/>
                <w:bCs/>
                <w:kern w:val="0"/>
                <w:sz w:val="24"/>
                <w:lang w:val="zh-CN"/>
              </w:rPr>
              <w:t>维保服务具体要求</w:t>
            </w:r>
          </w:p>
          <w:p w:rsidR="00D45D6F" w:rsidRDefault="00D45D6F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微软雅黑" w:eastAsia="微软雅黑" w:cs="微软雅黑"/>
                <w:b/>
                <w:bCs/>
                <w:kern w:val="0"/>
                <w:sz w:val="24"/>
                <w:lang w:val="zh-CN"/>
              </w:rPr>
            </w:pPr>
          </w:p>
          <w:p w:rsidR="00D45D6F" w:rsidRDefault="00D45D6F">
            <w:pPr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:rsidR="00D45D6F" w:rsidRDefault="00D45D6F">
      <w:pPr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bookmarkEnd w:id="0"/>
    </w:p>
    <w:sectPr w:rsidR="00D4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77" w:rsidRDefault="009A6277" w:rsidP="00B719A1">
      <w:r>
        <w:separator/>
      </w:r>
    </w:p>
  </w:endnote>
  <w:endnote w:type="continuationSeparator" w:id="0">
    <w:p w:rsidR="009A6277" w:rsidRDefault="009A6277" w:rsidP="00B7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77" w:rsidRDefault="009A6277" w:rsidP="00B719A1">
      <w:r>
        <w:separator/>
      </w:r>
    </w:p>
  </w:footnote>
  <w:footnote w:type="continuationSeparator" w:id="0">
    <w:p w:rsidR="009A6277" w:rsidRDefault="009A6277" w:rsidP="00B7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GZhMmE3YzA2MDQ3OTY5NDdiOTQxZTY5YThjN2QifQ=="/>
  </w:docVars>
  <w:rsids>
    <w:rsidRoot w:val="6AF67D7F"/>
    <w:rsid w:val="006D2D05"/>
    <w:rsid w:val="00767951"/>
    <w:rsid w:val="009A6277"/>
    <w:rsid w:val="00B719A1"/>
    <w:rsid w:val="00B821D4"/>
    <w:rsid w:val="00BB3749"/>
    <w:rsid w:val="00D45D6F"/>
    <w:rsid w:val="00FF2F77"/>
    <w:rsid w:val="6A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DE1C6"/>
  <w15:docId w15:val="{C3A2C6D8-A899-4F76-95BA-35E0DA69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19A1"/>
    <w:rPr>
      <w:kern w:val="2"/>
      <w:sz w:val="18"/>
      <w:szCs w:val="18"/>
    </w:rPr>
  </w:style>
  <w:style w:type="paragraph" w:styleId="a6">
    <w:name w:val="footer"/>
    <w:basedOn w:val="a"/>
    <w:link w:val="a7"/>
    <w:rsid w:val="00B7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19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王光丽</dc:creator>
  <cp:lastModifiedBy>AutoBVT</cp:lastModifiedBy>
  <cp:revision>5</cp:revision>
  <dcterms:created xsi:type="dcterms:W3CDTF">2024-07-01T01:00:00Z</dcterms:created>
  <dcterms:modified xsi:type="dcterms:W3CDTF">2024-07-26T08:56:00Z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460FDCC75D044738B5FC26424B205886_11</vt:lpwstr>
  </property>
</Properties>
</file>