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rFonts w:hint="eastAsia"/>
          <w:b/>
          <w:sz w:val="24"/>
        </w:rPr>
        <w:t>双活存储</w:t>
      </w:r>
      <w:r>
        <w:rPr>
          <w:b/>
          <w:sz w:val="24"/>
        </w:rPr>
        <w:t>软件售后维护服务招标参数</w:t>
      </w:r>
    </w:p>
    <w:p/>
    <w:p/>
    <w:tbl>
      <w:tblPr>
        <w:tblStyle w:val="6"/>
        <w:tblW w:w="894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2268"/>
        <w:gridCol w:w="59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09" w:type="dxa"/>
            <w:tcBorders>
              <w:top w:val="single" w:color="auto" w:sz="12" w:space="0"/>
              <w:left w:val="single" w:color="auto" w:sz="12" w:space="0"/>
            </w:tcBorders>
            <w:vAlign w:val="center"/>
          </w:tcPr>
          <w:p>
            <w:pPr>
              <w:jc w:val="center"/>
              <w:rPr>
                <w:rFonts w:ascii="宋体"/>
                <w:b/>
                <w:color w:val="000000"/>
                <w:sz w:val="24"/>
              </w:rPr>
            </w:pPr>
            <w:r>
              <w:rPr>
                <w:rFonts w:hint="eastAsia" w:ascii="宋体"/>
                <w:b/>
                <w:color w:val="000000"/>
                <w:sz w:val="24"/>
              </w:rPr>
              <w:t>序号</w:t>
            </w:r>
          </w:p>
        </w:tc>
        <w:tc>
          <w:tcPr>
            <w:tcW w:w="2268" w:type="dxa"/>
            <w:tcBorders>
              <w:top w:val="single" w:color="auto" w:sz="12" w:space="0"/>
            </w:tcBorders>
            <w:vAlign w:val="center"/>
          </w:tcPr>
          <w:p>
            <w:pPr>
              <w:jc w:val="center"/>
              <w:rPr>
                <w:rFonts w:ascii="宋体"/>
                <w:b/>
                <w:color w:val="000000"/>
                <w:sz w:val="24"/>
              </w:rPr>
            </w:pPr>
            <w:r>
              <w:rPr>
                <w:rFonts w:hint="eastAsia" w:ascii="宋体"/>
                <w:b/>
                <w:color w:val="000000"/>
                <w:sz w:val="24"/>
              </w:rPr>
              <w:t>指 标 项</w:t>
            </w:r>
          </w:p>
        </w:tc>
        <w:tc>
          <w:tcPr>
            <w:tcW w:w="5972" w:type="dxa"/>
            <w:tcBorders>
              <w:top w:val="single" w:color="auto" w:sz="12" w:space="0"/>
              <w:right w:val="single" w:color="auto" w:sz="12" w:space="0"/>
            </w:tcBorders>
            <w:vAlign w:val="center"/>
          </w:tcPr>
          <w:p>
            <w:pPr>
              <w:jc w:val="center"/>
              <w:rPr>
                <w:rFonts w:ascii="宋体"/>
                <w:b/>
                <w:color w:val="000000"/>
                <w:sz w:val="24"/>
              </w:rPr>
            </w:pPr>
            <w:r>
              <w:rPr>
                <w:rFonts w:hint="eastAsia" w:ascii="宋体"/>
                <w:b/>
                <w:color w:val="000000"/>
                <w:sz w:val="24"/>
              </w:rPr>
              <w:t>指 标 要 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09" w:type="dxa"/>
            <w:tcBorders>
              <w:top w:val="single" w:color="auto" w:sz="12" w:space="0"/>
              <w:left w:val="single" w:color="auto" w:sz="12" w:space="0"/>
            </w:tcBorders>
            <w:vAlign w:val="center"/>
          </w:tcPr>
          <w:p>
            <w:pPr>
              <w:jc w:val="center"/>
              <w:rPr>
                <w:rFonts w:ascii="宋体"/>
                <w:color w:val="000000"/>
                <w:sz w:val="24"/>
              </w:rPr>
            </w:pPr>
            <w:r>
              <w:rPr>
                <w:rFonts w:hint="eastAsia" w:ascii="宋体"/>
                <w:color w:val="000000"/>
                <w:sz w:val="24"/>
              </w:rPr>
              <w:t>1</w:t>
            </w:r>
          </w:p>
        </w:tc>
        <w:tc>
          <w:tcPr>
            <w:tcW w:w="2268" w:type="dxa"/>
            <w:tcBorders>
              <w:top w:val="single" w:color="auto" w:sz="12" w:space="0"/>
            </w:tcBorders>
            <w:vAlign w:val="center"/>
          </w:tcPr>
          <w:p>
            <w:pPr>
              <w:jc w:val="center"/>
              <w:rPr>
                <w:rFonts w:ascii="宋体"/>
                <w:b/>
                <w:color w:val="000000"/>
                <w:sz w:val="24"/>
              </w:rPr>
            </w:pPr>
            <w:r>
              <w:rPr>
                <w:rFonts w:hint="eastAsia" w:ascii="宋体"/>
                <w:b/>
                <w:color w:val="000000"/>
                <w:sz w:val="24"/>
              </w:rPr>
              <w:t>售后</w:t>
            </w:r>
            <w:r>
              <w:rPr>
                <w:rFonts w:ascii="宋体"/>
                <w:b/>
                <w:color w:val="000000"/>
                <w:sz w:val="24"/>
              </w:rPr>
              <w:t>服务对象</w:t>
            </w:r>
          </w:p>
        </w:tc>
        <w:tc>
          <w:tcPr>
            <w:tcW w:w="5972" w:type="dxa"/>
            <w:tcBorders>
              <w:top w:val="single" w:color="auto" w:sz="12" w:space="0"/>
              <w:right w:val="single" w:color="auto" w:sz="12" w:space="0"/>
            </w:tcBorders>
            <w:vAlign w:val="center"/>
          </w:tcPr>
          <w:p>
            <w:pPr>
              <w:jc w:val="center"/>
              <w:rPr>
                <w:rFonts w:ascii="宋体"/>
                <w:b/>
                <w:color w:val="000000"/>
                <w:sz w:val="24"/>
              </w:rPr>
            </w:pPr>
            <w:r>
              <w:rPr>
                <w:rFonts w:hint="eastAsia" w:ascii="宋体"/>
                <w:color w:val="000000"/>
                <w:sz w:val="24"/>
              </w:rPr>
              <w:t>双活存储软件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09" w:type="dxa"/>
            <w:tcBorders>
              <w:top w:val="single" w:color="auto" w:sz="12" w:space="0"/>
              <w:left w:val="single" w:color="auto" w:sz="12" w:space="0"/>
              <w:bottom w:val="single" w:color="auto" w:sz="12" w:space="0"/>
            </w:tcBorders>
            <w:vAlign w:val="center"/>
          </w:tcPr>
          <w:p>
            <w:pPr>
              <w:jc w:val="center"/>
              <w:rPr>
                <w:rFonts w:ascii="宋体"/>
                <w:color w:val="000000"/>
                <w:sz w:val="24"/>
              </w:rPr>
            </w:pPr>
            <w:r>
              <w:rPr>
                <w:rFonts w:hint="eastAsia" w:ascii="宋体"/>
                <w:color w:val="000000"/>
                <w:sz w:val="24"/>
              </w:rPr>
              <w:t>2</w:t>
            </w:r>
          </w:p>
        </w:tc>
        <w:tc>
          <w:tcPr>
            <w:tcW w:w="2268" w:type="dxa"/>
            <w:tcBorders>
              <w:top w:val="single" w:color="auto" w:sz="12" w:space="0"/>
              <w:bottom w:val="single" w:color="auto" w:sz="12" w:space="0"/>
            </w:tcBorders>
            <w:vAlign w:val="center"/>
          </w:tcPr>
          <w:p>
            <w:pPr>
              <w:spacing w:line="360" w:lineRule="auto"/>
              <w:ind w:firstLine="482" w:firstLineChars="200"/>
              <w:rPr>
                <w:rFonts w:ascii="宋体"/>
                <w:b/>
                <w:color w:val="000000"/>
                <w:sz w:val="24"/>
              </w:rPr>
            </w:pPr>
            <w:r>
              <w:rPr>
                <w:rFonts w:hint="eastAsia" w:ascii="宋体"/>
                <w:b/>
                <w:color w:val="000000"/>
                <w:sz w:val="24"/>
              </w:rPr>
              <w:t>运维时间需求</w:t>
            </w:r>
          </w:p>
        </w:tc>
        <w:tc>
          <w:tcPr>
            <w:tcW w:w="5972" w:type="dxa"/>
            <w:tcBorders>
              <w:top w:val="single" w:color="auto" w:sz="12" w:space="0"/>
              <w:bottom w:val="single" w:color="auto" w:sz="12" w:space="0"/>
              <w:right w:val="single" w:color="auto" w:sz="12" w:space="0"/>
            </w:tcBorders>
            <w:vAlign w:val="center"/>
          </w:tcPr>
          <w:p>
            <w:pPr>
              <w:spacing w:line="360" w:lineRule="auto"/>
              <w:rPr>
                <w:rFonts w:ascii="宋体"/>
                <w:color w:val="000000"/>
                <w:sz w:val="24"/>
              </w:rPr>
            </w:pPr>
            <w:r>
              <w:rPr>
                <w:rFonts w:hint="eastAsia" w:ascii="宋体"/>
                <w:color w:val="000000"/>
                <w:sz w:val="24"/>
              </w:rPr>
              <w:t>按照双活存储</w:t>
            </w:r>
            <w:r>
              <w:rPr>
                <w:rFonts w:ascii="宋体"/>
                <w:color w:val="000000"/>
                <w:sz w:val="24"/>
              </w:rPr>
              <w:t>软件</w:t>
            </w:r>
            <w:r>
              <w:rPr>
                <w:rFonts w:hint="eastAsia" w:ascii="宋体"/>
                <w:color w:val="000000"/>
                <w:sz w:val="24"/>
              </w:rPr>
              <w:t>使用情况，服务期从</w:t>
            </w:r>
            <w:r>
              <w:rPr>
                <w:rFonts w:hint="eastAsia" w:ascii="宋体"/>
                <w:color w:val="000000"/>
                <w:sz w:val="24"/>
                <w:lang w:val="en-US" w:eastAsia="zh-CN"/>
              </w:rPr>
              <w:t>合同签订之日算起</w:t>
            </w:r>
            <w:r>
              <w:rPr>
                <w:rFonts w:hint="eastAsia" w:ascii="宋体"/>
                <w:color w:val="000000"/>
                <w:sz w:val="24"/>
              </w:rPr>
              <w:t>，为期</w:t>
            </w:r>
            <w:r>
              <w:rPr>
                <w:rFonts w:hint="eastAsia" w:ascii="宋体"/>
                <w:color w:val="000000"/>
                <w:sz w:val="24"/>
                <w:lang w:val="en-US" w:eastAsia="zh-CN"/>
              </w:rPr>
              <w:t>12个月</w:t>
            </w:r>
            <w:r>
              <w:rPr>
                <w:rFonts w:hint="eastAsia" w:ascii="宋体"/>
                <w:color w:val="00000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09" w:type="dxa"/>
            <w:tcBorders>
              <w:top w:val="single" w:color="auto" w:sz="12" w:space="0"/>
              <w:left w:val="single" w:color="auto" w:sz="12" w:space="0"/>
            </w:tcBorders>
            <w:vAlign w:val="center"/>
          </w:tcPr>
          <w:p>
            <w:pPr>
              <w:jc w:val="center"/>
              <w:rPr>
                <w:rFonts w:ascii="宋体"/>
                <w:color w:val="000000"/>
                <w:sz w:val="24"/>
              </w:rPr>
            </w:pPr>
            <w:r>
              <w:rPr>
                <w:rFonts w:ascii="宋体"/>
                <w:color w:val="000000"/>
                <w:sz w:val="24"/>
              </w:rPr>
              <w:t>3</w:t>
            </w:r>
          </w:p>
        </w:tc>
        <w:tc>
          <w:tcPr>
            <w:tcW w:w="2268" w:type="dxa"/>
            <w:tcBorders>
              <w:top w:val="single" w:color="auto" w:sz="12" w:space="0"/>
            </w:tcBorders>
            <w:vAlign w:val="center"/>
          </w:tcPr>
          <w:p>
            <w:pPr>
              <w:spacing w:line="360" w:lineRule="auto"/>
              <w:ind w:firstLine="482" w:firstLineChars="200"/>
              <w:rPr>
                <w:rFonts w:ascii="宋体"/>
                <w:b/>
                <w:color w:val="000000"/>
                <w:sz w:val="24"/>
              </w:rPr>
            </w:pPr>
            <w:r>
              <w:rPr>
                <w:rFonts w:hint="eastAsia" w:ascii="宋体"/>
                <w:b/>
                <w:color w:val="000000"/>
                <w:sz w:val="24"/>
              </w:rPr>
              <w:t>运维服务内容</w:t>
            </w:r>
          </w:p>
        </w:tc>
        <w:tc>
          <w:tcPr>
            <w:tcW w:w="5972" w:type="dxa"/>
            <w:tcBorders>
              <w:top w:val="single" w:color="auto" w:sz="12" w:space="0"/>
              <w:right w:val="single" w:color="auto" w:sz="12" w:space="0"/>
            </w:tcBorders>
            <w:vAlign w:val="center"/>
          </w:tcPr>
          <w:p>
            <w:pPr>
              <w:numPr>
                <w:ilvl w:val="0"/>
                <w:numId w:val="2"/>
              </w:numPr>
              <w:spacing w:line="360" w:lineRule="auto"/>
              <w:rPr>
                <w:sz w:val="24"/>
              </w:rPr>
            </w:pPr>
            <w:r>
              <w:rPr>
                <w:rFonts w:hint="eastAsia"/>
                <w:sz w:val="24"/>
              </w:rPr>
              <w:t>根据需求，完善以下服务</w:t>
            </w:r>
          </w:p>
          <w:p>
            <w:pPr>
              <w:numPr>
                <w:ilvl w:val="1"/>
                <w:numId w:val="3"/>
              </w:numPr>
              <w:spacing w:line="360" w:lineRule="auto"/>
              <w:rPr>
                <w:sz w:val="24"/>
              </w:rPr>
            </w:pPr>
            <w:r>
              <w:rPr>
                <w:rFonts w:hint="eastAsia"/>
                <w:sz w:val="24"/>
              </w:rPr>
              <w:t>提供4台双活存储</w:t>
            </w:r>
            <w:r>
              <w:rPr>
                <w:sz w:val="24"/>
              </w:rPr>
              <w:t>软件</w:t>
            </w:r>
            <w:r>
              <w:rPr>
                <w:rFonts w:hint="eastAsia"/>
                <w:sz w:val="24"/>
              </w:rPr>
              <w:t>系统性能优化服务</w:t>
            </w:r>
            <w:r>
              <w:rPr>
                <w:rFonts w:hint="eastAsia"/>
                <w:sz w:val="24"/>
                <w:lang w:eastAsia="zh-CN"/>
              </w:rPr>
              <w:t>（</w:t>
            </w:r>
            <w:r>
              <w:rPr>
                <w:rFonts w:hint="eastAsia"/>
                <w:sz w:val="24"/>
                <w:lang w:val="en-US" w:eastAsia="zh-CN"/>
              </w:rPr>
              <w:t>不得改变现在2+2冗余现状</w:t>
            </w:r>
            <w:r>
              <w:rPr>
                <w:rFonts w:hint="eastAsia"/>
                <w:sz w:val="24"/>
                <w:lang w:eastAsia="zh-CN"/>
              </w:rPr>
              <w:t>）</w:t>
            </w:r>
            <w:r>
              <w:rPr>
                <w:rFonts w:hint="eastAsia"/>
                <w:sz w:val="24"/>
              </w:rPr>
              <w:t>；</w:t>
            </w:r>
          </w:p>
          <w:p>
            <w:pPr>
              <w:numPr>
                <w:ilvl w:val="1"/>
                <w:numId w:val="3"/>
              </w:numPr>
              <w:spacing w:line="360" w:lineRule="auto"/>
              <w:rPr>
                <w:color w:val="000000"/>
                <w:sz w:val="24"/>
              </w:rPr>
            </w:pPr>
            <w:r>
              <w:rPr>
                <w:rFonts w:hint="eastAsia"/>
                <w:color w:val="000000"/>
                <w:sz w:val="24"/>
              </w:rPr>
              <w:t>目前4台双活存储</w:t>
            </w:r>
            <w:r>
              <w:rPr>
                <w:rFonts w:hint="eastAsia"/>
                <w:color w:val="000000"/>
                <w:sz w:val="24"/>
                <w:lang w:val="en-US" w:eastAsia="zh-CN"/>
              </w:rPr>
              <w:t>已构建</w:t>
            </w:r>
            <w:r>
              <w:rPr>
                <w:color w:val="000000"/>
                <w:sz w:val="24"/>
              </w:rPr>
              <w:t>磁盘</w:t>
            </w:r>
            <w:r>
              <w:rPr>
                <w:rFonts w:hint="eastAsia"/>
                <w:color w:val="000000"/>
                <w:sz w:val="24"/>
              </w:rPr>
              <w:t>卷</w:t>
            </w:r>
            <w:r>
              <w:rPr>
                <w:color w:val="000000"/>
                <w:sz w:val="24"/>
              </w:rPr>
              <w:t>组</w:t>
            </w:r>
            <w:r>
              <w:rPr>
                <w:rFonts w:hint="eastAsia"/>
                <w:color w:val="000000"/>
                <w:sz w:val="24"/>
              </w:rPr>
              <w:t>的双活服务</w:t>
            </w:r>
            <w:r>
              <w:rPr>
                <w:color w:val="000000"/>
                <w:sz w:val="24"/>
              </w:rPr>
              <w:t>，这</w:t>
            </w:r>
            <w:r>
              <w:rPr>
                <w:rFonts w:hint="eastAsia"/>
                <w:color w:val="000000"/>
                <w:sz w:val="24"/>
              </w:rPr>
              <w:t>4台双活存储提供存储给P</w:t>
            </w:r>
            <w:r>
              <w:rPr>
                <w:color w:val="000000"/>
                <w:sz w:val="24"/>
              </w:rPr>
              <w:t>ACS业务系统</w:t>
            </w:r>
            <w:r>
              <w:rPr>
                <w:rFonts w:hint="eastAsia"/>
                <w:color w:val="000000"/>
                <w:sz w:val="24"/>
              </w:rPr>
              <w:t>，</w:t>
            </w:r>
            <w:r>
              <w:rPr>
                <w:color w:val="000000"/>
                <w:sz w:val="24"/>
              </w:rPr>
              <w:t>解决双活存储目前故障</w:t>
            </w:r>
            <w:r>
              <w:rPr>
                <w:rFonts w:hint="eastAsia"/>
                <w:color w:val="000000"/>
                <w:sz w:val="24"/>
              </w:rPr>
              <w:t>（包含数据库优化、系统安装优化、双活关系建立，卷组之间的数据重新同步备份等内容</w:t>
            </w:r>
            <w:r>
              <w:rPr>
                <w:rFonts w:hint="eastAsia"/>
                <w:color w:val="FF0000"/>
                <w:sz w:val="24"/>
              </w:rPr>
              <w:t>，</w:t>
            </w:r>
            <w:r>
              <w:rPr>
                <w:rFonts w:hint="eastAsia"/>
                <w:color w:val="FF0000"/>
                <w:sz w:val="24"/>
                <w:lang w:val="en-US" w:eastAsia="zh-CN"/>
              </w:rPr>
              <w:t>施工期间必须确保</w:t>
            </w:r>
            <w:r>
              <w:rPr>
                <w:rFonts w:hint="eastAsia"/>
                <w:color w:val="FF0000"/>
                <w:sz w:val="24"/>
              </w:rPr>
              <w:t>已有数据不丢失</w:t>
            </w:r>
            <w:r>
              <w:rPr>
                <w:rFonts w:hint="eastAsia"/>
                <w:color w:val="FF0000"/>
                <w:sz w:val="24"/>
                <w:lang w:eastAsia="zh-CN"/>
              </w:rPr>
              <w:t>（</w:t>
            </w:r>
            <w:r>
              <w:rPr>
                <w:rFonts w:hint="eastAsia"/>
                <w:color w:val="FF0000"/>
                <w:sz w:val="24"/>
                <w:lang w:val="en-US" w:eastAsia="zh-CN"/>
              </w:rPr>
              <w:t>投标时供应商必须提供解决方案方案，格式不限</w:t>
            </w:r>
            <w:r>
              <w:rPr>
                <w:rFonts w:hint="eastAsia"/>
                <w:color w:val="FF0000"/>
                <w:sz w:val="24"/>
                <w:lang w:eastAsia="zh-CN"/>
              </w:rPr>
              <w:t>）</w:t>
            </w:r>
            <w:r>
              <w:rPr>
                <w:rFonts w:hint="eastAsia"/>
                <w:color w:val="000000"/>
                <w:sz w:val="24"/>
              </w:rPr>
              <w:t>）；</w:t>
            </w:r>
          </w:p>
          <w:p>
            <w:pPr>
              <w:numPr>
                <w:ilvl w:val="1"/>
                <w:numId w:val="3"/>
              </w:numPr>
              <w:spacing w:line="360" w:lineRule="auto"/>
              <w:rPr>
                <w:color w:val="000000"/>
                <w:sz w:val="24"/>
              </w:rPr>
            </w:pPr>
            <w:r>
              <w:rPr>
                <w:rFonts w:hint="eastAsia"/>
                <w:color w:val="000000"/>
                <w:sz w:val="24"/>
              </w:rPr>
              <w:t>提供存储虚拟化服务，</w:t>
            </w:r>
            <w:r>
              <w:rPr>
                <w:rFonts w:hint="eastAsia"/>
                <w:color w:val="000000"/>
                <w:sz w:val="24"/>
                <w:lang w:val="en-US" w:eastAsia="zh-CN"/>
              </w:rPr>
              <w:t>可实现</w:t>
            </w:r>
            <w:r>
              <w:rPr>
                <w:rFonts w:hint="eastAsia"/>
                <w:color w:val="000000"/>
                <w:sz w:val="24"/>
              </w:rPr>
              <w:t>国</w:t>
            </w:r>
            <w:r>
              <w:rPr>
                <w:rFonts w:hint="eastAsia"/>
                <w:color w:val="000000"/>
                <w:sz w:val="24"/>
                <w:lang w:val="en-US" w:eastAsia="zh-CN"/>
              </w:rPr>
              <w:t>内外各</w:t>
            </w:r>
            <w:r>
              <w:rPr>
                <w:rFonts w:hint="eastAsia"/>
                <w:color w:val="000000"/>
                <w:sz w:val="24"/>
              </w:rPr>
              <w:t>品牌实现异构存储的统一管理，支持FC、SAS、iSCSI多种类型磁盘阵列统一管理，</w:t>
            </w:r>
            <w:r>
              <w:rPr>
                <w:rFonts w:hint="eastAsia"/>
                <w:color w:val="000000"/>
                <w:sz w:val="24"/>
                <w:lang w:val="en-US" w:eastAsia="zh-CN"/>
              </w:rPr>
              <w:t>支持管理所有</w:t>
            </w:r>
            <w:r>
              <w:rPr>
                <w:rFonts w:hint="eastAsia"/>
                <w:color w:val="000000"/>
                <w:sz w:val="24"/>
              </w:rPr>
              <w:t>标准协议的存储接口；</w:t>
            </w:r>
          </w:p>
          <w:p>
            <w:pPr>
              <w:numPr>
                <w:ilvl w:val="1"/>
                <w:numId w:val="3"/>
              </w:numPr>
              <w:spacing w:line="360" w:lineRule="auto"/>
              <w:rPr>
                <w:color w:val="000000"/>
                <w:sz w:val="24"/>
              </w:rPr>
            </w:pPr>
            <w:r>
              <w:rPr>
                <w:rFonts w:hint="eastAsia"/>
                <w:color w:val="000000"/>
                <w:sz w:val="24"/>
              </w:rPr>
              <w:t>提供存储状态管理监控服务，</w:t>
            </w:r>
            <w:r>
              <w:rPr>
                <w:rFonts w:hint="eastAsia"/>
                <w:color w:val="000000"/>
                <w:sz w:val="24"/>
                <w:lang w:val="en-US" w:eastAsia="zh-CN"/>
              </w:rPr>
              <w:t>包含</w:t>
            </w:r>
            <w:r>
              <w:rPr>
                <w:rFonts w:hint="eastAsia"/>
                <w:color w:val="000000"/>
                <w:sz w:val="24"/>
              </w:rPr>
              <w:t>存储容量、IOPS等；</w:t>
            </w:r>
          </w:p>
          <w:p>
            <w:pPr>
              <w:numPr>
                <w:ilvl w:val="0"/>
                <w:numId w:val="2"/>
              </w:numPr>
              <w:spacing w:line="360" w:lineRule="auto"/>
              <w:ind w:left="480" w:hanging="480" w:hangingChars="200"/>
              <w:rPr>
                <w:sz w:val="24"/>
              </w:rPr>
            </w:pPr>
            <w:r>
              <w:rPr>
                <w:rFonts w:hint="eastAsia"/>
                <w:sz w:val="24"/>
              </w:rPr>
              <w:t>提供7×24小时的电话技术支持服务，内容包括技术咨询及系统故障处理；</w:t>
            </w:r>
          </w:p>
          <w:p>
            <w:pPr>
              <w:pStyle w:val="12"/>
              <w:numPr>
                <w:ilvl w:val="0"/>
                <w:numId w:val="2"/>
              </w:numPr>
              <w:spacing w:line="360" w:lineRule="auto"/>
              <w:ind w:left="480" w:hanging="480" w:hangingChars="200"/>
              <w:rPr>
                <w:rFonts w:ascii="Times New Roman" w:eastAsia="宋体" w:cs="Times New Roman"/>
                <w:sz w:val="24"/>
                <w:szCs w:val="24"/>
              </w:rPr>
            </w:pPr>
            <w:r>
              <w:rPr>
                <w:rFonts w:hint="eastAsia" w:ascii="Times New Roman" w:eastAsia="宋体" w:cs="Times New Roman"/>
                <w:sz w:val="24"/>
                <w:szCs w:val="24"/>
              </w:rPr>
              <w:t>在系统出现故障的情况下，</w:t>
            </w:r>
            <w:r>
              <w:rPr>
                <w:rFonts w:hint="eastAsia" w:ascii="Times New Roman" w:eastAsia="宋体" w:cs="Times New Roman"/>
                <w:sz w:val="24"/>
                <w:szCs w:val="24"/>
                <w:lang w:val="en-US" w:eastAsia="zh-CN"/>
              </w:rPr>
              <w:t>提供</w:t>
            </w:r>
            <w:r>
              <w:rPr>
                <w:rFonts w:hint="eastAsia" w:ascii="Times New Roman" w:eastAsia="宋体" w:cs="Times New Roman"/>
                <w:sz w:val="24"/>
                <w:szCs w:val="24"/>
              </w:rPr>
              <w:t>远程支持</w:t>
            </w:r>
            <w:r>
              <w:rPr>
                <w:rFonts w:hint="eastAsia" w:ascii="Times New Roman" w:eastAsia="宋体" w:cs="Times New Roman"/>
                <w:sz w:val="24"/>
                <w:szCs w:val="24"/>
                <w:lang w:val="en-US" w:eastAsia="zh-CN"/>
              </w:rPr>
              <w:t>与</w:t>
            </w:r>
            <w:r>
              <w:rPr>
                <w:rFonts w:ascii="Times New Roman" w:eastAsia="宋体" w:cs="Times New Roman"/>
                <w:sz w:val="24"/>
                <w:szCs w:val="24"/>
              </w:rPr>
              <w:t>现场技术支持服务；</w:t>
            </w:r>
          </w:p>
          <w:p>
            <w:pPr>
              <w:numPr>
                <w:ilvl w:val="0"/>
                <w:numId w:val="2"/>
              </w:numPr>
              <w:spacing w:line="360" w:lineRule="auto"/>
              <w:ind w:left="480" w:hanging="480" w:hangingChars="200"/>
              <w:rPr>
                <w:sz w:val="24"/>
              </w:rPr>
            </w:pPr>
            <w:r>
              <w:rPr>
                <w:rFonts w:hint="eastAsia"/>
                <w:sz w:val="24"/>
              </w:rPr>
              <w:t>在系统出现故障的情况下，通过远程支持方式进行系统故障隔离，提交系统故障报告，直至解决系统故障等；</w:t>
            </w:r>
          </w:p>
          <w:p>
            <w:pPr>
              <w:numPr>
                <w:ilvl w:val="0"/>
                <w:numId w:val="2"/>
              </w:numPr>
              <w:spacing w:line="360" w:lineRule="auto"/>
              <w:ind w:left="480" w:hanging="480" w:hangingChars="200"/>
              <w:rPr>
                <w:sz w:val="24"/>
              </w:rPr>
            </w:pPr>
            <w:r>
              <w:rPr>
                <w:rFonts w:hint="eastAsia"/>
                <w:sz w:val="24"/>
              </w:rPr>
              <w:t>在系统出现重大故障的情况下，</w:t>
            </w:r>
            <w:r>
              <w:rPr>
                <w:sz w:val="24"/>
              </w:rPr>
              <w:t>提供</w:t>
            </w:r>
            <w:r>
              <w:rPr>
                <w:rFonts w:hint="eastAsia"/>
                <w:sz w:val="24"/>
              </w:rPr>
              <w:t>5</w:t>
            </w:r>
            <w:r>
              <w:rPr>
                <w:rFonts w:hint="eastAsia"/>
                <w:sz w:val="24"/>
                <w:lang w:val="en-US" w:eastAsia="zh-CN"/>
              </w:rPr>
              <w:t>*</w:t>
            </w:r>
            <w:r>
              <w:rPr>
                <w:rFonts w:hint="eastAsia"/>
                <w:sz w:val="24"/>
              </w:rPr>
              <w:t>8现场</w:t>
            </w:r>
            <w:r>
              <w:rPr>
                <w:sz w:val="24"/>
              </w:rPr>
              <w:t>技术支持服务；</w:t>
            </w:r>
          </w:p>
          <w:p>
            <w:pPr>
              <w:numPr>
                <w:ilvl w:val="0"/>
                <w:numId w:val="2"/>
              </w:numPr>
              <w:spacing w:line="360" w:lineRule="auto"/>
              <w:ind w:left="480" w:hanging="480" w:hangingChars="200"/>
              <w:rPr>
                <w:sz w:val="24"/>
              </w:rPr>
            </w:pPr>
            <w:r>
              <w:rPr>
                <w:rFonts w:hint="eastAsia"/>
                <w:sz w:val="24"/>
              </w:rPr>
              <w:t>技术咨询服务的内容包括软件技术咨询，系统改进意见，研究解决技术难题等；</w:t>
            </w:r>
          </w:p>
          <w:p>
            <w:pPr>
              <w:numPr>
                <w:ilvl w:val="0"/>
                <w:numId w:val="2"/>
              </w:numPr>
              <w:spacing w:line="360" w:lineRule="auto"/>
              <w:rPr>
                <w:sz w:val="24"/>
              </w:rPr>
            </w:pPr>
            <w:r>
              <w:rPr>
                <w:rFonts w:hint="eastAsia"/>
                <w:sz w:val="24"/>
              </w:rPr>
              <w:t>系统运行日常技术支持服务由</w:t>
            </w:r>
            <w:r>
              <w:rPr>
                <w:rFonts w:hint="eastAsia"/>
                <w:sz w:val="24"/>
                <w:lang w:val="en-US" w:eastAsia="zh-CN"/>
              </w:rPr>
              <w:t>指定</w:t>
            </w:r>
            <w:r>
              <w:rPr>
                <w:rFonts w:hint="eastAsia"/>
                <w:sz w:val="24"/>
              </w:rPr>
              <w:t>技术工程师负责</w:t>
            </w:r>
            <w:r>
              <w:rPr>
                <w:rFonts w:hint="eastAsia"/>
                <w:sz w:val="24"/>
                <w:lang w:eastAsia="zh-CN"/>
              </w:rPr>
              <w:t>（</w:t>
            </w:r>
            <w:r>
              <w:rPr>
                <w:rFonts w:hint="eastAsia"/>
                <w:sz w:val="24"/>
                <w:lang w:val="en-US" w:eastAsia="zh-CN"/>
              </w:rPr>
              <w:t>投标时提供技术工程师姓名与电话</w:t>
            </w:r>
            <w:r>
              <w:rPr>
                <w:rFonts w:hint="eastAsia"/>
                <w:sz w:val="24"/>
                <w:lang w:eastAsia="zh-CN"/>
              </w:rPr>
              <w:t>）</w:t>
            </w:r>
            <w:r>
              <w:rPr>
                <w:rFonts w:hint="eastAsia"/>
                <w:sz w:val="24"/>
              </w:rPr>
              <w:t>，随时解决系统运行中出现的任何技术问题；</w:t>
            </w:r>
          </w:p>
          <w:p>
            <w:pPr>
              <w:numPr>
                <w:ilvl w:val="0"/>
                <w:numId w:val="2"/>
              </w:numPr>
              <w:spacing w:line="360" w:lineRule="auto"/>
              <w:rPr>
                <w:sz w:val="24"/>
              </w:rPr>
            </w:pPr>
            <w:r>
              <w:rPr>
                <w:rFonts w:hint="eastAsia"/>
                <w:sz w:val="24"/>
              </w:rPr>
              <w:t>每半</w:t>
            </w:r>
            <w:r>
              <w:rPr>
                <w:rFonts w:hint="eastAsia"/>
                <w:sz w:val="24"/>
                <w:lang w:val="en-US" w:eastAsia="zh-CN"/>
              </w:rPr>
              <w:t>6个月</w:t>
            </w:r>
            <w:r>
              <w:rPr>
                <w:rFonts w:hint="eastAsia"/>
                <w:sz w:val="24"/>
              </w:rPr>
              <w:t>进行</w:t>
            </w:r>
            <w:r>
              <w:rPr>
                <w:rFonts w:hint="eastAsia"/>
                <w:sz w:val="24"/>
                <w:lang w:val="en-US" w:eastAsia="zh-CN"/>
              </w:rPr>
              <w:t>一次</w:t>
            </w:r>
            <w:r>
              <w:rPr>
                <w:rFonts w:hint="eastAsia"/>
                <w:sz w:val="24"/>
              </w:rPr>
              <w:t>现场</w:t>
            </w:r>
            <w:r>
              <w:rPr>
                <w:rFonts w:hint="eastAsia"/>
                <w:sz w:val="24"/>
                <w:lang w:val="en-US" w:eastAsia="zh-CN"/>
              </w:rPr>
              <w:t>巡检</w:t>
            </w:r>
            <w:r>
              <w:rPr>
                <w:rFonts w:hint="eastAsia"/>
                <w:sz w:val="24"/>
              </w:rPr>
              <w:t>，</w:t>
            </w:r>
            <w:r>
              <w:rPr>
                <w:rFonts w:hint="eastAsia"/>
                <w:sz w:val="24"/>
                <w:lang w:val="en-US" w:eastAsia="zh-CN"/>
              </w:rPr>
              <w:t>巡检结束后提供巡检报告</w:t>
            </w:r>
            <w:r>
              <w:rPr>
                <w:rFonts w:hint="eastAsia"/>
                <w:sz w:val="24"/>
              </w:rPr>
              <w:t>并对相关资源提出替换或改正意见；</w:t>
            </w:r>
          </w:p>
          <w:p>
            <w:pPr>
              <w:numPr>
                <w:ilvl w:val="0"/>
                <w:numId w:val="2"/>
              </w:numPr>
              <w:spacing w:line="360" w:lineRule="auto"/>
              <w:rPr>
                <w:sz w:val="24"/>
              </w:rPr>
            </w:pPr>
            <w:r>
              <w:rPr>
                <w:rFonts w:hint="eastAsia"/>
                <w:sz w:val="24"/>
                <w:lang w:val="en-US" w:eastAsia="zh-CN"/>
              </w:rPr>
              <w:t>服务有效期内根据采购人需要提供一次必要的技术与维护培训；</w:t>
            </w:r>
          </w:p>
          <w:p>
            <w:pPr>
              <w:numPr>
                <w:ilvl w:val="0"/>
                <w:numId w:val="2"/>
              </w:numPr>
              <w:spacing w:line="360" w:lineRule="auto"/>
              <w:rPr>
                <w:sz w:val="24"/>
              </w:rPr>
            </w:pPr>
            <w:r>
              <w:rPr>
                <w:rFonts w:hint="eastAsia"/>
                <w:sz w:val="24"/>
              </w:rPr>
              <w:t>对于系统维护过程中在其它某一节点发现带有普遍性的问题和软件错误等，</w:t>
            </w:r>
            <w:r>
              <w:rPr>
                <w:sz w:val="24"/>
              </w:rPr>
              <w:t>需</w:t>
            </w:r>
            <w:r>
              <w:rPr>
                <w:rFonts w:hint="eastAsia"/>
                <w:sz w:val="24"/>
              </w:rPr>
              <w:t>及时通知</w:t>
            </w:r>
            <w:r>
              <w:rPr>
                <w:rFonts w:hint="eastAsia"/>
                <w:sz w:val="24"/>
                <w:lang w:val="en-US" w:eastAsia="zh-CN"/>
              </w:rPr>
              <w:t>采购人</w:t>
            </w:r>
            <w:r>
              <w:rPr>
                <w:rFonts w:hint="eastAsia"/>
                <w:sz w:val="24"/>
              </w:rPr>
              <w:t>做好预防工作，并提供解决方法；</w:t>
            </w:r>
          </w:p>
          <w:p>
            <w:pPr>
              <w:numPr>
                <w:ilvl w:val="0"/>
                <w:numId w:val="2"/>
              </w:numPr>
              <w:spacing w:line="360" w:lineRule="auto"/>
              <w:rPr>
                <w:sz w:val="24"/>
              </w:rPr>
            </w:pPr>
            <w:r>
              <w:rPr>
                <w:rFonts w:hint="eastAsia"/>
                <w:sz w:val="24"/>
                <w:lang w:val="en-US" w:eastAsia="zh-CN"/>
              </w:rPr>
              <w:t>每次故障处理后必须提供</w:t>
            </w:r>
            <w:r>
              <w:rPr>
                <w:rFonts w:hint="eastAsia"/>
                <w:sz w:val="24"/>
              </w:rPr>
              <w:t>故障处理报告</w:t>
            </w:r>
            <w:r>
              <w:rPr>
                <w:rFonts w:hint="eastAsia"/>
                <w:sz w:val="24"/>
                <w:lang w:eastAsia="zh-CN"/>
              </w:rPr>
              <w:t>；</w:t>
            </w:r>
          </w:p>
          <w:p>
            <w:pPr>
              <w:numPr>
                <w:ilvl w:val="0"/>
                <w:numId w:val="2"/>
              </w:numPr>
              <w:spacing w:line="360" w:lineRule="auto"/>
              <w:rPr>
                <w:rFonts w:hint="eastAsia"/>
                <w:sz w:val="24"/>
              </w:rPr>
            </w:pPr>
            <w:r>
              <w:rPr>
                <w:rFonts w:hint="eastAsia"/>
                <w:sz w:val="24"/>
                <w:lang w:val="en-US" w:eastAsia="zh-CN"/>
              </w:rPr>
              <w:t>提供在服务有效期内包括但不限于等级保护测评</w:t>
            </w:r>
            <w:bookmarkStart w:id="0" w:name="_GoBack"/>
            <w:bookmarkEnd w:id="0"/>
            <w:r>
              <w:rPr>
                <w:rFonts w:hint="eastAsia"/>
                <w:sz w:val="24"/>
                <w:lang w:val="en-US" w:eastAsia="zh-CN"/>
              </w:rPr>
              <w:t>的与设备有关的技术服务支持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709" w:type="dxa"/>
            <w:tcBorders>
              <w:top w:val="single" w:color="auto" w:sz="12" w:space="0"/>
              <w:left w:val="single" w:color="auto" w:sz="12" w:space="0"/>
            </w:tcBorders>
            <w:vAlign w:val="center"/>
          </w:tcPr>
          <w:p>
            <w:pPr>
              <w:jc w:val="center"/>
              <w:rPr>
                <w:rFonts w:ascii="宋体"/>
                <w:color w:val="000000"/>
                <w:sz w:val="24"/>
              </w:rPr>
            </w:pPr>
            <w:r>
              <w:rPr>
                <w:rFonts w:ascii="宋体"/>
                <w:color w:val="000000"/>
                <w:sz w:val="24"/>
              </w:rPr>
              <w:t>4</w:t>
            </w:r>
          </w:p>
        </w:tc>
        <w:tc>
          <w:tcPr>
            <w:tcW w:w="2268" w:type="dxa"/>
            <w:tcBorders>
              <w:top w:val="single" w:color="auto" w:sz="12" w:space="0"/>
            </w:tcBorders>
            <w:vAlign w:val="center"/>
          </w:tcPr>
          <w:p>
            <w:pPr>
              <w:spacing w:line="360" w:lineRule="auto"/>
              <w:ind w:firstLine="361" w:firstLineChars="150"/>
              <w:rPr>
                <w:rFonts w:ascii="Arial" w:hAnsi="Arial" w:cs="Arial"/>
                <w:b/>
                <w:sz w:val="24"/>
              </w:rPr>
            </w:pPr>
            <w:r>
              <w:rPr>
                <w:rFonts w:hint="eastAsia" w:ascii="Arial" w:hAnsi="Arial" w:cs="Arial"/>
                <w:b/>
                <w:sz w:val="24"/>
              </w:rPr>
              <w:t>响应时间</w:t>
            </w:r>
          </w:p>
        </w:tc>
        <w:tc>
          <w:tcPr>
            <w:tcW w:w="5972" w:type="dxa"/>
            <w:tcBorders>
              <w:top w:val="single" w:color="auto" w:sz="12" w:space="0"/>
              <w:right w:val="single" w:color="auto" w:sz="12" w:space="0"/>
            </w:tcBorders>
            <w:vAlign w:val="center"/>
          </w:tcPr>
          <w:p>
            <w:pPr>
              <w:numPr>
                <w:ilvl w:val="0"/>
                <w:numId w:val="4"/>
              </w:numPr>
              <w:spacing w:line="360" w:lineRule="auto"/>
              <w:rPr>
                <w:sz w:val="24"/>
              </w:rPr>
            </w:pPr>
            <w:r>
              <w:rPr>
                <w:rFonts w:hint="eastAsia"/>
                <w:sz w:val="24"/>
              </w:rPr>
              <w:t>提供</w:t>
            </w:r>
            <w:r>
              <w:rPr>
                <w:sz w:val="24"/>
              </w:rPr>
              <w:t>7</w:t>
            </w:r>
            <w:r>
              <w:rPr>
                <w:rFonts w:hint="eastAsia"/>
                <w:sz w:val="24"/>
              </w:rPr>
              <w:t>×</w:t>
            </w:r>
            <w:r>
              <w:rPr>
                <w:sz w:val="24"/>
              </w:rPr>
              <w:t>24</w:t>
            </w:r>
            <w:r>
              <w:rPr>
                <w:rFonts w:hint="eastAsia"/>
                <w:sz w:val="24"/>
              </w:rPr>
              <w:t>小时全天候的电话技术支持服务，一般故障响应时间不超过</w:t>
            </w:r>
            <w:r>
              <w:rPr>
                <w:rFonts w:hint="eastAsia"/>
                <w:sz w:val="24"/>
                <w:lang w:val="en-US" w:eastAsia="zh-CN"/>
              </w:rPr>
              <w:t>2</w:t>
            </w:r>
            <w:r>
              <w:rPr>
                <w:rFonts w:hint="eastAsia"/>
                <w:sz w:val="24"/>
              </w:rPr>
              <w:t>小时；</w:t>
            </w:r>
          </w:p>
          <w:p>
            <w:pPr>
              <w:numPr>
                <w:ilvl w:val="0"/>
                <w:numId w:val="4"/>
              </w:numPr>
              <w:spacing w:line="360" w:lineRule="auto"/>
              <w:rPr>
                <w:sz w:val="24"/>
              </w:rPr>
            </w:pPr>
            <w:r>
              <w:rPr>
                <w:rFonts w:hint="eastAsia"/>
                <w:sz w:val="24"/>
              </w:rPr>
              <w:t>在出现较复杂的故障和问题时，能够在</w:t>
            </w:r>
            <w:r>
              <w:rPr>
                <w:sz w:val="24"/>
              </w:rPr>
              <w:t>48</w:t>
            </w:r>
            <w:r>
              <w:rPr>
                <w:rFonts w:hint="eastAsia"/>
                <w:sz w:val="24"/>
              </w:rPr>
              <w:t>小时之内提供现场技术支持；</w:t>
            </w:r>
            <w:r>
              <w:rPr>
                <w:sz w:val="24"/>
              </w:rPr>
              <w:t xml:space="preserve"> </w:t>
            </w:r>
          </w:p>
          <w:p>
            <w:pPr>
              <w:numPr>
                <w:ilvl w:val="0"/>
                <w:numId w:val="4"/>
              </w:numPr>
              <w:spacing w:line="360" w:lineRule="auto"/>
              <w:rPr>
                <w:sz w:val="24"/>
              </w:rPr>
            </w:pPr>
            <w:r>
              <w:rPr>
                <w:rFonts w:hint="eastAsia"/>
                <w:sz w:val="24"/>
              </w:rPr>
              <w:t>对于紧急的直接影响系统正常运行的问题，在接到通知后</w:t>
            </w:r>
            <w:r>
              <w:rPr>
                <w:sz w:val="24"/>
              </w:rPr>
              <w:t>8</w:t>
            </w:r>
            <w:r>
              <w:rPr>
                <w:rFonts w:hint="eastAsia"/>
                <w:sz w:val="24"/>
              </w:rPr>
              <w:t>小时内给予妥善处理</w:t>
            </w:r>
            <w:r>
              <w:rPr>
                <w:rFonts w:hint="eastAsia"/>
                <w:sz w:val="24"/>
                <w:lang w:eastAsia="zh-CN"/>
              </w:rPr>
              <w:t>。</w:t>
            </w:r>
          </w:p>
          <w:p>
            <w:pPr>
              <w:numPr>
                <w:ilvl w:val="0"/>
                <w:numId w:val="4"/>
              </w:numPr>
              <w:spacing w:line="360" w:lineRule="auto"/>
              <w:rPr>
                <w:sz w:val="24"/>
              </w:rPr>
            </w:pPr>
            <w:r>
              <w:rPr>
                <w:rFonts w:hint="eastAsia"/>
                <w:sz w:val="24"/>
                <w:lang w:val="en-US" w:eastAsia="zh-CN"/>
              </w:rPr>
              <w:t>投标时提供以上内容的响应承诺函。</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56F5B"/>
    <w:multiLevelType w:val="multilevel"/>
    <w:tmpl w:val="38956F5B"/>
    <w:lvl w:ilvl="0" w:tentative="0">
      <w:start w:val="1"/>
      <w:numFmt w:val="chineseCountingThousand"/>
      <w:lvlText w:val="%1、"/>
      <w:lvlJc w:val="left"/>
      <w:pPr>
        <w:ind w:left="0" w:firstLine="0"/>
      </w:pPr>
      <w:rPr>
        <w:rFonts w:hint="eastAsia" w:cs="Times New Roman"/>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2"/>
      <w:isLgl/>
      <w:lvlText w:val="%1.%2、"/>
      <w:lvlJc w:val="left"/>
      <w:pPr>
        <w:ind w:left="0" w:firstLine="0"/>
      </w:pPr>
      <w:rPr>
        <w:rFonts w:hint="default"/>
      </w:rPr>
    </w:lvl>
    <w:lvl w:ilvl="2" w:tentative="0">
      <w:start w:val="1"/>
      <w:numFmt w:val="decimal"/>
      <w:isLgl/>
      <w:lvlText w:val="%1.%2.%3、"/>
      <w:lvlJc w:val="left"/>
      <w:pPr>
        <w:ind w:left="0" w:firstLine="0"/>
      </w:pPr>
      <w:rPr>
        <w:rFonts w:hint="default"/>
      </w:rPr>
    </w:lvl>
    <w:lvl w:ilvl="3" w:tentative="0">
      <w:start w:val="1"/>
      <w:numFmt w:val="decimal"/>
      <w:pStyle w:val="3"/>
      <w:isLgl/>
      <w:lvlText w:val="%1.%2.%3.%4、"/>
      <w:lvlJc w:val="left"/>
      <w:pPr>
        <w:ind w:left="0" w:firstLine="0"/>
      </w:pPr>
      <w:rPr>
        <w:rFonts w:hint="eastAsia"/>
        <w:b w:val="0"/>
        <w:i w:val="0"/>
      </w:rPr>
    </w:lvl>
    <w:lvl w:ilvl="4" w:tentative="0">
      <w:start w:val="1"/>
      <w:numFmt w:val="decimal"/>
      <w:isLgl/>
      <w:lvlText w:val="%1.%2.%3.%4.%5"/>
      <w:lvlJc w:val="left"/>
      <w:pPr>
        <w:ind w:left="1008" w:hanging="1008"/>
      </w:pPr>
      <w:rPr>
        <w:rFonts w:hint="default"/>
      </w:rPr>
    </w:lvl>
    <w:lvl w:ilvl="5" w:tentative="0">
      <w:start w:val="1"/>
      <w:numFmt w:val="decimal"/>
      <w:lvlText w:val="%1.%2.%3.%4.%5.%6"/>
      <w:lvlJc w:val="left"/>
      <w:pPr>
        <w:ind w:left="1152" w:hanging="1152"/>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4" w:hanging="1584"/>
      </w:pPr>
      <w:rPr>
        <w:rFonts w:hint="default"/>
      </w:rPr>
    </w:lvl>
  </w:abstractNum>
  <w:abstractNum w:abstractNumId="1">
    <w:nsid w:val="3C4555FE"/>
    <w:multiLevelType w:val="multilevel"/>
    <w:tmpl w:val="3C4555FE"/>
    <w:lvl w:ilvl="0" w:tentative="0">
      <w:start w:val="1"/>
      <w:numFmt w:val="decimal"/>
      <w:lvlText w:val="%1)"/>
      <w:lvlJc w:val="left"/>
      <w:pPr>
        <w:tabs>
          <w:tab w:val="left" w:pos="0"/>
        </w:tabs>
        <w:ind w:left="420" w:hanging="420"/>
      </w:pPr>
    </w:lvl>
    <w:lvl w:ilvl="1" w:tentative="0">
      <w:start w:val="1"/>
      <w:numFmt w:val="bullet"/>
      <w:lvlText w:val=""/>
      <w:lvlJc w:val="left"/>
      <w:pPr>
        <w:tabs>
          <w:tab w:val="left" w:pos="0"/>
        </w:tabs>
        <w:ind w:left="840" w:hanging="420"/>
      </w:pPr>
      <w:rPr>
        <w:rFonts w:hint="default" w:ascii="Wingdings" w:hAnsi="Wingdings"/>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479323B1"/>
    <w:multiLevelType w:val="multilevel"/>
    <w:tmpl w:val="479323B1"/>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70AF34D3"/>
    <w:multiLevelType w:val="multilevel"/>
    <w:tmpl w:val="70AF34D3"/>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NmFhOTVlNjE3OWViMDcyNmI3MDM0ZjlkODg3MTQifQ=="/>
  </w:docVars>
  <w:rsids>
    <w:rsidRoot w:val="006128AD"/>
    <w:rsid w:val="0018472D"/>
    <w:rsid w:val="00206DEE"/>
    <w:rsid w:val="002B0C8E"/>
    <w:rsid w:val="005D3CF5"/>
    <w:rsid w:val="006128AD"/>
    <w:rsid w:val="006A1009"/>
    <w:rsid w:val="00B30F79"/>
    <w:rsid w:val="00B75B0F"/>
    <w:rsid w:val="5DA451B8"/>
    <w:rsid w:val="7D79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2"/>
    <w:next w:val="1"/>
    <w:link w:val="8"/>
    <w:qFormat/>
    <w:uiPriority w:val="0"/>
    <w:pPr>
      <w:numPr>
        <w:ilvl w:val="3"/>
      </w:numPr>
      <w:spacing w:before="156" w:after="290" w:line="372" w:lineRule="auto"/>
      <w:outlineLvl w:val="3"/>
    </w:pPr>
    <w:rPr>
      <w:rFonts w:ascii="Cambria" w:hAnsi="Cambria" w:cstheme="minorBidi"/>
      <w:b w:val="0"/>
      <w:bCs w:val="0"/>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4 Char"/>
    <w:link w:val="3"/>
    <w:uiPriority w:val="0"/>
    <w:rPr>
      <w:rFonts w:ascii="Cambria" w:hAnsi="Cambria" w:eastAsiaTheme="majorEastAsia"/>
      <w:sz w:val="28"/>
      <w:szCs w:val="28"/>
    </w:rPr>
  </w:style>
  <w:style w:type="character" w:customStyle="1" w:styleId="9">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0">
    <w:name w:val="页眉 Char"/>
    <w:basedOn w:val="7"/>
    <w:link w:val="5"/>
    <w:qFormat/>
    <w:uiPriority w:val="99"/>
    <w:rPr>
      <w:sz w:val="18"/>
      <w:szCs w:val="18"/>
    </w:rPr>
  </w:style>
  <w:style w:type="character" w:customStyle="1" w:styleId="11">
    <w:name w:val="页脚 Char"/>
    <w:basedOn w:val="7"/>
    <w:link w:val="4"/>
    <w:uiPriority w:val="99"/>
    <w:rPr>
      <w:sz w:val="18"/>
      <w:szCs w:val="18"/>
    </w:rPr>
  </w:style>
  <w:style w:type="paragraph" w:customStyle="1" w:styleId="12">
    <w:name w:val="列出段落1"/>
    <w:basedOn w:val="1"/>
    <w:qFormat/>
    <w:uiPriority w:val="0"/>
    <w:pPr>
      <w:ind w:firstLine="200" w:firstLineChars="200"/>
    </w:pPr>
    <w:rPr>
      <w:rFonts w:ascii="等线" w:eastAsia="等线" w:cs="Arial"/>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940</Words>
  <Characters>958</Characters>
  <Lines>7</Lines>
  <Paragraphs>2</Paragraphs>
  <TotalTime>23</TotalTime>
  <ScaleCrop>false</ScaleCrop>
  <LinksUpToDate>false</LinksUpToDate>
  <CharactersWithSpaces>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2024-06-04T08:00:00Z</dcterms:created>
  <dc:creator>User</dc:creator>
  <cp:lastModifiedBy>WPS_1701052274</cp:lastModifiedBy>
  <dcterms:modified xsi:type="dcterms:W3CDTF">2024-06-04T08:27:55Z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663EE9798B6B460D9A1A0D26F43E329F_13</vt:lpwstr>
  </property>
</Properties>
</file>