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ordWrap/>
        <w:overflowPunct/>
        <w:topLinePunct w:val="0"/>
        <w:bidi w:val="0"/>
        <w:adjustRightInd w:val="0"/>
        <w:snapToGrid w:val="0"/>
        <w:spacing w:before="0" w:after="157" w:afterLines="50" w:line="240" w:lineRule="auto"/>
        <w:ind w:left="0" w:leftChars="0" w:firstLine="0" w:firstLineChars="0"/>
        <w:jc w:val="center"/>
        <w:rPr>
          <w:rFonts w:hint="eastAsia" w:ascii="宋体" w:hAnsi="宋体" w:eastAsia="宋体" w:cs="宋体"/>
          <w:kern w:val="0"/>
          <w:sz w:val="32"/>
          <w:szCs w:val="32"/>
          <w:shd w:val="clear" w:color="auto" w:fill="FFFFFF"/>
          <w:lang w:eastAsia="zh-CN" w:bidi="ar"/>
        </w:rPr>
      </w:pPr>
      <w:bookmarkStart w:id="0" w:name="_Toc1479820"/>
      <w:bookmarkStart w:id="1" w:name="_Toc1479957"/>
      <w:r>
        <w:rPr>
          <w:rFonts w:hint="eastAsia" w:ascii="宋体" w:hAnsi="宋体" w:eastAsia="宋体" w:cs="宋体"/>
          <w:kern w:val="0"/>
          <w:sz w:val="32"/>
          <w:szCs w:val="32"/>
          <w:shd w:val="clear" w:color="auto" w:fill="FFFFFF"/>
          <w:lang w:eastAsia="zh-CN" w:bidi="ar"/>
        </w:rPr>
        <w:t>“</w:t>
      </w:r>
      <w:r>
        <w:rPr>
          <w:rFonts w:hint="eastAsia" w:ascii="宋体" w:hAnsi="宋体" w:eastAsia="宋体" w:cs="宋体"/>
          <w:kern w:val="0"/>
          <w:sz w:val="32"/>
          <w:szCs w:val="32"/>
          <w:shd w:val="clear" w:color="auto" w:fill="FFFFFF"/>
          <w:lang w:val="en-US" w:eastAsia="zh-CN" w:bidi="ar"/>
        </w:rPr>
        <w:t>互联网医院系统</w:t>
      </w:r>
      <w:r>
        <w:rPr>
          <w:rFonts w:hint="eastAsia" w:ascii="宋体" w:hAnsi="宋体" w:eastAsia="宋体" w:cs="宋体"/>
          <w:kern w:val="0"/>
          <w:sz w:val="32"/>
          <w:szCs w:val="32"/>
          <w:shd w:val="clear" w:color="auto" w:fill="FFFFFF"/>
          <w:lang w:eastAsia="zh-CN" w:bidi="ar"/>
        </w:rPr>
        <w:t>”</w:t>
      </w:r>
    </w:p>
    <w:p>
      <w:pPr>
        <w:pStyle w:val="2"/>
        <w:pageBreakBefore w:val="0"/>
        <w:wordWrap/>
        <w:overflowPunct/>
        <w:topLinePunct w:val="0"/>
        <w:bidi w:val="0"/>
        <w:adjustRightInd w:val="0"/>
        <w:snapToGrid w:val="0"/>
        <w:spacing w:before="0" w:after="157" w:afterLines="50" w:line="240" w:lineRule="auto"/>
        <w:ind w:left="0" w:leftChars="0" w:firstLine="0" w:firstLineChars="0"/>
        <w:jc w:val="center"/>
        <w:rPr>
          <w:rFonts w:hint="eastAsia" w:ascii="宋体" w:hAnsi="宋体" w:eastAsia="宋体" w:cs="宋体"/>
          <w:sz w:val="32"/>
          <w:szCs w:val="32"/>
        </w:rPr>
      </w:pPr>
      <w:r>
        <w:rPr>
          <w:rFonts w:hint="eastAsia" w:ascii="宋体" w:hAnsi="宋体" w:eastAsia="宋体" w:cs="宋体"/>
          <w:kern w:val="0"/>
          <w:sz w:val="32"/>
          <w:szCs w:val="32"/>
          <w:shd w:val="clear" w:color="auto" w:fill="FFFFFF"/>
          <w:lang w:bidi="ar"/>
        </w:rPr>
        <w:t>商用密码应用与安全性评估服务需求</w:t>
      </w:r>
      <w:r>
        <w:rPr>
          <w:rFonts w:hint="eastAsia" w:ascii="宋体" w:hAnsi="宋体" w:eastAsia="宋体" w:cs="宋体"/>
          <w:kern w:val="0"/>
          <w:sz w:val="32"/>
          <w:szCs w:val="32"/>
          <w:shd w:val="clear" w:color="auto" w:fill="FFFFFF"/>
          <w:lang w:val="en-US" w:eastAsia="zh-CN" w:bidi="ar"/>
        </w:rPr>
        <w:t>参数</w:t>
      </w:r>
      <w:bookmarkEnd w:id="0"/>
      <w:bookmarkEnd w:id="1"/>
      <w:bookmarkStart w:id="2" w:name="_Toc282517729"/>
    </w:p>
    <w:bookmarkEnd w:id="2"/>
    <w:p>
      <w:pPr>
        <w:pageBreakBefore w:val="0"/>
        <w:wordWrap/>
        <w:overflowPunct/>
        <w:topLinePunct w:val="0"/>
        <w:bidi w:val="0"/>
        <w:adjustRightInd w:val="0"/>
        <w:snapToGrid w:val="0"/>
        <w:spacing w:after="157" w:afterLines="50"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一．项目概况</w:t>
      </w:r>
    </w:p>
    <w:p>
      <w:pPr>
        <w:pageBreakBefore w:val="0"/>
        <w:wordWrap/>
        <w:overflowPunct/>
        <w:topLinePunct w:val="0"/>
        <w:bidi w:val="0"/>
        <w:spacing w:after="157" w:afterLines="50" w:line="240" w:lineRule="auto"/>
        <w:ind w:firstLine="420" w:firstLineChars="200"/>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为落实商用密码保护制度，履行信息系统安全保护义务，根据《中华人民共和国网络安全法》、《中华人民共和国密码法》等法律法规和政策文件规定，拟对</w:t>
      </w:r>
      <w:r>
        <w:rPr>
          <w:rFonts w:hint="eastAsia" w:ascii="宋体" w:hAnsi="宋体" w:eastAsia="宋体" w:cs="宋体"/>
          <w:kern w:val="0"/>
          <w:sz w:val="21"/>
          <w:szCs w:val="21"/>
          <w:shd w:val="clear" w:color="auto" w:fill="FFFFFF"/>
          <w:lang w:val="en-US" w:eastAsia="zh-CN" w:bidi="ar"/>
        </w:rPr>
        <w:t>某单位</w:t>
      </w:r>
      <w:r>
        <w:rPr>
          <w:rFonts w:hint="eastAsia" w:ascii="宋体" w:hAnsi="宋体" w:eastAsia="宋体" w:cs="宋体"/>
          <w:kern w:val="0"/>
          <w:sz w:val="21"/>
          <w:szCs w:val="21"/>
          <w:shd w:val="clear" w:color="auto" w:fill="FFFFFF"/>
          <w:lang w:bidi="ar"/>
        </w:rPr>
        <w:t>的</w:t>
      </w:r>
      <w:r>
        <w:rPr>
          <w:rFonts w:hint="eastAsia" w:ascii="宋体" w:hAnsi="宋体" w:eastAsia="宋体" w:cs="宋体"/>
          <w:kern w:val="0"/>
          <w:sz w:val="21"/>
          <w:szCs w:val="21"/>
          <w:shd w:val="clear" w:color="auto" w:fill="FFFFFF"/>
          <w:lang w:eastAsia="zh-CN" w:bidi="ar"/>
        </w:rPr>
        <w:t>“某系统</w:t>
      </w:r>
      <w:r>
        <w:rPr>
          <w:rFonts w:hint="eastAsia" w:ascii="宋体" w:hAnsi="宋体" w:eastAsia="宋体" w:cs="宋体"/>
          <w:kern w:val="0"/>
          <w:sz w:val="21"/>
          <w:szCs w:val="21"/>
          <w:shd w:val="clear" w:color="auto" w:fill="FFFFFF"/>
          <w:lang w:val="en-US" w:eastAsia="zh-CN" w:bidi="ar"/>
        </w:rPr>
        <w:t>”</w:t>
      </w:r>
      <w:r>
        <w:rPr>
          <w:rFonts w:hint="eastAsia" w:ascii="宋体" w:hAnsi="宋体" w:eastAsia="宋体" w:cs="宋体"/>
          <w:kern w:val="0"/>
          <w:sz w:val="21"/>
          <w:szCs w:val="21"/>
          <w:shd w:val="clear" w:color="auto" w:fill="FFFFFF"/>
          <w:lang w:bidi="ar"/>
        </w:rPr>
        <w:t>开展商用密码应用与安全性评估查找不足以及存在的安全隐患，为后续的安全建设和整改工作提供依据。</w:t>
      </w:r>
    </w:p>
    <w:p>
      <w:pPr>
        <w:pageBreakBefore w:val="0"/>
        <w:wordWrap/>
        <w:overflowPunct/>
        <w:topLinePunct w:val="0"/>
        <w:bidi w:val="0"/>
        <w:adjustRightInd w:val="0"/>
        <w:snapToGrid w:val="0"/>
        <w:spacing w:after="157" w:afterLines="50"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二．服务内容</w:t>
      </w:r>
    </w:p>
    <w:p>
      <w:pPr>
        <w:pageBreakBefore w:val="0"/>
        <w:wordWrap/>
        <w:overflowPunct/>
        <w:topLinePunct w:val="0"/>
        <w:bidi w:val="0"/>
        <w:spacing w:after="157" w:afterLines="50"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依据GB/T 39786-202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《信息安全技术  信息系统密码应用基本要求》、</w:t>
      </w:r>
      <w:r>
        <w:rPr>
          <w:rFonts w:hint="eastAsia" w:ascii="宋体" w:hAnsi="宋体" w:eastAsia="宋体" w:cs="宋体"/>
          <w:sz w:val="21"/>
          <w:szCs w:val="21"/>
          <w:highlight w:val="none"/>
          <w:lang w:val="en-US" w:eastAsia="zh-CN"/>
        </w:rPr>
        <w:t>GB</w:t>
      </w:r>
      <w:r>
        <w:rPr>
          <w:rFonts w:hint="eastAsia" w:ascii="宋体" w:hAnsi="宋体" w:eastAsia="宋体" w:cs="宋体"/>
          <w:sz w:val="21"/>
          <w:szCs w:val="21"/>
          <w:highlight w:val="none"/>
        </w:rPr>
        <w:t>∕T43206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2023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信息安全技术 信息系统密码应用测评要求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GB</w:t>
      </w:r>
      <w:r>
        <w:rPr>
          <w:rFonts w:hint="eastAsia" w:ascii="宋体" w:hAnsi="宋体" w:eastAsia="宋体" w:cs="宋体"/>
          <w:sz w:val="21"/>
          <w:szCs w:val="21"/>
          <w:highlight w:val="none"/>
        </w:rPr>
        <w:t>∕T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4320</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2023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信息安全技术 信息系统密码应用</w:t>
      </w:r>
      <w:r>
        <w:rPr>
          <w:rFonts w:hint="eastAsia" w:ascii="宋体" w:hAnsi="宋体" w:eastAsia="宋体" w:cs="宋体"/>
          <w:sz w:val="21"/>
          <w:szCs w:val="21"/>
          <w:highlight w:val="none"/>
          <w:lang w:val="en-US" w:eastAsia="zh-CN"/>
        </w:rPr>
        <w:t>设计指南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、GM∕T 0116-2021《信息系统密码应用测评过程指南》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《信息系统密码应用高风险判定指引》、《商用密码应用安全性评估量化评估规则》等相关测评标准，拟对</w:t>
      </w:r>
      <w:r>
        <w:rPr>
          <w:rFonts w:hint="eastAsia" w:ascii="宋体" w:hAnsi="宋体" w:eastAsia="宋体" w:cs="宋体"/>
          <w:sz w:val="21"/>
          <w:szCs w:val="21"/>
          <w:highlight w:val="none"/>
          <w:lang w:eastAsia="zh-CN"/>
        </w:rPr>
        <w:t>“某系</w:t>
      </w:r>
      <w:r>
        <w:rPr>
          <w:rFonts w:hint="eastAsia" w:ascii="宋体" w:hAnsi="宋体" w:eastAsia="宋体" w:cs="宋体"/>
          <w:kern w:val="0"/>
          <w:sz w:val="21"/>
          <w:szCs w:val="21"/>
          <w:shd w:val="clear" w:color="auto" w:fill="FFFFFF"/>
          <w:lang w:eastAsia="zh-CN" w:bidi="ar"/>
        </w:rPr>
        <w:t>统</w:t>
      </w:r>
      <w:r>
        <w:rPr>
          <w:rFonts w:hint="eastAsia" w:ascii="宋体" w:hAnsi="宋体" w:eastAsia="宋体" w:cs="宋体"/>
          <w:kern w:val="0"/>
          <w:sz w:val="21"/>
          <w:szCs w:val="21"/>
          <w:shd w:val="clear" w:color="auto" w:fill="FFFFFF"/>
          <w:lang w:val="en-US" w:eastAsia="zh-CN" w:bidi="ar"/>
        </w:rPr>
        <w:t>”</w:t>
      </w:r>
      <w:r>
        <w:rPr>
          <w:rFonts w:hint="eastAsia" w:ascii="宋体" w:hAnsi="宋体" w:eastAsia="宋体" w:cs="宋体"/>
          <w:sz w:val="21"/>
          <w:szCs w:val="21"/>
          <w:highlight w:val="none"/>
        </w:rPr>
        <w:t>开展商用密码应用与安全性评估工作，查找不足以及存在的安全隐患，为我单位重要网络和信息系统的密码安全提供科学评价，逐步规范我单位相关人员密码使用和管理行为。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kern w:val="0"/>
          <w:sz w:val="21"/>
          <w:szCs w:val="21"/>
          <w:shd w:val="clear" w:color="auto" w:fill="FFFFFF"/>
          <w:lang w:bidi="ar"/>
        </w:rPr>
      </w:pPr>
      <w:r>
        <w:rPr>
          <w:rFonts w:hint="eastAsia" w:ascii="宋体" w:hAnsi="宋体" w:eastAsia="宋体" w:cs="宋体"/>
          <w:b/>
          <w:kern w:val="0"/>
          <w:sz w:val="21"/>
          <w:szCs w:val="21"/>
          <w:shd w:val="clear" w:color="auto" w:fill="FFFFFF"/>
          <w:lang w:bidi="ar"/>
        </w:rPr>
        <w:t>（1）商用密码评估内容：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从物理和环境安全、网络和通信安全、设备和计算安全、应用和数据安全等方面对信息系统密码应用进行检测评估，检测评估的内容包含但不限于以下内容：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1）物理和环境测评内容：身份鉴别、电子门禁记录数据的完整性、视频记录数据完整性、密码模块实现。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2）网络和通信测评内容：身份鉴别、内部网络安全接入(第四级信息系统要求)、访问控制信息完整性、通信数据完整性、通信数据</w:t>
      </w:r>
      <w:r>
        <w:rPr>
          <w:rFonts w:hint="eastAsia" w:ascii="宋体" w:hAnsi="宋体" w:eastAsia="宋体" w:cs="宋体"/>
          <w:kern w:val="0"/>
          <w:sz w:val="21"/>
          <w:szCs w:val="21"/>
          <w:shd w:val="clear" w:color="auto" w:fill="FFFFFF"/>
          <w:lang w:eastAsia="zh-CN" w:bidi="ar"/>
        </w:rPr>
        <w:t>机密性</w:t>
      </w:r>
      <w:r>
        <w:rPr>
          <w:rFonts w:hint="eastAsia" w:ascii="宋体" w:hAnsi="宋体" w:eastAsia="宋体" w:cs="宋体"/>
          <w:kern w:val="0"/>
          <w:sz w:val="21"/>
          <w:szCs w:val="21"/>
          <w:shd w:val="clear" w:color="auto" w:fill="FFFFFF"/>
          <w:lang w:bidi="ar"/>
        </w:rPr>
        <w:t>、集中管理通道安全、密码模块实现。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3）设备和计算测评内容：身份鉴别、远程管理鉴别信息</w:t>
      </w:r>
      <w:r>
        <w:rPr>
          <w:rFonts w:hint="eastAsia" w:ascii="宋体" w:hAnsi="宋体" w:eastAsia="宋体" w:cs="宋体"/>
          <w:kern w:val="0"/>
          <w:sz w:val="21"/>
          <w:szCs w:val="21"/>
          <w:shd w:val="clear" w:color="auto" w:fill="FFFFFF"/>
          <w:lang w:eastAsia="zh-CN" w:bidi="ar"/>
        </w:rPr>
        <w:t>机密性</w:t>
      </w:r>
      <w:r>
        <w:rPr>
          <w:rFonts w:hint="eastAsia" w:ascii="宋体" w:hAnsi="宋体" w:eastAsia="宋体" w:cs="宋体"/>
          <w:kern w:val="0"/>
          <w:sz w:val="21"/>
          <w:szCs w:val="21"/>
          <w:shd w:val="clear" w:color="auto" w:fill="FFFFFF"/>
          <w:lang w:bidi="ar"/>
        </w:rPr>
        <w:t>、访问控制信息完整性、敏感标记完整性、重要程序或文件完整性、日志记录完整性、密码模块实现。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4）应用和数据测评内容：身份鉴别、访问控制信息和敏感标记完整性、数据传输</w:t>
      </w:r>
      <w:r>
        <w:rPr>
          <w:rFonts w:hint="eastAsia" w:ascii="宋体" w:hAnsi="宋体" w:eastAsia="宋体" w:cs="宋体"/>
          <w:kern w:val="0"/>
          <w:sz w:val="21"/>
          <w:szCs w:val="21"/>
          <w:shd w:val="clear" w:color="auto" w:fill="FFFFFF"/>
          <w:lang w:eastAsia="zh-CN" w:bidi="ar"/>
        </w:rPr>
        <w:t>机密性</w:t>
      </w:r>
      <w:r>
        <w:rPr>
          <w:rFonts w:hint="eastAsia" w:ascii="宋体" w:hAnsi="宋体" w:eastAsia="宋体" w:cs="宋体"/>
          <w:kern w:val="0"/>
          <w:sz w:val="21"/>
          <w:szCs w:val="21"/>
          <w:shd w:val="clear" w:color="auto" w:fill="FFFFFF"/>
          <w:lang w:bidi="ar"/>
        </w:rPr>
        <w:t>、数据存储</w:t>
      </w:r>
      <w:r>
        <w:rPr>
          <w:rFonts w:hint="eastAsia" w:ascii="宋体" w:hAnsi="宋体" w:eastAsia="宋体" w:cs="宋体"/>
          <w:kern w:val="0"/>
          <w:sz w:val="21"/>
          <w:szCs w:val="21"/>
          <w:shd w:val="clear" w:color="auto" w:fill="FFFFFF"/>
          <w:lang w:eastAsia="zh-CN" w:bidi="ar"/>
        </w:rPr>
        <w:t>机密性</w:t>
      </w:r>
      <w:r>
        <w:rPr>
          <w:rFonts w:hint="eastAsia" w:ascii="宋体" w:hAnsi="宋体" w:eastAsia="宋体" w:cs="宋体"/>
          <w:kern w:val="0"/>
          <w:sz w:val="21"/>
          <w:szCs w:val="21"/>
          <w:shd w:val="clear" w:color="auto" w:fill="FFFFFF"/>
          <w:lang w:bidi="ar"/>
        </w:rPr>
        <w:t>、数据传输完整性、数据存储完整性、日志记录完整性、重要应用程序的加载和卸载、抗抵赖。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5）密钥管理测评内容：理清密钥流转的关系，对信息系统内的密钥(尤其是进出密码产品和密码模块的密钥)进行全生命周期的安全检查，包括密钥的生成、存储、分发、导入与导出、使用、备份与恢复、归档、销毁，确认所有密钥管理操作都是由符合GM/T0005《随机性检测规范》和GM/T0028《密码模块安全技术要求》规定的密码产品或密码模块实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6）安全管理测评内容：包括制度管理测评、人员管理测评、建设运行测评、应急处置测评。</w:t>
      </w:r>
    </w:p>
    <w:p>
      <w:pPr>
        <w:pageBreakBefore w:val="0"/>
        <w:widowControl/>
        <w:wordWrap/>
        <w:overflowPunct/>
        <w:topLinePunct w:val="0"/>
        <w:bidi w:val="0"/>
        <w:spacing w:after="157" w:afterLines="50" w:line="240" w:lineRule="auto"/>
        <w:jc w:val="left"/>
        <w:rPr>
          <w:rFonts w:hint="eastAsia" w:ascii="宋体" w:hAnsi="宋体" w:eastAsia="宋体" w:cs="宋体"/>
          <w:b/>
          <w:color w:val="000000" w:themeColor="text1"/>
          <w:kern w:val="0"/>
          <w:sz w:val="21"/>
          <w:szCs w:val="21"/>
          <w:shd w:val="clear" w:color="auto" w:fill="FFFFFF"/>
          <w:lang w:bidi="ar"/>
          <w14:textFill>
            <w14:solidFill>
              <w14:schemeClr w14:val="tx1"/>
            </w14:solidFill>
          </w14:textFill>
        </w:rPr>
      </w:pPr>
      <w:r>
        <w:rPr>
          <w:rFonts w:hint="eastAsia" w:ascii="宋体" w:hAnsi="宋体" w:eastAsia="宋体" w:cs="宋体"/>
          <w:b/>
          <w:kern w:val="0"/>
          <w:sz w:val="21"/>
          <w:szCs w:val="21"/>
          <w:shd w:val="clear" w:color="auto" w:fill="FFFFFF"/>
          <w:lang w:bidi="ar"/>
        </w:rPr>
        <w:t>（2）服务交付物</w:t>
      </w:r>
    </w:p>
    <w:p>
      <w:pPr>
        <w:pageBreakBefore w:val="0"/>
        <w:wordWrap/>
        <w:overflowPunct/>
        <w:topLinePunct w:val="0"/>
        <w:bidi w:val="0"/>
        <w:spacing w:after="157" w:after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系统评估，及时发现系统脆弱性，识别变化的风险，了解系统安全状况。根据被评估对象的实际情况、所属行业及系统使用的密码产品情况，选择并确定测评依据。在系统真实环境下进行测评，以评估密码保障是否安全有效，密码使用是否合规、正确、有效。并通过测评发现系统存在的安全隐患和风险，提出可行性完善建议，编制《商用密码应用与安全性评估整改建议书》、《商用密码应用与安全性评估报告》。</w:t>
      </w:r>
    </w:p>
    <w:p>
      <w:pPr>
        <w:pageBreakBefore w:val="0"/>
        <w:widowControl/>
        <w:shd w:val="clear" w:color="auto" w:fill="FFFFFF"/>
        <w:wordWrap/>
        <w:overflowPunct/>
        <w:topLinePunct w:val="0"/>
        <w:bidi w:val="0"/>
        <w:spacing w:after="157" w:afterLines="50" w:line="240" w:lineRule="auto"/>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w:t>
      </w:r>
      <w:r>
        <w:rPr>
          <w:rFonts w:hint="eastAsia" w:ascii="宋体" w:hAnsi="宋体" w:eastAsia="宋体" w:cs="宋体"/>
          <w:b/>
          <w:bCs/>
          <w:color w:val="000000" w:themeColor="text1"/>
          <w:sz w:val="21"/>
          <w:szCs w:val="21"/>
          <w:lang w:val="en-US" w:eastAsia="zh-CN"/>
          <w14:textFill>
            <w14:solidFill>
              <w14:schemeClr w14:val="tx1"/>
            </w14:solidFill>
          </w14:textFill>
        </w:rPr>
        <w:t>资质要求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right="0" w:rightChars="0"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1、供应商必须在国家密码管理局公告（第42号）的商用密码应用安全性评估试点机构目录中或提供国家密码管理局《国密局字[2021]183号通知》中审批通过的“可在本地区、本行业（领域）开展密码应用安全性评估业资质的密评机构名单”的相关证明材料。提供证书或证明复印件并加盖公章；</w:t>
      </w:r>
    </w:p>
    <w:p>
      <w:pPr>
        <w:pageBreakBefore w:val="0"/>
        <w:widowControl/>
        <w:shd w:val="clear" w:color="auto" w:fill="FFFFFF"/>
        <w:wordWrap/>
        <w:overflowPunct/>
        <w:topLinePunct w:val="0"/>
        <w:bidi w:val="0"/>
        <w:spacing w:after="157" w:afterLines="50" w:line="240" w:lineRule="auto"/>
        <w:ind w:firstLine="420" w:firstLineChars="200"/>
        <w:jc w:val="left"/>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2、供应商投入本项目的评估人员必须具有合格的商用密码应用安全性评估人员测评能力考核证书。</w:t>
      </w:r>
    </w:p>
    <w:p>
      <w:pPr>
        <w:pageBreakBefore w:val="0"/>
        <w:widowControl/>
        <w:shd w:val="clear" w:color="auto" w:fill="FFFFFF"/>
        <w:wordWrap/>
        <w:overflowPunct/>
        <w:topLinePunct w:val="0"/>
        <w:bidi w:val="0"/>
        <w:spacing w:after="157" w:afterLines="50" w:line="240" w:lineRule="auto"/>
        <w:jc w:val="left"/>
        <w:rPr>
          <w:rFonts w:hint="eastAsia" w:ascii="宋体" w:hAnsi="宋体" w:eastAsia="宋体" w:cs="宋体"/>
          <w:color w:val="000000" w:themeColor="text1"/>
          <w:kern w:val="0"/>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w:t>
      </w:r>
      <w:r>
        <w:rPr>
          <w:rFonts w:hint="eastAsia" w:ascii="宋体" w:hAnsi="宋体" w:eastAsia="宋体" w:cs="宋体"/>
          <w:b/>
          <w:bCs/>
          <w:color w:val="000000" w:themeColor="text1"/>
          <w:sz w:val="21"/>
          <w:szCs w:val="21"/>
          <w14:textFill>
            <w14:solidFill>
              <w14:schemeClr w14:val="tx1"/>
            </w14:solidFill>
          </w14:textFill>
        </w:rPr>
        <w:t>．人员配置</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kern w:val="0"/>
          <w:sz w:val="21"/>
          <w:szCs w:val="21"/>
          <w:shd w:val="clear" w:color="auto" w:fill="FFFFFF"/>
          <w:lang w:bidi="ar"/>
        </w:rPr>
      </w:pPr>
      <w:r>
        <w:rPr>
          <w:rFonts w:hint="eastAsia" w:ascii="宋体" w:hAnsi="宋体" w:eastAsia="宋体" w:cs="宋体"/>
          <w:color w:val="000000" w:themeColor="text1"/>
          <w:kern w:val="0"/>
          <w:sz w:val="21"/>
          <w:szCs w:val="21"/>
          <w:shd w:val="clear" w:color="auto" w:fill="FFFFFF"/>
          <w:lang w:bidi="ar"/>
          <w14:textFill>
            <w14:solidFill>
              <w14:schemeClr w14:val="tx1"/>
            </w14:solidFill>
          </w14:textFill>
        </w:rPr>
        <w:t>投标人提供不少于</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5</w:t>
      </w:r>
      <w:r>
        <w:rPr>
          <w:rFonts w:hint="eastAsia" w:ascii="宋体" w:hAnsi="宋体" w:eastAsia="宋体" w:cs="宋体"/>
          <w:color w:val="000000" w:themeColor="text1"/>
          <w:kern w:val="0"/>
          <w:sz w:val="21"/>
          <w:szCs w:val="21"/>
          <w:shd w:val="clear" w:color="auto" w:fill="FFFFFF"/>
          <w:lang w:bidi="ar"/>
          <w14:textFill>
            <w14:solidFill>
              <w14:schemeClr w14:val="tx1"/>
            </w14:solidFill>
          </w14:textFill>
        </w:rPr>
        <w:t>名具有商用密码应用安全性评估人员专业技术人员要求设项目经理</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kern w:val="0"/>
          <w:sz w:val="21"/>
          <w:szCs w:val="21"/>
          <w:shd w:val="clear" w:color="auto" w:fill="FFFFFF"/>
          <w:lang w:bidi="ar"/>
          <w14:textFill>
            <w14:solidFill>
              <w14:schemeClr w14:val="tx1"/>
            </w14:solidFill>
          </w14:textFill>
        </w:rPr>
        <w:t>名、质量经理</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kern w:val="0"/>
          <w:sz w:val="21"/>
          <w:szCs w:val="21"/>
          <w:shd w:val="clear" w:color="auto" w:fill="FFFFFF"/>
          <w:lang w:bidi="ar"/>
          <w14:textFill>
            <w14:solidFill>
              <w14:schemeClr w14:val="tx1"/>
            </w14:solidFill>
          </w14:textFill>
        </w:rPr>
        <w:t>名，</w:t>
      </w:r>
      <w:r>
        <w:rPr>
          <w:rFonts w:hint="eastAsia" w:ascii="宋体" w:hAnsi="宋体" w:eastAsia="宋体" w:cs="宋体"/>
          <w:color w:val="000000"/>
          <w:kern w:val="0"/>
          <w:sz w:val="21"/>
          <w:szCs w:val="21"/>
          <w:shd w:val="clear" w:color="auto" w:fill="FFFFFF"/>
          <w:lang w:bidi="ar"/>
        </w:rPr>
        <w:t>在本项目进行期间，未经采购人同意，测评过程中不得离场，且中途不得更换人员，也不得将检测任务分包或转包。</w:t>
      </w:r>
    </w:p>
    <w:p>
      <w:pPr>
        <w:pageBreakBefore w:val="0"/>
        <w:wordWrap/>
        <w:overflowPunct/>
        <w:topLinePunct w:val="0"/>
        <w:bidi w:val="0"/>
        <w:adjustRightInd w:val="0"/>
        <w:snapToGrid w:val="0"/>
        <w:spacing w:after="157" w:afterLines="50"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．项目实施要求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（1）客观性和公正性要求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在最小主观判断情形下，按照评估双方相互认可的测评方案,基于明确定义的测评方式和解释，实施测评活动。</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（2）保密要求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在测评过程中，需严格遵循保密原则,对服务过程中涉及到的任何用户信息未经允许不向其他任何第三方泄漏，以及不得利用这些信息损害采购人利益。</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（3）最小影响要求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测评工作应该尽可能小地影响系统和网络的正常运行，不能对业务的正常运行产生明显的影响(包括系统性能明显下降、网络阻塞、服务中断等)，如无法避免,则应预先做出说明并经采购人同意后实施。</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（4）规范性要求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测评服务的实施必须由专业的测评服务人员依照规范的操作流程进行,对操作过程和结果要有相应的记录,并提供完整的服务报告。</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（5）质量保障要求</w:t>
      </w:r>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在整个测评过程中,须特别重视项目质量管理。项目的实施将严格按照项目实施方案和流程进行,并由项目协调小组从中监督,控制项目的进度和质量。</w:t>
      </w:r>
      <w:bookmarkStart w:id="3" w:name="_Toc1479958"/>
      <w:bookmarkStart w:id="4" w:name="_Toc1479821"/>
    </w:p>
    <w:p>
      <w:pPr>
        <w:pageBreakBefore w:val="0"/>
        <w:wordWrap/>
        <w:overflowPunct/>
        <w:topLinePunct w:val="0"/>
        <w:bidi w:val="0"/>
        <w:spacing w:after="157" w:afterLines="50" w:line="240" w:lineRule="auto"/>
        <w:ind w:firstLine="420" w:firstLineChars="200"/>
        <w:rPr>
          <w:rFonts w:hint="eastAsia" w:ascii="宋体" w:hAnsi="宋体" w:eastAsia="宋体" w:cs="宋体"/>
          <w:color w:val="000000"/>
          <w:sz w:val="21"/>
          <w:szCs w:val="21"/>
        </w:rPr>
      </w:pPr>
    </w:p>
    <w:bookmarkEnd w:id="3"/>
    <w:bookmarkEnd w:id="4"/>
    <w:p>
      <w:pPr>
        <w:pageBreakBefore w:val="0"/>
        <w:wordWrap/>
        <w:overflowPunct/>
        <w:topLinePunct w:val="0"/>
        <w:bidi w:val="0"/>
        <w:spacing w:after="157" w:afterLines="50" w:line="240" w:lineRule="auto"/>
        <w:rPr>
          <w:rFonts w:hint="eastAsia" w:ascii="宋体" w:hAnsi="宋体" w:eastAsia="宋体" w:cs="宋体"/>
          <w:sz w:val="21"/>
          <w:szCs w:val="21"/>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MzdiYjYyYzhhOTIzMDA0NDUyMWY0OGM5YTkzYjMifQ=="/>
  </w:docVars>
  <w:rsids>
    <w:rsidRoot w:val="00456941"/>
    <w:rsid w:val="00011235"/>
    <w:rsid w:val="001361C1"/>
    <w:rsid w:val="001D6022"/>
    <w:rsid w:val="001E79B0"/>
    <w:rsid w:val="002317A5"/>
    <w:rsid w:val="002C4DCD"/>
    <w:rsid w:val="003358AC"/>
    <w:rsid w:val="003D649C"/>
    <w:rsid w:val="004275F2"/>
    <w:rsid w:val="00456941"/>
    <w:rsid w:val="00513EC6"/>
    <w:rsid w:val="00556841"/>
    <w:rsid w:val="005669FE"/>
    <w:rsid w:val="005D1858"/>
    <w:rsid w:val="005F5A6A"/>
    <w:rsid w:val="00654997"/>
    <w:rsid w:val="006A1E6A"/>
    <w:rsid w:val="00826E5E"/>
    <w:rsid w:val="008C5A95"/>
    <w:rsid w:val="00901F5E"/>
    <w:rsid w:val="00984246"/>
    <w:rsid w:val="009C7500"/>
    <w:rsid w:val="009F3951"/>
    <w:rsid w:val="00AF234E"/>
    <w:rsid w:val="00BA3F65"/>
    <w:rsid w:val="00C00BD4"/>
    <w:rsid w:val="00C706F2"/>
    <w:rsid w:val="00F153A9"/>
    <w:rsid w:val="00F20C98"/>
    <w:rsid w:val="00F35A51"/>
    <w:rsid w:val="00F43867"/>
    <w:rsid w:val="00FD2F91"/>
    <w:rsid w:val="050553B0"/>
    <w:rsid w:val="055C30DB"/>
    <w:rsid w:val="093666B6"/>
    <w:rsid w:val="0E721BC1"/>
    <w:rsid w:val="0FA236D3"/>
    <w:rsid w:val="2022760F"/>
    <w:rsid w:val="251F1761"/>
    <w:rsid w:val="29540A2F"/>
    <w:rsid w:val="2C2F288D"/>
    <w:rsid w:val="35572DDB"/>
    <w:rsid w:val="45EB68DE"/>
    <w:rsid w:val="46980B5E"/>
    <w:rsid w:val="46FE0CE7"/>
    <w:rsid w:val="5649120A"/>
    <w:rsid w:val="59B638C2"/>
    <w:rsid w:val="666D1B77"/>
    <w:rsid w:val="6BF72741"/>
    <w:rsid w:val="700575EA"/>
    <w:rsid w:val="7609308A"/>
    <w:rsid w:val="7B0C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sz w:val="22"/>
    </w:rPr>
  </w:style>
  <w:style w:type="paragraph" w:styleId="4">
    <w:name w:val="Plain Text"/>
    <w:basedOn w:val="1"/>
    <w:autoRedefine/>
    <w:qFormat/>
    <w:uiPriority w:val="0"/>
    <w:rPr>
      <w:rFonts w:ascii="宋体" w:hAnsi="Courier New"/>
      <w:szCs w:val="20"/>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character" w:customStyle="1" w:styleId="10">
    <w:name w:val="标题 2 字符"/>
    <w:basedOn w:val="9"/>
    <w:autoRedefine/>
    <w:semiHidden/>
    <w:qFormat/>
    <w:uiPriority w:val="9"/>
    <w:rPr>
      <w:rFonts w:asciiTheme="majorHAnsi" w:hAnsiTheme="majorHAnsi" w:eastAsiaTheme="majorEastAsia" w:cstheme="majorBidi"/>
      <w:b/>
      <w:bCs/>
      <w:sz w:val="32"/>
      <w:szCs w:val="32"/>
    </w:rPr>
  </w:style>
  <w:style w:type="character" w:customStyle="1" w:styleId="11">
    <w:name w:val="标题 2 Char"/>
    <w:link w:val="2"/>
    <w:autoRedefine/>
    <w:qFormat/>
    <w:uiPriority w:val="0"/>
    <w:rPr>
      <w:rFonts w:ascii="Arial" w:hAnsi="Arial" w:eastAsia="黑体" w:cs="Times New Roman"/>
      <w:b/>
      <w:bCs/>
      <w:sz w:val="32"/>
      <w:szCs w:val="32"/>
    </w:rPr>
  </w:style>
  <w:style w:type="character" w:customStyle="1" w:styleId="12">
    <w:name w:val="页眉 Char"/>
    <w:basedOn w:val="9"/>
    <w:link w:val="6"/>
    <w:autoRedefine/>
    <w:qFormat/>
    <w:uiPriority w:val="99"/>
    <w:rPr>
      <w:rFonts w:ascii="Times New Roman" w:hAnsi="Times New Roman" w:eastAsia="宋体" w:cs="Times New Roman"/>
      <w:sz w:val="18"/>
      <w:szCs w:val="18"/>
    </w:rPr>
  </w:style>
  <w:style w:type="character" w:customStyle="1" w:styleId="13">
    <w:name w:val="页脚 Char"/>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6887</Words>
  <Characters>7137</Characters>
  <Lines>56</Lines>
  <Paragraphs>16</Paragraphs>
  <TotalTime>0</TotalTime>
  <ScaleCrop>false</ScaleCrop>
  <LinksUpToDate>false</LinksUpToDate>
  <CharactersWithSpaces>7137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2023-01-19T13:35:00Z</dcterms:created>
  <dc:creator>USTC</dc:creator>
  <cp:lastModifiedBy>五月雪</cp:lastModifiedBy>
  <dcterms:modified xsi:type="dcterms:W3CDTF">2024-05-21T00:43:48Z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86BDDD4AF40F4D65BE6BC31B30EEA9F5_13</vt:lpwstr>
  </property>
</Properties>
</file>