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</w:p>
    <w:p>
      <w:pPr>
        <w:spacing w:line="360" w:lineRule="auto"/>
        <w:jc w:val="center"/>
        <w:outlineLvl w:val="0"/>
        <w:rPr>
          <w:rFonts w:hint="eastAsia"/>
          <w:b/>
          <w:sz w:val="28"/>
          <w:szCs w:val="20"/>
          <w:lang w:val="ru-RU" w:eastAsia="zh-CN"/>
        </w:rPr>
      </w:pPr>
      <w:r>
        <w:rPr>
          <w:rFonts w:hint="eastAsia"/>
          <w:b/>
          <w:sz w:val="28"/>
          <w:szCs w:val="20"/>
          <w:lang w:val="en-US" w:eastAsia="zh-CN"/>
        </w:rPr>
        <w:t xml:space="preserve">附件一: </w:t>
      </w:r>
      <w:r>
        <w:rPr>
          <w:rFonts w:hint="eastAsia"/>
          <w:b/>
          <w:sz w:val="28"/>
          <w:szCs w:val="20"/>
        </w:rPr>
        <w:t>伦理审查</w:t>
      </w:r>
      <w:r>
        <w:rPr>
          <w:rFonts w:hint="eastAsia"/>
          <w:b/>
          <w:sz w:val="28"/>
          <w:szCs w:val="20"/>
          <w:lang w:val="en-US" w:eastAsia="zh-CN"/>
        </w:rPr>
        <w:t>云平台</w:t>
      </w:r>
      <w:r>
        <w:rPr>
          <w:rFonts w:hint="eastAsia"/>
          <w:b/>
          <w:sz w:val="28"/>
          <w:szCs w:val="20"/>
        </w:rPr>
        <w:t>功能模块及技术参数</w:t>
      </w:r>
      <w:r>
        <w:rPr>
          <w:rFonts w:hint="eastAsia"/>
          <w:b/>
          <w:sz w:val="28"/>
          <w:szCs w:val="20"/>
          <w:lang w:eastAsia="zh-CN"/>
        </w:rPr>
        <w:t>（</w:t>
      </w:r>
      <w:r>
        <w:rPr>
          <w:rFonts w:hint="eastAsia"/>
          <w:b/>
          <w:sz w:val="28"/>
          <w:szCs w:val="20"/>
          <w:lang w:val="en-US" w:eastAsia="zh-CN"/>
        </w:rPr>
        <w:t>2.0</w:t>
      </w:r>
      <w:r>
        <w:rPr>
          <w:rFonts w:hint="eastAsia"/>
          <w:b/>
          <w:sz w:val="28"/>
          <w:szCs w:val="20"/>
          <w:lang w:eastAsia="zh-CN"/>
        </w:rPr>
        <w:t>）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8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6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功能名称</w:t>
            </w:r>
          </w:p>
        </w:tc>
        <w:tc>
          <w:tcPr>
            <w:tcW w:w="855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82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功能要求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564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ru-RU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系统管理</w:t>
            </w:r>
          </w:p>
        </w:tc>
        <w:tc>
          <w:tcPr>
            <w:tcW w:w="855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ru-RU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fill="FFFFFF" w:themeFill="background1"/>
                <w:lang w:val="en-US" w:eastAsia="zh-CN" w:bidi="ar"/>
              </w:rPr>
              <w:t>统内可以给每个人员分配不同角色，不同的角色可拥有不同的权限，如管理员、委员、伦理秘书、办公室主任、研究者、独立顾问等。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564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  <w:lang w:val="ru-RU" w:eastAsia="ru-RU"/>
              </w:rPr>
            </w:pPr>
          </w:p>
        </w:tc>
        <w:tc>
          <w:tcPr>
            <w:tcW w:w="855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系统能够支持伦理委员会在线管理账号，如新增、修改、启用、停用等操作。委员既可以自行创建账号，也可以由伦理秘书协助创建。系统能够自动生成唯一的用户账号，以自己的账号登录工作，分工明确，相互协作，各尽其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564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项目的展示要满足数据独立、相互隔离的要求，申请人登录仅可查看该账号下所提交的项目信息。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4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在线管理伦理委员会的基本信息，委员会信息要能在生成批件时自动填充。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564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需可以设置文档个人姓名水印、文本水印及图片水印，并在预览文件、下载文件时携带已设置的水印，使文件受控。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564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系统需支持在秘书受理后可指定“主任委员/副主任委员/办公室主任”任意一种角色进行受理后的审核，并可指定相应角色下具体人员。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564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★组织管理</w:t>
            </w:r>
          </w:p>
        </w:tc>
        <w:tc>
          <w:tcPr>
            <w:tcW w:w="855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支持伦理委员会在线填写组织信息，并提交伦理委员会管理机构进行认证审核。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64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  <w:lang w:val="ru-RU" w:eastAsia="ru-RU"/>
              </w:rPr>
            </w:pPr>
          </w:p>
        </w:tc>
        <w:tc>
          <w:tcPr>
            <w:tcW w:w="855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要支持本单位多级监督管理需求，可进行本单位下多个伦理委员会的管理模式，并能实现按层级进行组织信息、项目信息的监督。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564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855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支持上级委员会下多个分委会的管理模式，如审核分委会组织注册信息、组织变更信息等。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564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ru-RU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用户管理</w:t>
            </w:r>
          </w:p>
        </w:tc>
        <w:tc>
          <w:tcPr>
            <w:tcW w:w="855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可管理用户的个人信息，包括基本信息、教育经历、培训记录等，委员发生变更时可进行委员的更换。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564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  <w:lang w:val="ru-RU" w:eastAsia="ru-RU"/>
              </w:rPr>
            </w:pPr>
          </w:p>
        </w:tc>
        <w:tc>
          <w:tcPr>
            <w:tcW w:w="855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系统支持将委员、顾问、普通用户分开独立管理，形成委员专家库、顾问专家库，并支持委员的禁用、解聘操作。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4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★系统需支持设置委员会届次信息，如设置当届届次信息，支持对委员进行换届、续聘操作，并可对本届委员、历届委员信息进行管理。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6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角色管理</w:t>
            </w:r>
          </w:p>
        </w:tc>
        <w:tc>
          <w:tcPr>
            <w:tcW w:w="855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支持管理员设置不同岗位，允许针对不同岗位分配详细的功能、按钮权限。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564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ru-RU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文件管理</w:t>
            </w:r>
          </w:p>
        </w:tc>
        <w:tc>
          <w:tcPr>
            <w:tcW w:w="855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可以在线管理伦理委员会的组织文件，如体系文件、指南、委员聘书等；能自由选择审阅人员，并可及时查看各委员反馈的修订意见，设定文件生效状态。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564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ru-RU"/>
              </w:rPr>
            </w:pPr>
          </w:p>
        </w:tc>
        <w:tc>
          <w:tcPr>
            <w:tcW w:w="855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提供单独发起文件签署的流程，如利益冲突、用章申请、保密协议等，可以在线发起给相关人员在线签署，并能实时跟进签署进度。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64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ru-RU"/>
              </w:rPr>
            </w:pPr>
          </w:p>
        </w:tc>
        <w:tc>
          <w:tcPr>
            <w:tcW w:w="855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★需支持审查结束后相关文件自动归档，归档后的文件如需查看或下载，需发起借阅申请。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64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ru-RU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★门户管理</w:t>
            </w:r>
          </w:p>
        </w:tc>
        <w:tc>
          <w:tcPr>
            <w:tcW w:w="855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可以在线设置伦理委员会对外展示的门户，可发布图文、图片、视频、音频等信息，并按照制定的模板效果、顺序进行展示。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564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  <w:lang w:val="ru-RU" w:eastAsia="ru-RU"/>
              </w:rPr>
            </w:pPr>
          </w:p>
        </w:tc>
        <w:tc>
          <w:tcPr>
            <w:tcW w:w="855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支持对门户网站的展示栏目与信息进行自定义配置，如设定：制度法规在线阅览、伦理委员会办事指南、通知公告以及表单、模板下载中心等。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4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人可以通过该门户去了解伦理委员会的基本情况，查阅和下载伦理申请所需的相关文件，熟悉伦理委员会的审查流程，能够直接通过网站递交项目资料，查阅项目受理信息与查看进展、获取批件，减少沟通成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5" w:hRule="atLeast"/>
        </w:trPr>
        <w:tc>
          <w:tcPr>
            <w:tcW w:w="156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ru-RU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★模板配置</w:t>
            </w:r>
          </w:p>
        </w:tc>
        <w:tc>
          <w:tcPr>
            <w:tcW w:w="855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提供配置化功能，以便系统能够根据伦理委员会的SOP在系统中灵活嵌入，并支持伦理委员会SOP更新升级后，也能在系统中快速调整，包括：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（1）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送审文件清单管理：可根据各种项目类型、审查类型、审查方式，分别设置不同的送审文件清单要求，包括文件目录、数量、格式、日期及版本信息。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（2）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审查批件及意见函等文档模板管理：管理伦理委员会各种审查结果文档，如：批件、审查意见表、投票单等，系统支持识别文档模板自动生成相应文件；                                               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 w:rightChars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（3）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审查标准管理：支持设置伦理委员审查事项与独立顾问的咨询事项，并支持不同人员的专业分配不同的审查事项与咨询事项。                                                                                   （4）其他：系统要支持合规性参数设置，如设置会审、快审法定人数要求、表决一致人数要求、会议提醒时间要求、人员请假要求、批件整理周期要求等伦理委员会日常运行的SOP规定。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9" w:hRule="atLeast"/>
        </w:trPr>
        <w:tc>
          <w:tcPr>
            <w:tcW w:w="156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ru-RU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在线审查</w:t>
            </w:r>
          </w:p>
        </w:tc>
        <w:tc>
          <w:tcPr>
            <w:tcW w:w="855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★实现申请、受理、审查、传达决定、文件存档的全流程在线审查管理：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（1）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项目类型：支持根据委员会需求进行配置，如药物、器械、体外诊断试剂、医疗新技术、科研项目、实验动物、人工智能等多种项目类型，并且可以根据需求配置申请人填写的项目申请表单。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ru-RU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ru-RU" w:eastAsia="ru-RU" w:bidi="ar-SA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ru-RU" w:eastAsia="ru-RU" w:bidi="ar-SA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审查类型：支持申报前审查、初始审查、修正案审查、年度/定期跟踪审查、严重不良事件审查、SUSAR审查、违背方案审查、暂停/终止研究审查、暂停试验再启动审查、复审、备案、免除审查等各种审查类型。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ru-RU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ru-RU" w:eastAsia="ru-RU" w:bidi="ar-SA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ru-RU" w:eastAsia="ru-RU" w:bidi="ar-SA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审查方式：支持简易审查、会议审查、紧急会议审查多种审查方式。                           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（4）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投票表决项：支持根据委员会需求配置项目投票表决选项及表决项名称。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（5）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送审文件：支持基于不同审查目的的审查文件类型配置，在伦理申请时可自动加载并向申请人提供向导提示，可精细控制文件的格式、数量、是否必传、版本日期是否必填，帮助申请人快速正确提交文件。                                        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（6）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审查受理与处理：支持伦理秘书对各类审查申请在线形式审查、受理，可初步指定审查方式并通过审批得到主委的确定，可分配主审委员、独立顾问咨询的发起等伦理审查受理与处理业务。有常见问题回复选项，可设置常见回复用语并自动生成受理回执函。申请人进行送审文件的修改系统自动记录修改内容。受理成功后，所有资料支持添加水印，项目可自动生成受理号或备案号，支持秘书受理时可选择“备案”发起批件签署流程 。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（7）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指派主审：支持在伦理秘书受理时、主任委员等角色处理审查时，可指定具体主审委员。并且在安排会议前支持主任委员等角色更换主审委员，在安排会议时秘书可根据要求调整主审委员。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（8）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委员预审：针对会议审查项目，在预审窗口期内为上会委员提供审查项目送审材料的在线审阅。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（9）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主审审查：支持伦理审查的主审审查并实现审查文件的在线审阅，审查要素工作表的在线填报、在线签名。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（10）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独立顾问咨询表：根据伦理审查的需要，支持添加独立顾问咨询表的咨询事项配置并实现在线咨询填报。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（11）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会议安排：支持伦理秘书可以随时创建会议，设定参会时间和地点，添加参会委员、顾问、会议中需要签署的文档、拟上会的项目、本次会议通报项目及结果、通报文件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等内容，并支持向参会委员及顾问自动发送会议通知的功能。 当会议的时间和地点发生变更时，系统能自动重新发送消息提醒参会人员。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（12）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支持伦理会议所需的委员签到表、审查投票表等文件的自动生成与输出，支持会议议程、会议记录的上传以及在线生成会议纪要并允许修改内容、下载、在线签字。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（13）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投票过程中，支持通过手机、平板、电脑三种方式进行在线投票。委员投票信息需自动关联到每个项目的会议审查决议表中，同时支持会中投票结果的统计汇总。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（14）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系统要支持语音转文字功能。会议使用录音笔录音后，音频要能支持导入系统中转文字，对于转出的文字有问题可在线修订。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（15）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支持秘书可撤回已发放的批件，且支持补发批件。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（16）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系统能自动识别汇总快到年审期限的项目发送通知，同时允许手动发送催办消息，提醒申请人。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156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在线批注</w:t>
            </w:r>
          </w:p>
        </w:tc>
        <w:tc>
          <w:tcPr>
            <w:tcW w:w="855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提供针对PDF文件的在线批注功能：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/>
              <w:autoSpaceDN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（1）支持对PDF文件中选定区域多次发表意见，对于同个问题可发表多条意见。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/>
              <w:autoSpaceDN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（2）支持已发表的意见可见文件页码信息，选中该意见可快速精准定位至具体区域。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（3）支持已发表的意见能实时同步至审核、受理、处理、预审、投票环节，便于各角色开展工作时使用。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156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ru-RU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项目交接</w:t>
            </w:r>
          </w:p>
        </w:tc>
        <w:tc>
          <w:tcPr>
            <w:tcW w:w="855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ru-RU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★允许申请人在线进行项目交接流程，在审核确认后完成交接操作，交接成功后的项目由新的申请人继续负责后续工作，原来的申请人无法查看该项目。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564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ru-RU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★远程视频会议</w:t>
            </w:r>
          </w:p>
        </w:tc>
        <w:tc>
          <w:tcPr>
            <w:tcW w:w="855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ru-RU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提供远程视频会议功能，支持以电脑的方式参与远程视频会议，视频会议中支持远程PPT及文档演示。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4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ru-RU"/>
              </w:rPr>
            </w:pPr>
          </w:p>
        </w:tc>
        <w:tc>
          <w:tcPr>
            <w:tcW w:w="855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ru-RU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远程视频会议支持全程录制，并可进行视频回放，以备核查。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564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ru-RU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文档集中管理</w:t>
            </w:r>
          </w:p>
        </w:tc>
        <w:tc>
          <w:tcPr>
            <w:tcW w:w="855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ru-RU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自动归档审查过程中产生的审查文档，集中管理每个项目历次审查生成的资料，所有文档访问实施安全有效的权限控制。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64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ru-RU"/>
              </w:rPr>
            </w:pPr>
          </w:p>
        </w:tc>
        <w:tc>
          <w:tcPr>
            <w:tcW w:w="855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ru-RU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满足伦理审查各流程节点的申请表、审查工作表、审查批件等各类文件的生成与打印。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64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ru-RU"/>
              </w:rPr>
            </w:pPr>
          </w:p>
        </w:tc>
        <w:tc>
          <w:tcPr>
            <w:tcW w:w="855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ru-RU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批件签名盖章后，可选择反馈给申请人，可以设置有效期和权限，并且有短信通知。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56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ru-RU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★电子签名签章</w:t>
            </w:r>
          </w:p>
        </w:tc>
        <w:tc>
          <w:tcPr>
            <w:tcW w:w="855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ru-RU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符合《中华人民共和国电子签名法》的要求，对接国家级CA数字中心、互联网存证机构，保存电子签名全证据链，在保证安全、法律效力的前提下，提高签名、签章工作的效率与便捷性，需要同时支持在电脑、平板、手机端进行电子签名与签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64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ru-RU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培训考试</w:t>
            </w:r>
          </w:p>
        </w:tc>
        <w:tc>
          <w:tcPr>
            <w:tcW w:w="855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ru-RU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支持在线培训功能，设置的课件支持Word、Excel、PPT、PDF、音频、视频形式，可控制参与课程的人员与培训时间，控制学习的时长。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564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ru-RU"/>
              </w:rPr>
            </w:pPr>
          </w:p>
        </w:tc>
        <w:tc>
          <w:tcPr>
            <w:tcW w:w="855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ru-RU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考试管理提供单选、多选、判断题多种类型，支持设定选择的数量与顺序，支持从试题库中随机组卷、自动生成试卷，支持自动判卷并生成成绩单。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64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ru-RU"/>
              </w:rPr>
            </w:pPr>
          </w:p>
        </w:tc>
        <w:tc>
          <w:tcPr>
            <w:tcW w:w="855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★支持通过基础题自动生成衍生题；支持设置试题考点、细分领域；可设置每份试卷允许出现几份相同考点的试题。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64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ru-RU"/>
              </w:rPr>
            </w:pPr>
          </w:p>
        </w:tc>
        <w:tc>
          <w:tcPr>
            <w:tcW w:w="855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ru-RU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★支持在完成课程培训后自动生成系统培训记录，支持新增及批量导入线下培训记录，并可同步至个人简历培训信息。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56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★风险预警</w:t>
            </w:r>
          </w:p>
        </w:tc>
        <w:tc>
          <w:tcPr>
            <w:tcW w:w="855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支持构建风险指标库，按照预警规则在出现风险项目时自动触发预警，并通知相关人员。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564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ru-RU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★经费管理</w:t>
            </w:r>
          </w:p>
        </w:tc>
        <w:tc>
          <w:tcPr>
            <w:tcW w:w="855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支持按照伦理委员会的规则配置伦理审查收入规则、支出规则，并可以在确认收入、新增支出时自动计算金额，如金额存在差异时能够自动提醒。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64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  <w:lang w:val="ru-RU" w:eastAsia="ru-RU"/>
              </w:rPr>
            </w:pPr>
          </w:p>
        </w:tc>
        <w:tc>
          <w:tcPr>
            <w:tcW w:w="855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支持由申请人填写项目支出金额，秘书审批通过后自动转为伦理委员会收入，可以自动生成每个项目的收入和支出清单。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6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ru-RU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智慧消息</w:t>
            </w:r>
          </w:p>
        </w:tc>
        <w:tc>
          <w:tcPr>
            <w:tcW w:w="855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ru-RU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平台主动推送待办工作，各类消息及时自动提醒，在业务的各个关键节点以短信消息方式通知到责任人，减轻伦理委员会日常工作负荷。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atLeast"/>
        </w:trPr>
        <w:tc>
          <w:tcPr>
            <w:tcW w:w="156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ru-RU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★统计分析</w:t>
            </w:r>
          </w:p>
        </w:tc>
        <w:tc>
          <w:tcPr>
            <w:tcW w:w="855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提供多角度、多维度统计分析功能：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（1）为伦理秘书、委员、独立顾问多个角度提供统计功能。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（2）从项目、审查、会议/快审、委员出勤情况多维度进行统计，能自动计算与上年度的同比增长率。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（3）支持自定义统计条件，实现表格、饼图、柱图、折线图丰富的统计结果展现形式。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支出按年自动生成年度工作报告。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支出导出各类统计报表。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6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监管大屏</w:t>
            </w:r>
          </w:p>
        </w:tc>
        <w:tc>
          <w:tcPr>
            <w:tcW w:w="855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提供在线的、实时的、全方位的监管大屏，监管大屏可展示和统计各年度、各种维度项目审查数据。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6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ru-RU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审计追踪</w:t>
            </w:r>
          </w:p>
        </w:tc>
        <w:tc>
          <w:tcPr>
            <w:tcW w:w="855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支持多维度的审计追踪，可从项目、会议、组织、登录四个角度查看操作轨迹，做到数据的全面留痕。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56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ru-RU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多终端接入</w:t>
            </w:r>
          </w:p>
        </w:tc>
        <w:tc>
          <w:tcPr>
            <w:tcW w:w="855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ru-RU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支持通过PC电脑、平板、手机端使用系统，方便随时随地使用系统进行审查，提高审查的效率。</w:t>
            </w:r>
          </w:p>
        </w:tc>
      </w:tr>
    </w:tbl>
    <w:p>
      <w:pPr>
        <w:pStyle w:val="16"/>
        <w:rPr>
          <w:rFonts w:hint="default" w:ascii="宋体" w:hAnsi="宋体" w:eastAsia="宋体" w:cs="宋体"/>
          <w:bCs w:val="0"/>
          <w:i w:val="0"/>
          <w:iC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Cs w:val="0"/>
          <w:i w:val="0"/>
          <w:iC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注：标★项为特色功能。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3AEDF5"/>
    <w:multiLevelType w:val="singleLevel"/>
    <w:tmpl w:val="8B3AEDF5"/>
    <w:lvl w:ilvl="0" w:tentative="0">
      <w:start w:val="13"/>
      <w:numFmt w:val="decimal"/>
      <w:suff w:val="space"/>
      <w:lvlText w:val="%1."/>
      <w:lvlJc w:val="left"/>
      <w:rPr>
        <w:rFonts w:hint="default"/>
        <w:color w:val="auto"/>
      </w:rPr>
    </w:lvl>
  </w:abstractNum>
  <w:abstractNum w:abstractNumId="1">
    <w:nsid w:val="AA3B9F4E"/>
    <w:multiLevelType w:val="multilevel"/>
    <w:tmpl w:val="AA3B9F4E"/>
    <w:lvl w:ilvl="0" w:tentative="0">
      <w:start w:val="1"/>
      <w:numFmt w:val="chineseCounting"/>
      <w:pStyle w:val="2"/>
      <w:lvlText w:val="%1."/>
      <w:lvlJc w:val="left"/>
      <w:pPr>
        <w:ind w:left="425" w:hanging="425"/>
      </w:pPr>
      <w:rPr>
        <w:rFonts w:hint="eastAsia" w:ascii="宋体" w:hAnsi="宋体" w:eastAsia="宋体" w:cs="宋体"/>
      </w:rPr>
    </w:lvl>
    <w:lvl w:ilvl="1" w:tentative="0">
      <w:start w:val="1"/>
      <w:numFmt w:val="none"/>
      <w:isLgl/>
      <w:lvlText w:val="%1.%2."/>
      <w:lvlJc w:val="left"/>
      <w:pPr>
        <w:ind w:left="850" w:hanging="453"/>
      </w:pPr>
      <w:rPr>
        <w:rFonts w:hint="eastAsia" w:ascii="宋体" w:hAnsi="宋体" w:eastAsia="宋体" w:cs="宋体"/>
      </w:rPr>
    </w:lvl>
    <w:lvl w:ilvl="2" w:tentative="0">
      <w:start w:val="1"/>
      <w:numFmt w:val="decimal"/>
      <w:isLgl/>
      <w:lvlText w:val="%1.%2.%3."/>
      <w:lvlJc w:val="left"/>
      <w:pPr>
        <w:ind w:left="1508" w:hanging="708"/>
      </w:pPr>
      <w:rPr>
        <w:rFonts w:hint="eastAsia" w:ascii="宋体" w:hAnsi="宋体" w:eastAsia="宋体" w:cs="宋体"/>
      </w:rPr>
    </w:lvl>
    <w:lvl w:ilvl="3" w:tentative="0">
      <w:start w:val="1"/>
      <w:numFmt w:val="decimal"/>
      <w:isLgl/>
      <w:lvlText w:val="%1.%2.%3.%4."/>
      <w:lvlJc w:val="left"/>
      <w:pPr>
        <w:ind w:left="2053" w:hanging="853"/>
      </w:pPr>
      <w:rPr>
        <w:rFonts w:hint="eastAsia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eastAsia" w:ascii="宋体" w:hAnsi="宋体" w:eastAsia="宋体" w:cs="宋体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eastAsia"/>
      </w:rPr>
    </w:lvl>
  </w:abstractNum>
  <w:abstractNum w:abstractNumId="2">
    <w:nsid w:val="E4E7EECE"/>
    <w:multiLevelType w:val="singleLevel"/>
    <w:tmpl w:val="E4E7EECE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3">
    <w:nsid w:val="F5DE2D72"/>
    <w:multiLevelType w:val="multilevel"/>
    <w:tmpl w:val="F5DE2D7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pStyle w:val="3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mOTEyNjM3YzcxMTNlNGNiOTc3NTExNTdjOGZkY2MifQ=="/>
    <w:docVar w:name="KSO_WPS_MARK_KEY" w:val="23ceee7b-ae1e-4517-bc5e-e63e4824772a"/>
  </w:docVars>
  <w:rsids>
    <w:rsidRoot w:val="53C243DE"/>
    <w:rsid w:val="000A2370"/>
    <w:rsid w:val="000D1803"/>
    <w:rsid w:val="000F4BB9"/>
    <w:rsid w:val="00195FCA"/>
    <w:rsid w:val="001D4959"/>
    <w:rsid w:val="00222A46"/>
    <w:rsid w:val="00242839"/>
    <w:rsid w:val="002614E6"/>
    <w:rsid w:val="002C5C93"/>
    <w:rsid w:val="002D698D"/>
    <w:rsid w:val="003131E7"/>
    <w:rsid w:val="00371F02"/>
    <w:rsid w:val="003A53C8"/>
    <w:rsid w:val="003E1069"/>
    <w:rsid w:val="003F20D0"/>
    <w:rsid w:val="003F6C32"/>
    <w:rsid w:val="00411D4C"/>
    <w:rsid w:val="00421EAD"/>
    <w:rsid w:val="00423E38"/>
    <w:rsid w:val="00443FC5"/>
    <w:rsid w:val="004B7224"/>
    <w:rsid w:val="004D10EC"/>
    <w:rsid w:val="00515F95"/>
    <w:rsid w:val="005173A4"/>
    <w:rsid w:val="00526715"/>
    <w:rsid w:val="00533CFF"/>
    <w:rsid w:val="00562FD9"/>
    <w:rsid w:val="00563715"/>
    <w:rsid w:val="00567E0C"/>
    <w:rsid w:val="00590EF5"/>
    <w:rsid w:val="005A24A6"/>
    <w:rsid w:val="005B205C"/>
    <w:rsid w:val="0061047C"/>
    <w:rsid w:val="006800B7"/>
    <w:rsid w:val="00682535"/>
    <w:rsid w:val="006A07CC"/>
    <w:rsid w:val="006C6657"/>
    <w:rsid w:val="006D32B2"/>
    <w:rsid w:val="006E7F2C"/>
    <w:rsid w:val="007203EE"/>
    <w:rsid w:val="007237F3"/>
    <w:rsid w:val="00725C8C"/>
    <w:rsid w:val="0076220D"/>
    <w:rsid w:val="0076494E"/>
    <w:rsid w:val="00783C63"/>
    <w:rsid w:val="007D6B68"/>
    <w:rsid w:val="00824660"/>
    <w:rsid w:val="00850CA5"/>
    <w:rsid w:val="00851243"/>
    <w:rsid w:val="00874A50"/>
    <w:rsid w:val="00881D95"/>
    <w:rsid w:val="008C2F41"/>
    <w:rsid w:val="00907CF0"/>
    <w:rsid w:val="00995A84"/>
    <w:rsid w:val="009A19DF"/>
    <w:rsid w:val="009A6D37"/>
    <w:rsid w:val="009D14EE"/>
    <w:rsid w:val="009D559D"/>
    <w:rsid w:val="009E6681"/>
    <w:rsid w:val="009F3E73"/>
    <w:rsid w:val="00A27AEF"/>
    <w:rsid w:val="00A37ED2"/>
    <w:rsid w:val="00A433EC"/>
    <w:rsid w:val="00A538AD"/>
    <w:rsid w:val="00A702AE"/>
    <w:rsid w:val="00AC4D29"/>
    <w:rsid w:val="00B32753"/>
    <w:rsid w:val="00B33CEB"/>
    <w:rsid w:val="00B631C3"/>
    <w:rsid w:val="00B74965"/>
    <w:rsid w:val="00BA5AED"/>
    <w:rsid w:val="00BD32DE"/>
    <w:rsid w:val="00BD4C44"/>
    <w:rsid w:val="00C2506F"/>
    <w:rsid w:val="00C37E33"/>
    <w:rsid w:val="00C53209"/>
    <w:rsid w:val="00C5736C"/>
    <w:rsid w:val="00C75B58"/>
    <w:rsid w:val="00C77601"/>
    <w:rsid w:val="00CB76F3"/>
    <w:rsid w:val="00D83FD8"/>
    <w:rsid w:val="00DB32AE"/>
    <w:rsid w:val="00DD2E3C"/>
    <w:rsid w:val="00DF7059"/>
    <w:rsid w:val="00E05170"/>
    <w:rsid w:val="00E12C18"/>
    <w:rsid w:val="00E77C32"/>
    <w:rsid w:val="00EB7BA6"/>
    <w:rsid w:val="00FB66C6"/>
    <w:rsid w:val="0223031E"/>
    <w:rsid w:val="026C27F6"/>
    <w:rsid w:val="02E25AD3"/>
    <w:rsid w:val="03CC59E4"/>
    <w:rsid w:val="06AE2190"/>
    <w:rsid w:val="07391925"/>
    <w:rsid w:val="08A709A5"/>
    <w:rsid w:val="0C4843B9"/>
    <w:rsid w:val="10C91660"/>
    <w:rsid w:val="12107727"/>
    <w:rsid w:val="134358DA"/>
    <w:rsid w:val="13BA722E"/>
    <w:rsid w:val="13F310AE"/>
    <w:rsid w:val="23FE750B"/>
    <w:rsid w:val="253D1D8C"/>
    <w:rsid w:val="29F02EA6"/>
    <w:rsid w:val="2C703648"/>
    <w:rsid w:val="303622EB"/>
    <w:rsid w:val="36C86320"/>
    <w:rsid w:val="38AC16A8"/>
    <w:rsid w:val="3BD15A95"/>
    <w:rsid w:val="3E0B1120"/>
    <w:rsid w:val="3F4D6A87"/>
    <w:rsid w:val="3F850EA5"/>
    <w:rsid w:val="403F72A5"/>
    <w:rsid w:val="45F428E0"/>
    <w:rsid w:val="4ADB406F"/>
    <w:rsid w:val="4C87000A"/>
    <w:rsid w:val="4CFF2296"/>
    <w:rsid w:val="4DF96CE5"/>
    <w:rsid w:val="502F078D"/>
    <w:rsid w:val="52884ADC"/>
    <w:rsid w:val="53C243DE"/>
    <w:rsid w:val="555807A0"/>
    <w:rsid w:val="581A12D9"/>
    <w:rsid w:val="5A4C2893"/>
    <w:rsid w:val="5A55508C"/>
    <w:rsid w:val="5C2D5676"/>
    <w:rsid w:val="5C5B5396"/>
    <w:rsid w:val="5FD41E6E"/>
    <w:rsid w:val="6228440B"/>
    <w:rsid w:val="640E0942"/>
    <w:rsid w:val="66784291"/>
    <w:rsid w:val="6768524B"/>
    <w:rsid w:val="6974362F"/>
    <w:rsid w:val="6F71097A"/>
    <w:rsid w:val="713C5698"/>
    <w:rsid w:val="71780BAB"/>
    <w:rsid w:val="72F71196"/>
    <w:rsid w:val="739B4217"/>
    <w:rsid w:val="73B25803"/>
    <w:rsid w:val="73C216D3"/>
    <w:rsid w:val="757148B3"/>
    <w:rsid w:val="770C03BD"/>
    <w:rsid w:val="785D43AA"/>
    <w:rsid w:val="7B25086A"/>
    <w:rsid w:val="7CF71544"/>
    <w:rsid w:val="7DF827DC"/>
    <w:rsid w:val="7F392B36"/>
    <w:rsid w:val="7FFFD58D"/>
    <w:rsid w:val="BFFF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0"/>
    <w:pPr>
      <w:keepNext/>
      <w:keepLines/>
      <w:numPr>
        <w:ilvl w:val="0"/>
        <w:numId w:val="1"/>
      </w:numPr>
      <w:spacing w:line="480" w:lineRule="auto"/>
      <w:outlineLvl w:val="0"/>
    </w:pPr>
    <w:rPr>
      <w:b/>
      <w:kern w:val="44"/>
      <w:sz w:val="2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numPr>
        <w:ilvl w:val="1"/>
        <w:numId w:val="2"/>
      </w:numPr>
      <w:spacing w:line="360" w:lineRule="auto"/>
      <w:ind w:left="454" w:hanging="454"/>
      <w:outlineLvl w:val="1"/>
    </w:pPr>
    <w:rPr>
      <w:rFonts w:ascii="Arial" w:hAnsi="Arial" w:eastAsia="宋体"/>
      <w:b/>
      <w:sz w:val="24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autoRedefine/>
    <w:qFormat/>
    <w:uiPriority w:val="0"/>
    <w:pPr>
      <w:widowControl w:val="0"/>
      <w:jc w:val="both"/>
    </w:pPr>
    <w:rPr>
      <w:rFonts w:ascii="Arial" w:hAnsi="Arial" w:cs="Arial"/>
      <w:kern w:val="2"/>
      <w:sz w:val="21"/>
      <w:szCs w:val="20"/>
    </w:rPr>
  </w:style>
  <w:style w:type="paragraph" w:styleId="7">
    <w:name w:val="annotation text"/>
    <w:basedOn w:val="1"/>
    <w:link w:val="23"/>
    <w:autoRedefine/>
    <w:qFormat/>
    <w:uiPriority w:val="0"/>
    <w:pPr>
      <w:jc w:val="left"/>
    </w:pPr>
  </w:style>
  <w:style w:type="paragraph" w:styleId="8">
    <w:name w:val="Balloon Text"/>
    <w:basedOn w:val="1"/>
    <w:link w:val="25"/>
    <w:autoRedefine/>
    <w:qFormat/>
    <w:uiPriority w:val="0"/>
    <w:rPr>
      <w:sz w:val="18"/>
      <w:szCs w:val="18"/>
    </w:rPr>
  </w:style>
  <w:style w:type="paragraph" w:styleId="9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annotation subject"/>
    <w:basedOn w:val="7"/>
    <w:next w:val="7"/>
    <w:link w:val="24"/>
    <w:autoRedefine/>
    <w:qFormat/>
    <w:uiPriority w:val="0"/>
    <w:rPr>
      <w:b/>
      <w:bCs/>
    </w:rPr>
  </w:style>
  <w:style w:type="table" w:styleId="13">
    <w:name w:val="Table Grid"/>
    <w:basedOn w:val="12"/>
    <w:autoRedefine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autoRedefine/>
    <w:qFormat/>
    <w:uiPriority w:val="0"/>
    <w:rPr>
      <w:sz w:val="21"/>
      <w:szCs w:val="21"/>
    </w:rPr>
  </w:style>
  <w:style w:type="paragraph" w:customStyle="1" w:styleId="16">
    <w:name w:val="表格文字"/>
    <w:basedOn w:val="1"/>
    <w:autoRedefine/>
    <w:qFormat/>
    <w:uiPriority w:val="0"/>
    <w:pPr>
      <w:spacing w:before="25" w:after="25"/>
    </w:pPr>
    <w:rPr>
      <w:bCs/>
      <w:spacing w:val="10"/>
      <w:szCs w:val="20"/>
    </w:rPr>
  </w:style>
  <w:style w:type="character" w:customStyle="1" w:styleId="17">
    <w:name w:val="标题 1 Char"/>
    <w:link w:val="2"/>
    <w:autoRedefine/>
    <w:qFormat/>
    <w:uiPriority w:val="0"/>
    <w:rPr>
      <w:rFonts w:asciiTheme="minorHAnsi" w:hAnsiTheme="minorHAnsi"/>
      <w:b/>
      <w:kern w:val="44"/>
      <w:sz w:val="24"/>
    </w:rPr>
  </w:style>
  <w:style w:type="paragraph" w:customStyle="1" w:styleId="18">
    <w:name w:val="Body text|1"/>
    <w:basedOn w:val="1"/>
    <w:autoRedefine/>
    <w:qFormat/>
    <w:uiPriority w:val="0"/>
    <w:pPr>
      <w:spacing w:line="480" w:lineRule="auto"/>
      <w:ind w:firstLine="400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19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0">
    <w:name w:val="List Paragraph"/>
    <w:basedOn w:val="1"/>
    <w:link w:val="26"/>
    <w:autoRedefine/>
    <w:qFormat/>
    <w:uiPriority w:val="34"/>
    <w:pPr>
      <w:ind w:firstLine="420" w:firstLineChars="200"/>
    </w:pPr>
  </w:style>
  <w:style w:type="character" w:customStyle="1" w:styleId="21">
    <w:name w:val="页眉 Char"/>
    <w:basedOn w:val="14"/>
    <w:link w:val="10"/>
    <w:autoRedefine/>
    <w:qFormat/>
    <w:uiPriority w:val="0"/>
    <w:rPr>
      <w:kern w:val="2"/>
      <w:sz w:val="18"/>
      <w:szCs w:val="18"/>
    </w:rPr>
  </w:style>
  <w:style w:type="character" w:customStyle="1" w:styleId="22">
    <w:name w:val="页脚 Char"/>
    <w:basedOn w:val="14"/>
    <w:link w:val="9"/>
    <w:autoRedefine/>
    <w:qFormat/>
    <w:uiPriority w:val="0"/>
    <w:rPr>
      <w:kern w:val="2"/>
      <w:sz w:val="18"/>
      <w:szCs w:val="18"/>
    </w:rPr>
  </w:style>
  <w:style w:type="character" w:customStyle="1" w:styleId="23">
    <w:name w:val="批注文字 Char"/>
    <w:basedOn w:val="14"/>
    <w:link w:val="7"/>
    <w:autoRedefine/>
    <w:qFormat/>
    <w:uiPriority w:val="0"/>
    <w:rPr>
      <w:kern w:val="2"/>
      <w:sz w:val="21"/>
      <w:szCs w:val="22"/>
    </w:rPr>
  </w:style>
  <w:style w:type="character" w:customStyle="1" w:styleId="24">
    <w:name w:val="批注主题 Char"/>
    <w:basedOn w:val="23"/>
    <w:link w:val="11"/>
    <w:autoRedefine/>
    <w:qFormat/>
    <w:uiPriority w:val="0"/>
    <w:rPr>
      <w:b/>
      <w:bCs/>
      <w:kern w:val="2"/>
      <w:sz w:val="21"/>
      <w:szCs w:val="22"/>
    </w:rPr>
  </w:style>
  <w:style w:type="character" w:customStyle="1" w:styleId="25">
    <w:name w:val="批注框文本 Char"/>
    <w:basedOn w:val="14"/>
    <w:link w:val="8"/>
    <w:autoRedefine/>
    <w:qFormat/>
    <w:uiPriority w:val="0"/>
    <w:rPr>
      <w:kern w:val="2"/>
      <w:sz w:val="18"/>
      <w:szCs w:val="18"/>
    </w:rPr>
  </w:style>
  <w:style w:type="character" w:customStyle="1" w:styleId="26">
    <w:name w:val="列出段落 Char"/>
    <w:link w:val="20"/>
    <w:autoRedefine/>
    <w:qFormat/>
    <w:uiPriority w:val="34"/>
    <w:rPr>
      <w:kern w:val="2"/>
      <w:sz w:val="21"/>
      <w:szCs w:val="22"/>
    </w:rPr>
  </w:style>
  <w:style w:type="character" w:customStyle="1" w:styleId="27">
    <w:name w:val="font21"/>
    <w:basedOn w:val="14"/>
    <w:autoRedefine/>
    <w:qFormat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  <w:style w:type="character" w:customStyle="1" w:styleId="28">
    <w:name w:val="font11"/>
    <w:basedOn w:val="14"/>
    <w:autoRedefine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29">
    <w:name w:val="font31"/>
    <w:basedOn w:val="14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0">
    <w:name w:val="font41"/>
    <w:basedOn w:val="14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1">
    <w:name w:val="font51"/>
    <w:basedOn w:val="14"/>
    <w:autoRedefine/>
    <w:qFormat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  <w:style w:type="character" w:customStyle="1" w:styleId="32">
    <w:name w:val="font01"/>
    <w:autoRedefine/>
    <w:qFormat/>
    <w:uiPriority w:val="0"/>
    <w:rPr>
      <w:rFonts w:hint="eastAsia" w:ascii="等线" w:hAnsi="等线" w:eastAsia="等线" w:cs="等线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2418</Words>
  <Characters>13788</Characters>
  <Lines>114</Lines>
  <Paragraphs>32</Paragraphs>
  <TotalTime>2</TotalTime>
  <ScaleCrop>false</ScaleCrop>
  <LinksUpToDate>false</LinksUpToDate>
  <CharactersWithSpaces>16174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2023-06-29T04:18:00Z</dcterms:created>
  <dc:creator>我不是坏人</dc:creator>
  <cp:lastModifiedBy>张均</cp:lastModifiedBy>
  <dcterms:modified xsi:type="dcterms:W3CDTF">2024-02-05T07:57:51Z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34B1ED61CA2843FF8CF72FE7D2868071</vt:lpwstr>
  </property>
</Properties>
</file>