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sz w:val="52"/>
        </w:rPr>
      </w:pPr>
      <w:r>
        <w:rPr>
          <w:rFonts w:hint="eastAsia" w:ascii="微软雅黑" w:hAnsi="微软雅黑" w:eastAsia="微软雅黑"/>
          <w:b/>
          <w:sz w:val="52"/>
        </w:rPr>
        <w:t>桂林医学院附属医院</w:t>
      </w:r>
    </w:p>
    <w:p>
      <w:pPr>
        <w:spacing w:line="360" w:lineRule="auto"/>
        <w:jc w:val="center"/>
        <w:rPr>
          <w:rFonts w:hint="eastAsia" w:ascii="微软雅黑" w:hAnsi="微软雅黑" w:eastAsia="微软雅黑"/>
          <w:b/>
          <w:sz w:val="40"/>
        </w:rPr>
      </w:pPr>
      <w:r>
        <w:rPr>
          <w:rFonts w:hint="eastAsia" w:ascii="微软雅黑" w:hAnsi="微软雅黑" w:eastAsia="微软雅黑"/>
          <w:b/>
          <w:sz w:val="40"/>
          <w:lang w:val="en-US" w:eastAsia="zh-CN"/>
        </w:rPr>
        <w:t>科研报账流程</w:t>
      </w:r>
      <w:r>
        <w:rPr>
          <w:rFonts w:hint="eastAsia" w:ascii="微软雅黑" w:hAnsi="微软雅黑" w:eastAsia="微软雅黑"/>
          <w:b/>
          <w:sz w:val="40"/>
        </w:rPr>
        <w:t>操作手册</w:t>
      </w:r>
    </w:p>
    <w:p>
      <w:pPr>
        <w:pStyle w:val="2"/>
        <w:numPr>
          <w:ilvl w:val="0"/>
          <w:numId w:val="0"/>
        </w:num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科研经费报账基本附件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版面费报销基本附件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</w:rPr>
        <w:t>增值税发票（及清单）；</w:t>
      </w:r>
    </w:p>
    <w:p>
      <w:pPr>
        <w:spacing w:line="360" w:lineRule="auto"/>
        <w:jc w:val="left"/>
        <w:rPr>
          <w:rFonts w:hint="default" w:ascii="宋体" w:hAnsi="宋体" w:eastAsia="宋体" w:cs="宋体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</w:rPr>
        <w:t>杂志封面、目录以及论文页（复印件）；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val="en-US" w:eastAsia="zh-CN"/>
        </w:rPr>
        <w:t>上传附件须传全文）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</w:rPr>
        <w:t>SCI版面费需打印期刊并翻译标题 、作者、摘要、付款截图；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shd w:val="clear" w:color="auto" w:fill="auto"/>
        </w:rPr>
        <w:t>杂志社发票由其他公司代开的，须提供相关证明；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、试剂耗材费用报销基本附件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增值税发票；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采购清单、送货清单；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出入库验收单；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设备科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、技术服务费报销基本附件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增值税发票；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双方签字盖章的合同；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、查新费报销基本附件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增值税发票；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查新报告；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、学生劳务费报销基本附件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发放明细表（需项目负责人签字）；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详见附件1表格）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object>
          <v:shape id="_x0000_i1025" o:spt="75" type="#_x0000_t75" style="height:66pt;width:72.7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xcel.Sheet.12" ShapeID="_x0000_i1025" DrawAspect="Icon" ObjectID="_1468075725" r:id="rId4">
            <o:LockedField>false</o:LockedField>
          </o:OLEObject>
        </w:object>
      </w:r>
    </w:p>
    <w:p>
      <w:pPr>
        <w:pStyle w:val="2"/>
        <w:spacing w:line="360" w:lineRule="auto"/>
      </w:pPr>
      <w:bookmarkStart w:id="0" w:name="_Toc69916232"/>
      <w:r>
        <w:rPr>
          <w:rFonts w:hint="eastAsia"/>
          <w:lang w:val="en-US" w:eastAsia="zh-CN"/>
        </w:rPr>
        <w:t>二</w:t>
      </w:r>
      <w:r>
        <w:rPr>
          <w:rFonts w:hint="eastAsia"/>
        </w:rPr>
        <w:t>、系统登录</w:t>
      </w:r>
      <w:bookmarkEnd w:id="0"/>
    </w:p>
    <w:p>
      <w:pPr>
        <w:pStyle w:val="3"/>
        <w:spacing w:line="360" w:lineRule="auto"/>
      </w:pPr>
      <w:bookmarkStart w:id="1" w:name="_Toc10865"/>
      <w:bookmarkStart w:id="2" w:name="_Toc69916233"/>
      <w:bookmarkStart w:id="3" w:name="_Toc30396"/>
      <w:bookmarkStart w:id="4" w:name="_Toc485763322"/>
      <w:r>
        <w:rPr>
          <w:rFonts w:hint="eastAsia"/>
        </w:rPr>
        <w:t>登录HRPG网报系统</w:t>
      </w:r>
      <w:bookmarkEnd w:id="1"/>
      <w:bookmarkEnd w:id="2"/>
      <w:bookmarkEnd w:id="3"/>
      <w:bookmarkEnd w:id="4"/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打开</w:t>
      </w:r>
      <w:r>
        <w:rPr>
          <w:b/>
          <w:sz w:val="24"/>
        </w:rPr>
        <w:t>浏览器</w:t>
      </w:r>
      <w:r>
        <w:rPr>
          <w:rFonts w:hint="eastAsia"/>
          <w:b/>
          <w:sz w:val="24"/>
        </w:rPr>
        <w:t>，</w:t>
      </w:r>
      <w:r>
        <w:rPr>
          <w:b/>
          <w:sz w:val="24"/>
        </w:rPr>
        <w:t>输入登录地址</w:t>
      </w:r>
      <w:r>
        <w:rPr>
          <w:rFonts w:hint="eastAsia"/>
          <w:b/>
          <w:sz w:val="24"/>
        </w:rPr>
        <w:t>，打开界面如下所示：</w:t>
      </w:r>
    </w:p>
    <w:p>
      <w:pPr>
        <w:spacing w:line="360" w:lineRule="auto"/>
        <w:rPr>
          <w:b/>
          <w:color w:val="0070C0"/>
          <w:sz w:val="24"/>
        </w:rPr>
      </w:pPr>
      <w:r>
        <w:rPr>
          <w:rFonts w:hint="eastAsia"/>
          <w:b/>
          <w:color w:val="FF0000"/>
          <w:sz w:val="28"/>
        </w:rPr>
        <w:t>建议：</w:t>
      </w:r>
      <w:r>
        <w:rPr>
          <w:rFonts w:hint="eastAsia"/>
          <w:b/>
          <w:color w:val="0070C0"/>
          <w:sz w:val="24"/>
        </w:rPr>
        <w:t>使用3</w:t>
      </w:r>
      <w:r>
        <w:rPr>
          <w:b/>
          <w:color w:val="0070C0"/>
          <w:sz w:val="24"/>
        </w:rPr>
        <w:t>60</w:t>
      </w:r>
      <w:r>
        <w:rPr>
          <w:rFonts w:hint="eastAsia"/>
          <w:b/>
          <w:color w:val="0070C0"/>
          <w:sz w:val="24"/>
        </w:rPr>
        <w:t>或者谷歌浏览器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内网地址：</w:t>
      </w:r>
      <w:r>
        <w:fldChar w:fldCharType="begin"/>
      </w:r>
      <w:r>
        <w:instrText xml:space="preserve"> HYPERLINK "http://132.147.159.68:8090/portal/" </w:instrText>
      </w:r>
      <w:r>
        <w:fldChar w:fldCharType="separate"/>
      </w:r>
      <w:r>
        <w:rPr>
          <w:rStyle w:val="6"/>
          <w:rFonts w:hint="eastAsia"/>
          <w:b/>
          <w:sz w:val="24"/>
        </w:rPr>
        <w:t>http://132.147.159.68:8090/portal/</w:t>
      </w:r>
      <w:r>
        <w:rPr>
          <w:rStyle w:val="6"/>
          <w:rFonts w:hint="eastAsia"/>
          <w:b/>
          <w:sz w:val="24"/>
        </w:rPr>
        <w:fldChar w:fldCharType="end"/>
      </w:r>
    </w:p>
    <w:p>
      <w:pPr>
        <w:spacing w:line="360" w:lineRule="auto"/>
        <w:rPr>
          <w:rStyle w:val="6"/>
          <w:rFonts w:hint="eastAsia"/>
          <w:b/>
          <w:sz w:val="24"/>
        </w:rPr>
      </w:pPr>
      <w:r>
        <w:rPr>
          <w:rFonts w:hint="eastAsia"/>
          <w:b/>
          <w:sz w:val="24"/>
        </w:rPr>
        <w:t>外网地址（校园网）：</w:t>
      </w:r>
      <w:r>
        <w:rPr>
          <w:rStyle w:val="6"/>
          <w:b/>
          <w:sz w:val="24"/>
        </w:rPr>
        <w:fldChar w:fldCharType="begin"/>
      </w:r>
      <w:r>
        <w:rPr>
          <w:rStyle w:val="6"/>
          <w:b/>
          <w:sz w:val="24"/>
        </w:rPr>
        <w:instrText xml:space="preserve"> HYPERLINK "http://202.193.199.95:8090/portal/" </w:instrText>
      </w:r>
      <w:r>
        <w:rPr>
          <w:rStyle w:val="6"/>
          <w:b/>
          <w:sz w:val="24"/>
        </w:rPr>
        <w:fldChar w:fldCharType="separate"/>
      </w:r>
      <w:r>
        <w:rPr>
          <w:rStyle w:val="6"/>
          <w:b/>
          <w:sz w:val="24"/>
        </w:rPr>
        <w:t>http://202.193.199.95:8090/portal</w:t>
      </w:r>
      <w:r>
        <w:rPr>
          <w:rStyle w:val="6"/>
          <w:rFonts w:hint="eastAsia"/>
          <w:b/>
          <w:sz w:val="24"/>
        </w:rPr>
        <w:t>/</w:t>
      </w:r>
      <w:r>
        <w:rPr>
          <w:rStyle w:val="6"/>
          <w:b/>
          <w:sz w:val="24"/>
        </w:rPr>
        <w:fldChar w:fldCharType="end"/>
      </w:r>
    </w:p>
    <w:p>
      <w:pPr>
        <w:spacing w:line="360" w:lineRule="auto"/>
      </w:pPr>
      <w:r>
        <w:drawing>
          <wp:inline distT="0" distB="0" distL="114300" distR="114300">
            <wp:extent cx="5269230" cy="298323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8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spacing w:line="360" w:lineRule="auto"/>
        <w:rPr>
          <w:rFonts w:hint="eastAsia"/>
        </w:rPr>
      </w:pPr>
      <w:bookmarkStart w:id="5" w:name="_Toc69916235"/>
      <w:bookmarkStart w:id="6" w:name="_Toc1037"/>
      <w:bookmarkStart w:id="7" w:name="_Toc5314"/>
      <w:r>
        <w:rPr>
          <w:rFonts w:hint="eastAsia"/>
          <w:lang w:val="en-US" w:eastAsia="zh-CN"/>
        </w:rPr>
        <w:t>三、</w:t>
      </w:r>
      <w:r>
        <w:rPr>
          <w:rFonts w:hint="eastAsia"/>
        </w:rPr>
        <w:t>报账人门户</w:t>
      </w:r>
      <w:bookmarkEnd w:id="5"/>
      <w:bookmarkEnd w:id="6"/>
      <w:bookmarkEnd w:id="7"/>
    </w:p>
    <w:p>
      <w:pPr>
        <w:pStyle w:val="3"/>
        <w:numPr>
          <w:ilvl w:val="0"/>
          <w:numId w:val="1"/>
        </w:numPr>
        <w:spacing w:line="360" w:lineRule="auto"/>
      </w:pPr>
      <w:bookmarkStart w:id="8" w:name="_Toc69916236"/>
      <w:bookmarkStart w:id="9" w:name="_Toc7735"/>
      <w:bookmarkStart w:id="10" w:name="_Toc4431"/>
      <w:r>
        <w:rPr>
          <w:rFonts w:hint="eastAsia"/>
        </w:rPr>
        <w:t>单据增加</w:t>
      </w:r>
      <w:bookmarkEnd w:id="8"/>
      <w:bookmarkEnd w:id="9"/>
      <w:bookmarkEnd w:id="10"/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spacing w:line="360" w:lineRule="auto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登录后点击报账人门户，</w:t>
      </w:r>
      <w:r>
        <w:rPr>
          <w:rFonts w:hint="eastAsia"/>
          <w:b/>
          <w:bCs/>
          <w:sz w:val="24"/>
        </w:rPr>
        <w:t>【我要填单】</w:t>
      </w:r>
      <w:r>
        <w:rPr>
          <w:rFonts w:hint="eastAsia"/>
          <w:b/>
          <w:sz w:val="24"/>
        </w:rPr>
        <w:t>选择</w:t>
      </w:r>
      <w:r>
        <w:rPr>
          <w:b/>
          <w:sz w:val="24"/>
        </w:rPr>
        <w:t>对应单据，进入单据录入界面</w:t>
      </w:r>
      <w:r>
        <w:rPr>
          <w:rFonts w:hint="eastAsia"/>
          <w:b/>
          <w:sz w:val="24"/>
        </w:rPr>
        <w:t>，进入</w:t>
      </w:r>
      <w:r>
        <w:rPr>
          <w:b/>
          <w:sz w:val="24"/>
        </w:rPr>
        <w:t>即为</w:t>
      </w:r>
      <w:r>
        <w:rPr>
          <w:rFonts w:hint="eastAsia"/>
          <w:b/>
          <w:sz w:val="24"/>
        </w:rPr>
        <w:t>单据</w:t>
      </w:r>
      <w:r>
        <w:rPr>
          <w:b/>
          <w:sz w:val="24"/>
        </w:rPr>
        <w:t>编辑状态，</w:t>
      </w:r>
      <w:r>
        <w:rPr>
          <w:rFonts w:hint="eastAsia"/>
          <w:b/>
          <w:sz w:val="24"/>
        </w:rPr>
        <w:t>直接根据实际情况录入单据信息。</w:t>
      </w: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jc w:val="both"/>
      </w:pPr>
      <w:r>
        <w:drawing>
          <wp:inline distT="0" distB="0" distL="114300" distR="114300">
            <wp:extent cx="5272405" cy="2779395"/>
            <wp:effectExtent l="0" t="0" r="444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7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/>
        </w:rPr>
      </w:pPr>
    </w:p>
    <w:p>
      <w:pPr>
        <w:pStyle w:val="3"/>
        <w:numPr>
          <w:ilvl w:val="0"/>
          <w:numId w:val="1"/>
        </w:numPr>
        <w:spacing w:line="360" w:lineRule="auto"/>
      </w:pPr>
      <w:bookmarkStart w:id="11" w:name="_Toc69916237"/>
      <w:bookmarkStart w:id="12" w:name="_Toc2875"/>
      <w:bookmarkStart w:id="13" w:name="_Toc14794"/>
      <w:r>
        <w:rPr>
          <w:rFonts w:hint="eastAsia"/>
        </w:rPr>
        <w:t>单据填写</w:t>
      </w:r>
      <w:bookmarkEnd w:id="11"/>
      <w:bookmarkEnd w:id="12"/>
      <w:bookmarkEnd w:id="13"/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根据实际情况选择对应单据点击进入填写单据信息，</w:t>
      </w:r>
      <w:r>
        <w:rPr>
          <w:rFonts w:hint="eastAsia"/>
          <w:b/>
          <w:color w:val="FF0000"/>
          <w:sz w:val="24"/>
        </w:rPr>
        <w:t>※</w:t>
      </w:r>
      <w:r>
        <w:rPr>
          <w:rFonts w:hint="eastAsia"/>
          <w:b/>
          <w:sz w:val="24"/>
        </w:rPr>
        <w:t>号为必填内容。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当</w:t>
      </w:r>
      <w:r>
        <w:rPr>
          <w:b/>
          <w:sz w:val="24"/>
        </w:rPr>
        <w:t>收款对象为员工时，</w:t>
      </w:r>
      <w:r>
        <w:rPr>
          <w:rFonts w:hint="eastAsia"/>
          <w:b/>
          <w:sz w:val="24"/>
        </w:rPr>
        <w:t>收款人</w:t>
      </w:r>
      <w:r>
        <w:rPr>
          <w:b/>
          <w:sz w:val="24"/>
        </w:rPr>
        <w:t>和个人银行账</w:t>
      </w:r>
      <w:r>
        <w:rPr>
          <w:rFonts w:hint="eastAsia"/>
          <w:b/>
          <w:sz w:val="24"/>
        </w:rPr>
        <w:t>户</w:t>
      </w:r>
      <w:r>
        <w:rPr>
          <w:b/>
          <w:sz w:val="24"/>
        </w:rPr>
        <w:t>必填。</w:t>
      </w:r>
    </w:p>
    <w:p>
      <w:pPr>
        <w:spacing w:line="360" w:lineRule="auto"/>
        <w:rPr>
          <w:b/>
          <w:sz w:val="24"/>
        </w:rPr>
      </w:pPr>
    </w:p>
    <w:p>
      <w:pPr>
        <w:spacing w:line="360" w:lineRule="auto"/>
      </w:pPr>
      <w:r>
        <w:drawing>
          <wp:inline distT="0" distB="0" distL="114300" distR="114300">
            <wp:extent cx="5272405" cy="2779395"/>
            <wp:effectExtent l="0" t="0" r="444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7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r>
        <w:drawing>
          <wp:inline distT="0" distB="0" distL="114300" distR="114300">
            <wp:extent cx="5272405" cy="2779395"/>
            <wp:effectExtent l="0" t="0" r="4445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7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2" w:firstLineChars="200"/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具体操作流程细节请对照桂林医学院附属医院HRPG V6.5 医院费用报销管理—操作手册进行。</w:t>
      </w:r>
    </w:p>
    <w:p>
      <w:pPr>
        <w:pStyle w:val="3"/>
        <w:numPr>
          <w:ilvl w:val="0"/>
          <w:numId w:val="1"/>
        </w:numPr>
        <w:spacing w:line="360" w:lineRule="auto"/>
      </w:pPr>
      <w:bookmarkStart w:id="14" w:name="_Toc9241"/>
      <w:bookmarkStart w:id="15" w:name="_Toc6754"/>
      <w:bookmarkStart w:id="16" w:name="_Toc69916238"/>
      <w:r>
        <w:rPr>
          <w:rFonts w:hint="eastAsia"/>
        </w:rPr>
        <w:t>单据保存</w:t>
      </w:r>
      <w:bookmarkEnd w:id="14"/>
      <w:bookmarkEnd w:id="15"/>
      <w:r>
        <w:rPr>
          <w:rFonts w:hint="eastAsia"/>
        </w:rPr>
        <w:t>、提交</w:t>
      </w:r>
      <w:bookmarkEnd w:id="16"/>
      <w:r>
        <w:rPr>
          <w:rFonts w:hint="eastAsia"/>
        </w:rPr>
        <w:t>、上传附件</w:t>
      </w: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填写完毕后点击</w:t>
      </w:r>
      <w:r>
        <w:rPr>
          <w:rFonts w:hint="eastAsia"/>
          <w:b/>
          <w:bCs/>
          <w:sz w:val="24"/>
        </w:rPr>
        <w:t>保存</w:t>
      </w:r>
      <w:r>
        <w:rPr>
          <w:rFonts w:hint="eastAsia"/>
          <w:b/>
          <w:sz w:val="24"/>
        </w:rPr>
        <w:t>，保存之后才能上传附件。</w:t>
      </w:r>
    </w:p>
    <w:p>
      <w:pPr>
        <w:pStyle w:val="7"/>
        <w:spacing w:line="360" w:lineRule="auto"/>
        <w:ind w:left="420" w:firstLine="0" w:firstLineChars="0"/>
        <w:rPr>
          <w:b/>
          <w:sz w:val="24"/>
        </w:rPr>
      </w:pPr>
      <w:r>
        <w:rPr>
          <w:rFonts w:hint="eastAsia"/>
          <w:b/>
          <w:sz w:val="24"/>
        </w:rPr>
        <w:t>检查无误后点击</w:t>
      </w:r>
      <w:r>
        <w:rPr>
          <w:rFonts w:hint="eastAsia"/>
          <w:b/>
          <w:bCs/>
          <w:sz w:val="24"/>
        </w:rPr>
        <w:t>提交，</w:t>
      </w:r>
      <w:r>
        <w:rPr>
          <w:rFonts w:hint="eastAsia"/>
          <w:b/>
          <w:sz w:val="24"/>
        </w:rPr>
        <w:t>即可提交下一环节</w:t>
      </w:r>
    </w:p>
    <w:p>
      <w:pPr>
        <w:spacing w:line="360" w:lineRule="auto"/>
        <w:ind w:firstLine="420" w:firstLineChars="200"/>
        <w:jc w:val="both"/>
      </w:pPr>
      <w:r>
        <w:drawing>
          <wp:inline distT="0" distB="0" distL="114300" distR="114300">
            <wp:extent cx="5272405" cy="2779395"/>
            <wp:effectExtent l="0" t="0" r="4445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7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eastAsiaTheme="minorEastAsia"/>
          <w:b/>
          <w:sz w:val="24"/>
          <w:lang w:eastAsia="zh-CN"/>
        </w:rPr>
      </w:pPr>
      <w:r>
        <w:rPr>
          <w:rFonts w:hint="eastAsia"/>
          <w:b/>
          <w:sz w:val="24"/>
        </w:rPr>
        <w:t>点击保存后，即可点击【附件管理】，点击【上传文件】，点击【选择文件】，找到要上传的附件，点击【确定】，上传成功。</w:t>
      </w:r>
      <w:r>
        <w:rPr>
          <w:rFonts w:hint="eastAsia"/>
          <w:b/>
          <w:sz w:val="24"/>
          <w:lang w:eastAsia="zh-CN"/>
        </w:rPr>
        <w:t>（</w:t>
      </w:r>
      <w:r>
        <w:rPr>
          <w:rFonts w:hint="eastAsia"/>
          <w:b/>
          <w:sz w:val="24"/>
          <w:lang w:val="en-US" w:eastAsia="zh-CN"/>
        </w:rPr>
        <w:t>具体所需上传附件见第一大点</w:t>
      </w:r>
      <w:r>
        <w:rPr>
          <w:rFonts w:hint="eastAsia"/>
          <w:b/>
          <w:sz w:val="24"/>
          <w:lang w:eastAsia="zh-CN"/>
        </w:rPr>
        <w:t>）</w:t>
      </w:r>
    </w:p>
    <w:p>
      <w:pPr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2779395"/>
            <wp:effectExtent l="0" t="0" r="4445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7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right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科研科</w:t>
      </w:r>
    </w:p>
    <w:p>
      <w:pPr>
        <w:spacing w:line="360" w:lineRule="auto"/>
        <w:jc w:val="right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2</w:t>
      </w:r>
      <w:bookmarkStart w:id="17" w:name="_GoBack"/>
      <w:bookmarkEnd w:id="17"/>
      <w:r>
        <w:rPr>
          <w:rFonts w:hint="eastAsia"/>
          <w:b/>
          <w:sz w:val="24"/>
          <w:lang w:val="en-US" w:eastAsia="zh-CN"/>
        </w:rPr>
        <w:t>023年3月1日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140819"/>
    <w:multiLevelType w:val="singleLevel"/>
    <w:tmpl w:val="5A14081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MWVlN2NhYTAyMzdkOWZjNTFlNjg3NzU5Y2QwNzUifQ=="/>
  </w:docVars>
  <w:rsids>
    <w:rsidRoot w:val="5147031B"/>
    <w:rsid w:val="09115E15"/>
    <w:rsid w:val="0C1B7A43"/>
    <w:rsid w:val="0C4F1A32"/>
    <w:rsid w:val="35B237FC"/>
    <w:rsid w:val="40175AC2"/>
    <w:rsid w:val="5147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649</Words>
  <Characters>728</Characters>
  <Lines>0</Lines>
  <Paragraphs>0</Paragraphs>
  <TotalTime>17</TotalTime>
  <ScaleCrop>false</ScaleCrop>
  <LinksUpToDate>false</LinksUpToDate>
  <CharactersWithSpaces>732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2023-03-01T00:59:00Z</dcterms:created>
  <dc:creator>李靖恒</dc:creator>
  <cp:lastModifiedBy>江Y-Y</cp:lastModifiedBy>
  <dcterms:modified xsi:type="dcterms:W3CDTF">2023-03-01T03:21:21Z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ACEE467DD41A473DBE54F30198FD2213</vt:lpwstr>
  </property>
</Properties>
</file>