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桂林医学院附属医院2021年部门预算公开</w:t>
      </w: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目   录</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第一部分：部门概况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一、主要职能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二、机构设置情况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三、人才队伍</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四、学科建设</w:t>
      </w:r>
    </w:p>
    <w:p>
      <w:pPr>
        <w:rPr>
          <w:rFonts w:hint="eastAsia" w:ascii="宋体" w:hAnsi="宋体" w:eastAsia="宋体" w:cs="宋体"/>
          <w:sz w:val="28"/>
          <w:szCs w:val="28"/>
        </w:rPr>
      </w:pP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第二部分：2021年部门预算报表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一、部门收支总体情况表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二、部门收入总体情况表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三、部门支出总体情况表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四、财政拨款收支总体情况表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五、一般公共预算支出情况表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六、一般公共预算基本支出情况表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七、一般公共预算“三公”经费支出情况表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八、政府性基金预算支出情况表</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九、项目年度绩效目标表</w:t>
      </w:r>
    </w:p>
    <w:p>
      <w:pPr>
        <w:rPr>
          <w:rFonts w:hint="eastAsia" w:ascii="宋体" w:hAnsi="宋体" w:eastAsia="宋体" w:cs="宋体"/>
          <w:sz w:val="28"/>
          <w:szCs w:val="28"/>
        </w:rPr>
      </w:pP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第三部分：202</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年部门预算情况说明</w:t>
      </w:r>
    </w:p>
    <w:p>
      <w:pPr>
        <w:rPr>
          <w:rFonts w:hint="eastAsia" w:ascii="宋体" w:hAnsi="宋体" w:eastAsia="宋体" w:cs="宋体"/>
          <w:sz w:val="28"/>
          <w:szCs w:val="28"/>
        </w:rPr>
      </w:pP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第四部分：专业名词解释</w:t>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bCs/>
          <w:sz w:val="28"/>
          <w:szCs w:val="28"/>
        </w:rPr>
      </w:pPr>
      <w:r>
        <w:rPr>
          <w:rFonts w:hint="eastAsia" w:ascii="宋体" w:hAnsi="宋体" w:eastAsia="宋体" w:cs="宋体"/>
          <w:b/>
          <w:bCs/>
          <w:sz w:val="28"/>
          <w:szCs w:val="28"/>
        </w:rPr>
        <w:t>第一部分：部门概况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桂林医学院附属医院创建于1958年5月，是一所集医疗、教学、科研、预防、康复、急救为一体的综合性三级甲等医院。医院是国家药物临床试验基地、全国县级医院血液净化培训基地、首批住院医师规范化培训基地、卫生部国际紧急救援中心网络医院、中国卒中中心联盟单位、中国胸痛中心认证医院、广西临床病理质量控制中心及桂林诊断中心、广西地中海贫血产前诊断分中心。医院是经中国医院管理学会审核批准的“全国百姓放心示范医院”，是全国卫生系统“先进集体”单位。</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i w:val="0"/>
          <w:iCs w:val="0"/>
          <w:sz w:val="28"/>
          <w:szCs w:val="28"/>
        </w:rPr>
      </w:pPr>
      <w:r>
        <w:rPr>
          <w:rFonts w:hint="eastAsia" w:ascii="宋体" w:hAnsi="宋体" w:eastAsia="宋体" w:cs="宋体"/>
          <w:b/>
          <w:bCs/>
          <w:i w:val="0"/>
          <w:iCs w:val="0"/>
          <w:sz w:val="28"/>
          <w:szCs w:val="28"/>
        </w:rPr>
        <w:t>一、主要职能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从事相关疾病诊断、治疗以及医学教学和医学研究工作，为广大群众提供医疗与护理服务、医疗保健及疾病预防服务。医院承担桂北地区危急重症和疑难病诊治任务，在高质量综合性医疗服务的基础上，提供高水平的专科服务。承担公共卫生突发事件应急救治，开展临床医学教育和科研工作，提高医学科技水平的任务。建立对下级医疗机构经常性技术指导与合作关系，培养基层卫生技术和管理人才的工作。开展健康普及和健康教育以及卫生主管部门交办的预防保健任务。</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i w:val="0"/>
          <w:iCs w:val="0"/>
          <w:sz w:val="28"/>
          <w:szCs w:val="28"/>
        </w:rPr>
      </w:pPr>
      <w:r>
        <w:rPr>
          <w:rFonts w:hint="eastAsia" w:ascii="宋体" w:hAnsi="宋体" w:eastAsia="宋体" w:cs="宋体"/>
          <w:b/>
          <w:bCs/>
          <w:i w:val="0"/>
          <w:iCs w:val="0"/>
          <w:sz w:val="28"/>
          <w:szCs w:val="28"/>
        </w:rPr>
        <w:t>二、机构设置情况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我院为差额补助事业单位，独立编制机构1个，单位机构1个，无下属单位。医院具体机构设置情况如下：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（一）行政职能科室</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院办、党办、团委社会工作部、工会、宣传科、纪委监察室、医务部、医保管理科、医院投诉管理科、医院感控管理科、医院质量管理部、药物临床试验机构办公室、护理部、绩效管理办公室、财务科、审计科、人力资源部、离退休职工管理办公室、设备科、后勤管理部、基建科、服务办、信息科、图书馆</w:t>
      </w:r>
      <w:r>
        <w:rPr>
          <w:rFonts w:hint="eastAsia" w:ascii="宋体" w:hAnsi="宋体" w:eastAsia="宋体" w:cs="宋体"/>
          <w:sz w:val="28"/>
          <w:szCs w:val="28"/>
          <w:lang w:val="en-US" w:eastAsia="zh-CN"/>
        </w:rPr>
        <w:t>/</w:t>
      </w:r>
      <w:r>
        <w:rPr>
          <w:rFonts w:hint="eastAsia" w:ascii="宋体" w:hAnsi="宋体" w:eastAsia="宋体" w:cs="宋体"/>
          <w:sz w:val="28"/>
          <w:szCs w:val="28"/>
        </w:rPr>
        <w:t>情报信息部、医联体办公室、保卫科、招标办、门诊部、科研科、教学管理部、研究生科、学工办、人才工作办公室、组织科、博士后工作管理办公室、国有资产管理科、法治办公室、武装部、临床教学培训中心、继续教育管理科、新院区建设指挥部</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（二）临床专业科室</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神经内科、消化内科、心血管内科、老年病科、血液内科、肿瘤内科、肾内科、内分泌科、呼吸与危重症医学科、放射治疗科、风湿免疫科、综合科（医疗保健病区）、医疗保健部、肝胆胰外科、神经外科、泌尿外科、四肢创伤手外科、小儿外科/医学美容外科、脊柱骨病外科、胃肠外科、心脏大血管外科、胸外科、血管外科、乳腺甲状腺外科、脊柱外科、妇科、产科、新生儿科、儿科、中医科、皮肤性病科/美容皮肤科、康复医学科、耳鼻咽喉头颈外科、口腔科、眼科、重症医学科一病区、重症医学科二病区、核医学科、优生遗传科、健康体检中心、急诊创伤外科、急诊内科、生殖医学中心、感染性疾病科、预防保健科、儿童康复科、全科医疗科、日间治疗专区、疼痛科、烧伤创面修复整形外科/医学美容外科、日间手术中心、营养科、创面治疗专区</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（三）医技科室</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超声科</w:t>
      </w:r>
      <w:r>
        <w:rPr>
          <w:rFonts w:hint="eastAsia" w:ascii="宋体" w:hAnsi="宋体" w:eastAsia="宋体" w:cs="宋体"/>
          <w:sz w:val="28"/>
          <w:szCs w:val="28"/>
          <w:lang w:eastAsia="zh-CN"/>
        </w:rPr>
        <w:t>、</w:t>
      </w:r>
      <w:r>
        <w:rPr>
          <w:rFonts w:hint="eastAsia" w:ascii="宋体" w:hAnsi="宋体" w:eastAsia="宋体" w:cs="宋体"/>
          <w:sz w:val="28"/>
          <w:szCs w:val="28"/>
        </w:rPr>
        <w:t>放射科</w:t>
      </w:r>
      <w:r>
        <w:rPr>
          <w:rFonts w:hint="eastAsia" w:ascii="宋体" w:hAnsi="宋体" w:eastAsia="宋体" w:cs="宋体"/>
          <w:sz w:val="28"/>
          <w:szCs w:val="28"/>
          <w:lang w:eastAsia="zh-CN"/>
        </w:rPr>
        <w:t>、</w:t>
      </w:r>
      <w:r>
        <w:rPr>
          <w:rFonts w:hint="eastAsia" w:ascii="宋体" w:hAnsi="宋体" w:eastAsia="宋体" w:cs="宋体"/>
          <w:sz w:val="28"/>
          <w:szCs w:val="28"/>
        </w:rPr>
        <w:t>检验科</w:t>
      </w:r>
      <w:r>
        <w:rPr>
          <w:rFonts w:hint="eastAsia" w:ascii="宋体" w:hAnsi="宋体" w:eastAsia="宋体" w:cs="宋体"/>
          <w:sz w:val="28"/>
          <w:szCs w:val="28"/>
          <w:lang w:eastAsia="zh-CN"/>
        </w:rPr>
        <w:t>、</w:t>
      </w:r>
      <w:r>
        <w:rPr>
          <w:rFonts w:hint="eastAsia" w:ascii="宋体" w:hAnsi="宋体" w:eastAsia="宋体" w:cs="宋体"/>
          <w:sz w:val="28"/>
          <w:szCs w:val="28"/>
        </w:rPr>
        <w:t>病理科</w:t>
      </w:r>
      <w:r>
        <w:rPr>
          <w:rFonts w:hint="eastAsia" w:ascii="宋体" w:hAnsi="宋体" w:eastAsia="宋体" w:cs="宋体"/>
          <w:sz w:val="28"/>
          <w:szCs w:val="28"/>
          <w:lang w:eastAsia="zh-CN"/>
        </w:rPr>
        <w:t>、</w:t>
      </w:r>
      <w:r>
        <w:rPr>
          <w:rFonts w:hint="eastAsia" w:ascii="宋体" w:hAnsi="宋体" w:eastAsia="宋体" w:cs="宋体"/>
          <w:sz w:val="28"/>
          <w:szCs w:val="28"/>
        </w:rPr>
        <w:t>药学部</w:t>
      </w:r>
      <w:r>
        <w:rPr>
          <w:rFonts w:hint="eastAsia" w:ascii="宋体" w:hAnsi="宋体" w:eastAsia="宋体" w:cs="宋体"/>
          <w:sz w:val="28"/>
          <w:szCs w:val="28"/>
          <w:lang w:eastAsia="zh-CN"/>
        </w:rPr>
        <w:t>、</w:t>
      </w:r>
      <w:r>
        <w:rPr>
          <w:rFonts w:hint="eastAsia" w:ascii="宋体" w:hAnsi="宋体" w:eastAsia="宋体" w:cs="宋体"/>
          <w:sz w:val="28"/>
          <w:szCs w:val="28"/>
        </w:rPr>
        <w:t>注射室</w:t>
      </w:r>
      <w:r>
        <w:rPr>
          <w:rFonts w:hint="eastAsia" w:ascii="宋体" w:hAnsi="宋体" w:eastAsia="宋体" w:cs="宋体"/>
          <w:sz w:val="28"/>
          <w:szCs w:val="28"/>
          <w:lang w:eastAsia="zh-CN"/>
        </w:rPr>
        <w:t>、</w:t>
      </w:r>
      <w:r>
        <w:rPr>
          <w:rFonts w:hint="eastAsia" w:ascii="宋体" w:hAnsi="宋体" w:eastAsia="宋体" w:cs="宋体"/>
          <w:sz w:val="28"/>
          <w:szCs w:val="28"/>
        </w:rPr>
        <w:t>输血科</w:t>
      </w:r>
      <w:r>
        <w:rPr>
          <w:rFonts w:hint="eastAsia" w:ascii="宋体" w:hAnsi="宋体" w:eastAsia="宋体" w:cs="宋体"/>
          <w:sz w:val="28"/>
          <w:szCs w:val="28"/>
          <w:lang w:eastAsia="zh-CN"/>
        </w:rPr>
        <w:t>、</w:t>
      </w:r>
      <w:r>
        <w:rPr>
          <w:rFonts w:hint="eastAsia" w:ascii="宋体" w:hAnsi="宋体" w:eastAsia="宋体" w:cs="宋体"/>
          <w:sz w:val="28"/>
          <w:szCs w:val="28"/>
        </w:rPr>
        <w:t>视光部</w:t>
      </w:r>
      <w:r>
        <w:rPr>
          <w:rFonts w:hint="eastAsia" w:ascii="宋体" w:hAnsi="宋体" w:eastAsia="宋体" w:cs="宋体"/>
          <w:sz w:val="28"/>
          <w:szCs w:val="28"/>
          <w:lang w:eastAsia="zh-CN"/>
        </w:rPr>
        <w:t>、</w:t>
      </w:r>
      <w:r>
        <w:rPr>
          <w:rFonts w:hint="eastAsia" w:ascii="宋体" w:hAnsi="宋体" w:eastAsia="宋体" w:cs="宋体"/>
          <w:sz w:val="28"/>
          <w:szCs w:val="28"/>
        </w:rPr>
        <w:t>消毒供应中心</w:t>
      </w:r>
      <w:r>
        <w:rPr>
          <w:rFonts w:hint="eastAsia" w:ascii="宋体" w:hAnsi="宋体" w:eastAsia="宋体" w:cs="宋体"/>
          <w:sz w:val="28"/>
          <w:szCs w:val="28"/>
          <w:lang w:eastAsia="zh-CN"/>
        </w:rPr>
        <w:t>、心功能室、碎石机室、内镜室、肺功能检查室、内镜室、心电图室、脑电图室、麻醉手术科</w:t>
      </w:r>
      <w:r>
        <w:rPr>
          <w:rFonts w:hint="eastAsia" w:ascii="宋体" w:hAnsi="宋体" w:eastAsia="宋体" w:cs="宋体"/>
          <w:sz w:val="28"/>
          <w:szCs w:val="28"/>
          <w:lang w:val="en-US" w:eastAsia="zh-CN"/>
        </w:rPr>
        <w:t>及各类医学实验室</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三、人才队伍</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目前，医院在职职工3000多人，其中高级专业技术人员600余人、博士150余人，博士人数约占全市医疗机构博士总数的80%，高职称、高学历医务人员之多在桂林医疗机构中稳居第一。医院有八桂学者团队、桂林市漓江学者团队、广西高校人才小高地创新团队、广西神经系统临床研究中心团队等近10个优秀科研团队。多人入选广西新世纪十百千人才工程第二层次人选、广西高校引进海外高层次人才“百人计划”人选、广西医学高层次骨干人才“139”计划培养人选，近30人被评为广西“卓越学者”、广西优秀专家、广西特聘专家、广西知名专家、广西名中医，100多人次担任自治区级以上各个专业学会的副主任及以上委员。</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四、学科建设</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医院设有46个临床专业科室(开放床位1600多张)，9个医技科室，58个专科、专病门诊，6个紧密型医联体（灌阳县人民医院、全州县人民医院、恭城瑶族自治县人民医院、甲山社区卫生服务中心、长海社区卫生服务中心、桂林银海医院）。医院有广西卫生计生委重点学科1个（肝胆胰外科）、重点建设学科2个（呼吸与危重症医学科、心血管内科），广西医疗卫生重点学科1个（儿科）、重点培育学科3个（心血管内科、麻醉医学科、重症医学科），省级临床重点专科16个（肾内科、儿内科、重症医学科、急诊科、神经内科、神经外科、麻醉科、临床护理、消化内科、产科、内分泌科、妇科、血液内科、皮肤科、核医学科、临床药学科），重点学科、重点专科的数量在桂林遥遥领先。</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bCs/>
          <w:sz w:val="28"/>
          <w:szCs w:val="28"/>
        </w:rPr>
      </w:pPr>
      <w:r>
        <w:rPr>
          <w:rFonts w:hint="eastAsia" w:ascii="宋体" w:hAnsi="宋体" w:eastAsia="宋体" w:cs="宋体"/>
          <w:b/>
          <w:bCs/>
          <w:sz w:val="28"/>
          <w:szCs w:val="28"/>
        </w:rPr>
        <w:t>第二部分：2021年部门预算报表</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一、部门收支总体情况表</w:t>
      </w:r>
    </w:p>
    <w:tbl>
      <w:tblPr>
        <w:tblW w:w="9712" w:type="dxa"/>
        <w:jc w:val="center"/>
        <w:shd w:val="clear"/>
        <w:tblLayout w:type="fixed"/>
        <w:tblCellMar>
          <w:top w:w="0" w:type="dxa"/>
          <w:left w:w="0" w:type="dxa"/>
          <w:bottom w:w="0" w:type="dxa"/>
          <w:right w:w="0" w:type="dxa"/>
        </w:tblCellMar>
      </w:tblPr>
      <w:tblGrid>
        <w:gridCol w:w="4092"/>
        <w:gridCol w:w="1304"/>
        <w:gridCol w:w="3166"/>
        <w:gridCol w:w="1150"/>
      </w:tblGrid>
      <w:tr>
        <w:tblPrEx>
          <w:shd w:val="clear"/>
          <w:tblCellMar>
            <w:top w:w="0" w:type="dxa"/>
            <w:left w:w="0" w:type="dxa"/>
            <w:bottom w:w="0" w:type="dxa"/>
            <w:right w:w="0" w:type="dxa"/>
          </w:tblCellMar>
        </w:tblPrEx>
        <w:trPr>
          <w:trHeight w:val="225" w:hRule="atLeast"/>
          <w:jc w:val="center"/>
        </w:trPr>
        <w:tc>
          <w:tcPr>
            <w:tcW w:w="409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0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16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单位：万元</w:t>
            </w:r>
          </w:p>
        </w:tc>
      </w:tr>
      <w:tr>
        <w:tblPrEx>
          <w:shd w:val="clear"/>
          <w:tblCellMar>
            <w:top w:w="0" w:type="dxa"/>
            <w:left w:w="0" w:type="dxa"/>
            <w:bottom w:w="0" w:type="dxa"/>
            <w:right w:w="0" w:type="dxa"/>
          </w:tblCellMar>
        </w:tblPrEx>
        <w:trPr>
          <w:trHeight w:val="330" w:hRule="atLeast"/>
          <w:jc w:val="center"/>
        </w:trPr>
        <w:tc>
          <w:tcPr>
            <w:tcW w:w="539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            入</w:t>
            </w:r>
          </w:p>
        </w:tc>
        <w:tc>
          <w:tcPr>
            <w:tcW w:w="431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                  出</w:t>
            </w: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                    目</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预算数</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   目（按支出功能科目分类）</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预算数</w:t>
            </w: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一、一般公共预算拨款</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一、一般公共服务支出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（一）经费拨款</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二、外交支出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1.自治区本级</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2,577.62 </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三、国防支出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2.中央补助</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554.00 </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四、公共安全支出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3.一般债券收入</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五、教育支出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（二）纳入一般公共预算管理的非税收入</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六、科学技术支出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二、政府性基金预算拨款</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七、文化旅游体育与传媒支出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（一）自治区本级</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八、社会保障和就业支出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1,253.14 </w:t>
            </w: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（二）中央补助</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九、卫生健康支出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335,249.16 </w:t>
            </w: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（三）专项债券收入</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十、节能环保支出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三、国有资本经营预算拨款</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十一、城乡社区支出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（一）自治区本级</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十二、农林水支出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（二）中央补助</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十三、交通运输支出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四、财政专户管理资金收入</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十四、资源勘探工业信息等支出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五、事业收入</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232,368.38 </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十五、商业服务业等支出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六、事业单位经营收入</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十六、金融支出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七、上级补助收入</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十七、援助其他地区支出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八、附属单位上缴收入</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十八、自然资源海洋气象等支出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九、其他收入</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1,000.00 </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十九、住房保障支出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391.98 </w:t>
            </w: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二十、粮油物资储备支出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二十一、国有资本经营预算支出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二十二、灾害防治及应急管理支出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二十三、其他支出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二十四、债务还本支出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二十五、债务付息支出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二十六、债务发行费用支出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  年  收  入  合  计</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236,500.00 </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  年  支  出  合  计</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336,894.28 </w:t>
            </w: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上年结转结余</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100,394.28 </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结转下年支出</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40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      入      总      计</w:t>
            </w:r>
          </w:p>
        </w:tc>
        <w:tc>
          <w:tcPr>
            <w:tcW w:w="13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336,894.28 </w:t>
            </w:r>
          </w:p>
        </w:tc>
        <w:tc>
          <w:tcPr>
            <w:tcW w:w="31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　　　出　　　总　　　计</w:t>
            </w:r>
          </w:p>
        </w:tc>
        <w:tc>
          <w:tcPr>
            <w:tcW w:w="11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336,894.28 </w:t>
            </w:r>
          </w:p>
        </w:tc>
      </w:tr>
    </w:tbl>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rPr>
          <w:rFonts w:hint="eastAsia" w:ascii="宋体" w:hAnsi="宋体" w:eastAsia="宋体" w:cs="宋体"/>
          <w:sz w:val="28"/>
          <w:szCs w:val="28"/>
        </w:rPr>
        <w:sectPr>
          <w:pgSz w:w="11906" w:h="16838"/>
          <w:pgMar w:top="1020" w:right="1417" w:bottom="1020" w:left="141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二、部门收入总体情况表</w:t>
      </w:r>
    </w:p>
    <w:tbl>
      <w:tblPr>
        <w:tblW w:w="0" w:type="auto"/>
        <w:tblInd w:w="0" w:type="dxa"/>
        <w:shd w:val="clear"/>
        <w:tblLayout w:type="autofit"/>
        <w:tblCellMar>
          <w:top w:w="0" w:type="dxa"/>
          <w:left w:w="0" w:type="dxa"/>
          <w:bottom w:w="0" w:type="dxa"/>
          <w:right w:w="0" w:type="dxa"/>
        </w:tblCellMar>
      </w:tblPr>
      <w:tblGrid>
        <w:gridCol w:w="897"/>
        <w:gridCol w:w="1072"/>
        <w:gridCol w:w="1030"/>
        <w:gridCol w:w="1030"/>
        <w:gridCol w:w="937"/>
        <w:gridCol w:w="551"/>
        <w:gridCol w:w="605"/>
        <w:gridCol w:w="712"/>
        <w:gridCol w:w="1030"/>
        <w:gridCol w:w="605"/>
        <w:gridCol w:w="498"/>
        <w:gridCol w:w="605"/>
        <w:gridCol w:w="830"/>
        <w:gridCol w:w="1030"/>
        <w:gridCol w:w="498"/>
        <w:gridCol w:w="551"/>
        <w:gridCol w:w="605"/>
        <w:gridCol w:w="712"/>
        <w:gridCol w:w="1030"/>
      </w:tblGrid>
      <w:tr>
        <w:tblPrEx>
          <w:shd w:val="clear"/>
          <w:tblCellMar>
            <w:top w:w="0" w:type="dxa"/>
            <w:left w:w="0" w:type="dxa"/>
            <w:bottom w:w="0" w:type="dxa"/>
            <w:right w:w="0" w:type="dxa"/>
          </w:tblCellMar>
        </w:tblPrEx>
        <w:trPr>
          <w:trHeight w:val="225" w:hRule="atLeast"/>
        </w:trPr>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单位：万元</w:t>
            </w:r>
          </w:p>
        </w:tc>
      </w:tr>
      <w:tr>
        <w:tblPrEx>
          <w:shd w:val="clear"/>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部门（单位）代码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0" w:type="auto"/>
            <w:gridSpan w:val="10"/>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本年收入</w:t>
            </w:r>
          </w:p>
        </w:tc>
        <w:tc>
          <w:tcPr>
            <w:tcW w:w="0" w:type="auto"/>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上年结转结余</w:t>
            </w:r>
          </w:p>
        </w:tc>
      </w:tr>
      <w:tr>
        <w:tblPrEx>
          <w:shd w:val="clear"/>
          <w:tblCellMar>
            <w:top w:w="0" w:type="dxa"/>
            <w:left w:w="0" w:type="dxa"/>
            <w:bottom w:w="0" w:type="dxa"/>
            <w:right w:w="0"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一般公共预算</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政府性基金预算</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国有资本经营预算</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事业单位经营收入</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其他收入</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一般公共预算</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政府性基金预算</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国有资本经营预算</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单位资金</w:t>
            </w:r>
          </w:p>
        </w:tc>
      </w:tr>
      <w:tr>
        <w:tblPrEx>
          <w:shd w:val="clear"/>
          <w:tblCellMar>
            <w:top w:w="0" w:type="dxa"/>
            <w:left w:w="0" w:type="dxa"/>
            <w:bottom w:w="0" w:type="dxa"/>
            <w:right w:w="0"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r>
      <w:tr>
        <w:tblPrEx>
          <w:shd w:val="clear"/>
          <w:tblCellMar>
            <w:top w:w="0" w:type="dxa"/>
            <w:left w:w="0" w:type="dxa"/>
            <w:bottom w:w="0" w:type="dxa"/>
            <w:right w:w="0"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336,894.28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236,500.00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232,368.38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1,000.00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100,394.28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100,394.28 </w:t>
            </w:r>
          </w:p>
        </w:tc>
      </w:tr>
      <w:tr>
        <w:tblPrEx>
          <w:shd w:val="clear"/>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广西壮族自治区卫生健康委员会</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336,894.28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236,500.00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232,368.38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1,000.00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100,394.28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100,394.28 </w:t>
            </w:r>
          </w:p>
        </w:tc>
      </w:tr>
      <w:tr>
        <w:tblPrEx>
          <w:shd w:val="clear"/>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404035</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桂林医学院附属医院</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336,894.28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236,500.00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232,368.38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1,000.00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100,394.28 </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100,394.28 </w:t>
            </w:r>
          </w:p>
        </w:tc>
      </w:tr>
    </w:tbl>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三、部门支出总体情况表</w:t>
      </w:r>
    </w:p>
    <w:tbl>
      <w:tblPr>
        <w:tblW w:w="14789" w:type="dxa"/>
        <w:tblInd w:w="0" w:type="dxa"/>
        <w:shd w:val="clear"/>
        <w:tblLayout w:type="fixed"/>
        <w:tblCellMar>
          <w:top w:w="0" w:type="dxa"/>
          <w:left w:w="0" w:type="dxa"/>
          <w:bottom w:w="0" w:type="dxa"/>
          <w:right w:w="0" w:type="dxa"/>
        </w:tblCellMar>
      </w:tblPr>
      <w:tblGrid>
        <w:gridCol w:w="480"/>
        <w:gridCol w:w="375"/>
        <w:gridCol w:w="375"/>
        <w:gridCol w:w="1635"/>
        <w:gridCol w:w="4057"/>
        <w:gridCol w:w="1268"/>
        <w:gridCol w:w="698"/>
        <w:gridCol w:w="412"/>
        <w:gridCol w:w="1554"/>
        <w:gridCol w:w="1035"/>
        <w:gridCol w:w="931"/>
        <w:gridCol w:w="1969"/>
      </w:tblGrid>
      <w:tr>
        <w:trPr>
          <w:trHeight w:val="225" w:hRule="atLeast"/>
        </w:trPr>
        <w:tc>
          <w:tcPr>
            <w:tcW w:w="48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3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5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68"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1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89"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900" w:type="dxa"/>
            <w:gridSpan w:val="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单位：万元</w:t>
            </w:r>
          </w:p>
        </w:tc>
      </w:tr>
      <w:tr>
        <w:tblPrEx>
          <w:shd w:val="clear"/>
          <w:tblCellMar>
            <w:top w:w="0" w:type="dxa"/>
            <w:left w:w="0" w:type="dxa"/>
            <w:bottom w:w="0" w:type="dxa"/>
            <w:right w:w="0" w:type="dxa"/>
          </w:tblCellMar>
        </w:tblPrEx>
        <w:trPr>
          <w:trHeight w:val="465" w:hRule="atLeast"/>
        </w:trPr>
        <w:tc>
          <w:tcPr>
            <w:tcW w:w="12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科目编码</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部门（单位）代码</w:t>
            </w:r>
          </w:p>
        </w:tc>
        <w:tc>
          <w:tcPr>
            <w:tcW w:w="40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部门（单位）名称</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(功能分类科目名称)</w:t>
            </w:r>
          </w:p>
        </w:tc>
        <w:tc>
          <w:tcPr>
            <w:tcW w:w="19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9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基本支出</w:t>
            </w:r>
          </w:p>
        </w:tc>
        <w:tc>
          <w:tcPr>
            <w:tcW w:w="19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项目支出</w:t>
            </w:r>
          </w:p>
        </w:tc>
        <w:tc>
          <w:tcPr>
            <w:tcW w:w="19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结转下年支出</w:t>
            </w: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40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9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9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9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9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336,894.28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6,794.30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330,099.98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广西壮族自治区卫生健康委员会</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336,894.28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6,794.30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330,099.98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404035</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桂林医学院附属医院</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336,894.28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6,794.30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330,099.98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事业单位离退休</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469.18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469.18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机关事业单位基本养老保险缴费支出</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522.64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522.64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机关事业单位职业年金缴费支出</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261.32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261.32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综合医院</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332,425.33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4,515.40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327,909.93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其他公立医院支出</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1,012.55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1,012.55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基本公共卫生服务</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09</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重大公共卫生服务</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637.00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637.00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突发公共卫生事件应急处理</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40.00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40.00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其他公共卫生支出</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11.50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11.50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事业单位医疗</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470.45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470.45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公务员医疗补助</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163.33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163.33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其他卫生健康支出</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486.00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486.00 </w:t>
            </w: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40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391.98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391.98 </w:t>
            </w:r>
          </w:p>
        </w:tc>
        <w:tc>
          <w:tcPr>
            <w:tcW w:w="196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ind w:firstLine="562" w:firstLineChars="200"/>
        <w:rPr>
          <w:rFonts w:hint="eastAsia" w:ascii="宋体" w:hAnsi="宋体" w:eastAsia="宋体" w:cs="宋体"/>
          <w:b/>
          <w:bCs/>
          <w:sz w:val="28"/>
          <w:szCs w:val="28"/>
        </w:rPr>
      </w:pPr>
    </w:p>
    <w:p>
      <w:pPr>
        <w:ind w:firstLine="562" w:firstLineChars="200"/>
        <w:rPr>
          <w:rFonts w:hint="eastAsia" w:ascii="宋体" w:hAnsi="宋体" w:eastAsia="宋体" w:cs="宋体"/>
          <w:b/>
          <w:bCs/>
          <w:sz w:val="28"/>
          <w:szCs w:val="28"/>
        </w:rPr>
        <w:sectPr>
          <w:pgSz w:w="16838" w:h="11906" w:orient="landscape"/>
          <w:pgMar w:top="1417" w:right="1020" w:bottom="1417" w:left="102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四、财政拨款收支总体情况表</w:t>
      </w:r>
    </w:p>
    <w:tbl>
      <w:tblPr>
        <w:tblW w:w="9855" w:type="dxa"/>
        <w:jc w:val="center"/>
        <w:shd w:val="clear"/>
        <w:tblLayout w:type="autofit"/>
        <w:tblCellMar>
          <w:top w:w="0" w:type="dxa"/>
          <w:left w:w="0" w:type="dxa"/>
          <w:bottom w:w="0" w:type="dxa"/>
          <w:right w:w="0" w:type="dxa"/>
        </w:tblCellMar>
      </w:tblPr>
      <w:tblGrid>
        <w:gridCol w:w="4005"/>
        <w:gridCol w:w="1110"/>
        <w:gridCol w:w="3630"/>
        <w:gridCol w:w="1110"/>
      </w:tblGrid>
      <w:tr>
        <w:tblPrEx>
          <w:tblCellMar>
            <w:top w:w="0" w:type="dxa"/>
            <w:left w:w="0" w:type="dxa"/>
            <w:bottom w:w="0" w:type="dxa"/>
            <w:right w:w="0" w:type="dxa"/>
          </w:tblCellMar>
        </w:tblPrEx>
        <w:trPr>
          <w:trHeight w:val="225" w:hRule="atLeast"/>
          <w:jc w:val="center"/>
        </w:trPr>
        <w:tc>
          <w:tcPr>
            <w:tcW w:w="400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1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63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1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单位：万元</w:t>
            </w:r>
          </w:p>
        </w:tc>
      </w:tr>
      <w:tr>
        <w:tblPrEx>
          <w:shd w:val="clear"/>
          <w:tblCellMar>
            <w:top w:w="0" w:type="dxa"/>
            <w:left w:w="0" w:type="dxa"/>
            <w:bottom w:w="0" w:type="dxa"/>
            <w:right w:w="0" w:type="dxa"/>
          </w:tblCellMar>
        </w:tblPrEx>
        <w:trPr>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                  出</w:t>
            </w: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   目（按支出功能科目分类）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预算数</w:t>
            </w: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一、本年收入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一、本年支出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1.经费拨款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（二）外交支出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(1)自治区本级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2,577.62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（三）国防支出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(2)中央补助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554.00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（四）公共安全支出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(3)一般债券收入</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（五）教育支出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2.纳入一般公共预算管理的非税收入</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（六）科学技术支出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1.自治区本级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72.60 </w:t>
            </w: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2.中央补助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（九）卫生健康支出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2,823.83 </w:t>
            </w: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3.专项债券收入</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（十）节能环保支出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（十一）城乡社区支出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1.自治区本级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（十二）农林水支出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2.中央补助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（十三）交通运输支出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二、上年结转结余</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（十四）资源勘探工业信息等支出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（十六）金融支出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（十九）住房保障支出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235.19 </w:t>
            </w: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（二十一）国有资本经营预算支出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（二十二）灾害防治及应急管理支出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（二十三）其他支出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（二十四）债务还本支出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（二十五）债务付息支出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（二十六）债务发行费用支出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二、结转下年支出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　　　出　　　总　　　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r>
    </w:tbl>
    <w:p>
      <w:pPr>
        <w:ind w:firstLine="562" w:firstLineChars="200"/>
        <w:rPr>
          <w:rFonts w:hint="eastAsia" w:ascii="宋体" w:hAnsi="宋体" w:eastAsia="宋体" w:cs="宋体"/>
          <w:b/>
          <w:bCs/>
          <w:sz w:val="28"/>
          <w:szCs w:val="28"/>
        </w:rPr>
      </w:pPr>
    </w:p>
    <w:p>
      <w:pPr>
        <w:ind w:firstLine="562" w:firstLineChars="200"/>
        <w:rPr>
          <w:rFonts w:hint="eastAsia" w:ascii="宋体" w:hAnsi="宋体" w:eastAsia="宋体" w:cs="宋体"/>
          <w:b/>
          <w:bCs/>
          <w:sz w:val="28"/>
          <w:szCs w:val="28"/>
        </w:rPr>
      </w:pPr>
    </w:p>
    <w:p>
      <w:pPr>
        <w:ind w:firstLine="562" w:firstLineChars="200"/>
        <w:rPr>
          <w:rFonts w:hint="eastAsia" w:ascii="宋体" w:hAnsi="宋体" w:eastAsia="宋体" w:cs="宋体"/>
          <w:b/>
          <w:bCs/>
          <w:sz w:val="28"/>
          <w:szCs w:val="28"/>
        </w:rPr>
      </w:pPr>
    </w:p>
    <w:p>
      <w:pPr>
        <w:ind w:firstLine="562" w:firstLineChars="200"/>
        <w:rPr>
          <w:rFonts w:hint="eastAsia" w:ascii="宋体" w:hAnsi="宋体" w:eastAsia="宋体" w:cs="宋体"/>
          <w:b/>
          <w:bCs/>
          <w:sz w:val="28"/>
          <w:szCs w:val="28"/>
        </w:rPr>
        <w:sectPr>
          <w:pgSz w:w="11906" w:h="16838"/>
          <w:pgMar w:top="1020" w:right="1417" w:bottom="1020" w:left="141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五、一般公共预算支出情况表</w:t>
      </w:r>
    </w:p>
    <w:tbl>
      <w:tblPr>
        <w:tblW w:w="14722" w:type="dxa"/>
        <w:tblInd w:w="0" w:type="dxa"/>
        <w:shd w:val="clear"/>
        <w:tblLayout w:type="fixed"/>
        <w:tblCellMar>
          <w:top w:w="0" w:type="dxa"/>
          <w:left w:w="0" w:type="dxa"/>
          <w:bottom w:w="0" w:type="dxa"/>
          <w:right w:w="0" w:type="dxa"/>
        </w:tblCellMar>
      </w:tblPr>
      <w:tblGrid>
        <w:gridCol w:w="480"/>
        <w:gridCol w:w="375"/>
        <w:gridCol w:w="375"/>
        <w:gridCol w:w="1635"/>
        <w:gridCol w:w="3157"/>
        <w:gridCol w:w="1500"/>
        <w:gridCol w:w="473"/>
        <w:gridCol w:w="900"/>
        <w:gridCol w:w="105"/>
        <w:gridCol w:w="1478"/>
        <w:gridCol w:w="1478"/>
        <w:gridCol w:w="1333"/>
        <w:gridCol w:w="1433"/>
      </w:tblGrid>
      <w:tr>
        <w:tblPrEx>
          <w:shd w:val="clear"/>
          <w:tblCellMar>
            <w:top w:w="0" w:type="dxa"/>
            <w:left w:w="0" w:type="dxa"/>
            <w:bottom w:w="0" w:type="dxa"/>
            <w:right w:w="0" w:type="dxa"/>
          </w:tblCellMar>
        </w:tblPrEx>
        <w:trPr>
          <w:trHeight w:val="225" w:hRule="atLeast"/>
        </w:trPr>
        <w:tc>
          <w:tcPr>
            <w:tcW w:w="48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3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15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50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73"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61"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33"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33"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单位：万元</w:t>
            </w:r>
          </w:p>
        </w:tc>
      </w:tr>
      <w:tr>
        <w:tblPrEx>
          <w:shd w:val="clear"/>
          <w:tblCellMar>
            <w:top w:w="0" w:type="dxa"/>
            <w:left w:w="0" w:type="dxa"/>
            <w:bottom w:w="0" w:type="dxa"/>
            <w:right w:w="0" w:type="dxa"/>
          </w:tblCellMar>
        </w:tblPrEx>
        <w:trPr>
          <w:trHeight w:val="330" w:hRule="atLeast"/>
        </w:trPr>
        <w:tc>
          <w:tcPr>
            <w:tcW w:w="1230"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科目编码</w:t>
            </w:r>
          </w:p>
        </w:tc>
        <w:tc>
          <w:tcPr>
            <w:tcW w:w="16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部门（单位）代码</w:t>
            </w:r>
          </w:p>
        </w:tc>
        <w:tc>
          <w:tcPr>
            <w:tcW w:w="315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部门（单位）名称</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(功能分类科目名称)</w:t>
            </w:r>
          </w:p>
        </w:tc>
        <w:tc>
          <w:tcPr>
            <w:tcW w:w="15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4434"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基本支出</w:t>
            </w:r>
          </w:p>
        </w:tc>
        <w:tc>
          <w:tcPr>
            <w:tcW w:w="13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项目支出</w:t>
            </w:r>
          </w:p>
        </w:tc>
        <w:tc>
          <w:tcPr>
            <w:tcW w:w="143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结转下年支出</w:t>
            </w:r>
          </w:p>
        </w:tc>
      </w:tr>
      <w:tr>
        <w:tblPrEx>
          <w:shd w:val="clear"/>
          <w:tblCellMar>
            <w:top w:w="0" w:type="dxa"/>
            <w:left w:w="0" w:type="dxa"/>
            <w:bottom w:w="0" w:type="dxa"/>
            <w:right w:w="0" w:type="dxa"/>
          </w:tblCellMar>
        </w:tblPrEx>
        <w:trPr>
          <w:trHeight w:val="435" w:hRule="atLeast"/>
        </w:trPr>
        <w:tc>
          <w:tcPr>
            <w:tcW w:w="1230"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14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人员经费</w:t>
            </w:r>
          </w:p>
        </w:tc>
        <w:tc>
          <w:tcPr>
            <w:tcW w:w="14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公用经费</w:t>
            </w:r>
          </w:p>
        </w:tc>
        <w:tc>
          <w:tcPr>
            <w:tcW w:w="13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31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7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4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4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4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941.57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941.57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2,190.05 </w:t>
            </w: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广西壮族自治区卫生健康委员会</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941.57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941.57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2,190.05 </w:t>
            </w: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404035</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桂林医学院附属医院</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3,131.62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941.57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941.57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2,190.05 </w:t>
            </w: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事业单位离退休</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72.60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72.60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72.60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其他公立医院支出</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1,012.55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1,012.55 </w:t>
            </w: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基本公共卫生服务</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09</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重大公共卫生服务</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637.00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637.00 </w:t>
            </w: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突发公共卫生事件应急处理</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40.00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40.00 </w:t>
            </w: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其他公共卫生支出</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11.50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11.50 </w:t>
            </w: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事业单位医疗</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470.45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470.45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470.45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公务员医疗补助</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163.33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163.33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163.33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其他卫生健康支出</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486.00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486.00 </w:t>
            </w: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w:t>
            </w: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15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235.19 </w:t>
            </w:r>
          </w:p>
        </w:tc>
        <w:tc>
          <w:tcPr>
            <w:tcW w:w="1478"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235.19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235.19 </w:t>
            </w:r>
          </w:p>
        </w:tc>
        <w:tc>
          <w:tcPr>
            <w:tcW w:w="14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ind w:firstLine="562" w:firstLineChars="200"/>
        <w:rPr>
          <w:rFonts w:hint="eastAsia" w:ascii="宋体" w:hAnsi="宋体" w:eastAsia="宋体" w:cs="宋体"/>
          <w:b/>
          <w:bCs/>
          <w:sz w:val="28"/>
          <w:szCs w:val="28"/>
        </w:rPr>
      </w:pPr>
    </w:p>
    <w:p>
      <w:pPr>
        <w:ind w:firstLine="562" w:firstLineChars="200"/>
        <w:rPr>
          <w:rFonts w:hint="eastAsia" w:ascii="宋体" w:hAnsi="宋体" w:eastAsia="宋体" w:cs="宋体"/>
          <w:b/>
          <w:bCs/>
          <w:sz w:val="28"/>
          <w:szCs w:val="28"/>
        </w:rPr>
      </w:pPr>
    </w:p>
    <w:p>
      <w:pPr>
        <w:ind w:firstLine="562" w:firstLineChars="200"/>
        <w:rPr>
          <w:rFonts w:hint="eastAsia" w:ascii="宋体" w:hAnsi="宋体" w:eastAsia="宋体" w:cs="宋体"/>
          <w:b/>
          <w:bCs/>
          <w:sz w:val="28"/>
          <w:szCs w:val="28"/>
        </w:rPr>
      </w:pPr>
    </w:p>
    <w:p>
      <w:pPr>
        <w:ind w:firstLine="562" w:firstLineChars="200"/>
        <w:rPr>
          <w:rFonts w:hint="eastAsia" w:ascii="宋体" w:hAnsi="宋体" w:eastAsia="宋体" w:cs="宋体"/>
          <w:b/>
          <w:bCs/>
          <w:sz w:val="28"/>
          <w:szCs w:val="28"/>
        </w:rPr>
        <w:sectPr>
          <w:pgSz w:w="16838" w:h="11906" w:orient="landscape"/>
          <w:pgMar w:top="1417" w:right="1020" w:bottom="1417" w:left="102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六、一般公共预算基本支出情况表</w:t>
      </w:r>
    </w:p>
    <w:tbl>
      <w:tblPr>
        <w:tblW w:w="9026" w:type="dxa"/>
        <w:tblInd w:w="0" w:type="dxa"/>
        <w:shd w:val="clear"/>
        <w:tblLayout w:type="fixed"/>
        <w:tblCellMar>
          <w:top w:w="0" w:type="dxa"/>
          <w:left w:w="0" w:type="dxa"/>
          <w:bottom w:w="0" w:type="dxa"/>
          <w:right w:w="0" w:type="dxa"/>
        </w:tblCellMar>
      </w:tblPr>
      <w:tblGrid>
        <w:gridCol w:w="480"/>
        <w:gridCol w:w="375"/>
        <w:gridCol w:w="3104"/>
        <w:gridCol w:w="1689"/>
        <w:gridCol w:w="1689"/>
        <w:gridCol w:w="1689"/>
      </w:tblGrid>
      <w:tr>
        <w:tblPrEx>
          <w:shd w:val="clear"/>
          <w:tblCellMar>
            <w:top w:w="0" w:type="dxa"/>
            <w:left w:w="0" w:type="dxa"/>
            <w:bottom w:w="0" w:type="dxa"/>
            <w:right w:w="0" w:type="dxa"/>
          </w:tblCellMar>
        </w:tblPrEx>
        <w:trPr>
          <w:trHeight w:val="210" w:hRule="atLeast"/>
        </w:trPr>
        <w:tc>
          <w:tcPr>
            <w:tcW w:w="48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10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9"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单位：万元</w:t>
            </w:r>
          </w:p>
        </w:tc>
      </w:tr>
      <w:tr>
        <w:tblPrEx>
          <w:shd w:val="clear"/>
          <w:tblCellMar>
            <w:top w:w="0" w:type="dxa"/>
            <w:left w:w="0" w:type="dxa"/>
            <w:bottom w:w="0" w:type="dxa"/>
            <w:right w:w="0" w:type="dxa"/>
          </w:tblCellMar>
        </w:tblPrEx>
        <w:trPr>
          <w:trHeight w:val="270" w:hRule="atLeast"/>
        </w:trPr>
        <w:tc>
          <w:tcPr>
            <w:tcW w:w="3959"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部门预算支出经济分类科目</w:t>
            </w:r>
          </w:p>
        </w:tc>
        <w:tc>
          <w:tcPr>
            <w:tcW w:w="5067"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本年一般公共预算基本支出</w:t>
            </w:r>
          </w:p>
        </w:tc>
      </w:tr>
      <w:tr>
        <w:tblPrEx>
          <w:shd w:val="clear"/>
          <w:tblCellMar>
            <w:top w:w="0" w:type="dxa"/>
            <w:left w:w="0" w:type="dxa"/>
            <w:bottom w:w="0" w:type="dxa"/>
            <w:right w:w="0"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类</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款</w:t>
            </w: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人员经费</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公用经费</w:t>
            </w:r>
          </w:p>
        </w:tc>
      </w:tr>
      <w:tr>
        <w:tblPrEx>
          <w:shd w:val="clear"/>
          <w:tblCellMar>
            <w:top w:w="0" w:type="dxa"/>
            <w:left w:w="0" w:type="dxa"/>
            <w:bottom w:w="0" w:type="dxa"/>
            <w:right w:w="0"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941.57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941.57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工资福利支出</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692.51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692.51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城镇职工基本医疗保险缴费</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293.99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293.99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公务员医疗补助缴费</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163.33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163.33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235.19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235.19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对个人和家庭的补助</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249.06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249.06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w:t>
            </w: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离休费</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38.33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38.33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退休费</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34.27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34.27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w:t>
            </w:r>
          </w:p>
        </w:tc>
        <w:tc>
          <w:tcPr>
            <w:tcW w:w="3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07</w:t>
            </w:r>
          </w:p>
        </w:tc>
        <w:tc>
          <w:tcPr>
            <w:tcW w:w="31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医疗费补助</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176.46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176.46 </w:t>
            </w:r>
          </w:p>
        </w:tc>
        <w:tc>
          <w:tcPr>
            <w:tcW w:w="16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ind w:firstLine="562" w:firstLineChars="200"/>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七、一般公共预算“三公”经费支出情况表</w:t>
      </w:r>
    </w:p>
    <w:tbl>
      <w:tblPr>
        <w:tblStyle w:val="2"/>
        <w:tblW w:w="8946" w:type="dxa"/>
        <w:tblInd w:w="93" w:type="dxa"/>
        <w:tblLayout w:type="autofit"/>
        <w:tblCellMar>
          <w:top w:w="0" w:type="dxa"/>
          <w:left w:w="108" w:type="dxa"/>
          <w:bottom w:w="0" w:type="dxa"/>
          <w:right w:w="108" w:type="dxa"/>
        </w:tblCellMar>
      </w:tblPr>
      <w:tblGrid>
        <w:gridCol w:w="3540"/>
        <w:gridCol w:w="2980"/>
        <w:gridCol w:w="2426"/>
      </w:tblGrid>
      <w:tr>
        <w:tblPrEx>
          <w:tblCellMar>
            <w:top w:w="0" w:type="dxa"/>
            <w:left w:w="108" w:type="dxa"/>
            <w:bottom w:w="0" w:type="dxa"/>
            <w:right w:w="108" w:type="dxa"/>
          </w:tblCellMar>
        </w:tblPrEx>
        <w:trPr>
          <w:trHeight w:val="480" w:hRule="atLeast"/>
        </w:trPr>
        <w:tc>
          <w:tcPr>
            <w:tcW w:w="354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c>
          <w:tcPr>
            <w:tcW w:w="29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242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单位：万元</w:t>
            </w:r>
          </w:p>
        </w:tc>
      </w:tr>
      <w:tr>
        <w:tblPrEx>
          <w:tblCellMar>
            <w:top w:w="0" w:type="dxa"/>
            <w:left w:w="108" w:type="dxa"/>
            <w:bottom w:w="0" w:type="dxa"/>
            <w:right w:w="108" w:type="dxa"/>
          </w:tblCellMar>
        </w:tblPrEx>
        <w:trPr>
          <w:trHeight w:val="555" w:hRule="atLeast"/>
        </w:trPr>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w:t>
            </w:r>
          </w:p>
        </w:tc>
        <w:tc>
          <w:tcPr>
            <w:tcW w:w="2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年预算数（全口径）</w:t>
            </w:r>
          </w:p>
        </w:tc>
        <w:tc>
          <w:tcPr>
            <w:tcW w:w="2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其中：一般公共预算安排预算数</w:t>
            </w:r>
          </w:p>
        </w:tc>
      </w:tr>
      <w:tr>
        <w:tblPrEx>
          <w:tblCellMar>
            <w:top w:w="0" w:type="dxa"/>
            <w:left w:w="108" w:type="dxa"/>
            <w:bottom w:w="0" w:type="dxa"/>
            <w:right w:w="108" w:type="dxa"/>
          </w:tblCellMar>
        </w:tblPrEx>
        <w:trPr>
          <w:trHeight w:val="499" w:hRule="atLeast"/>
        </w:trPr>
        <w:tc>
          <w:tcPr>
            <w:tcW w:w="35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合计</w:t>
            </w:r>
          </w:p>
        </w:tc>
        <w:tc>
          <w:tcPr>
            <w:tcW w:w="2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351.60</w:t>
            </w:r>
            <w:r>
              <w:rPr>
                <w:rFonts w:hint="eastAsia" w:ascii="宋体" w:hAnsi="宋体" w:eastAsia="宋体" w:cs="宋体"/>
                <w:kern w:val="0"/>
                <w:sz w:val="20"/>
                <w:szCs w:val="20"/>
              </w:rPr>
              <w:t xml:space="preserve"> </w:t>
            </w:r>
          </w:p>
        </w:tc>
        <w:tc>
          <w:tcPr>
            <w:tcW w:w="24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99" w:hRule="atLeast"/>
        </w:trPr>
        <w:tc>
          <w:tcPr>
            <w:tcW w:w="35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1.因公出国（境）费用</w:t>
            </w:r>
          </w:p>
        </w:tc>
        <w:tc>
          <w:tcPr>
            <w:tcW w:w="2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115</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6</w:t>
            </w:r>
            <w:r>
              <w:rPr>
                <w:rFonts w:hint="eastAsia" w:ascii="宋体" w:hAnsi="宋体" w:eastAsia="宋体" w:cs="宋体"/>
                <w:kern w:val="0"/>
                <w:sz w:val="20"/>
                <w:szCs w:val="20"/>
              </w:rPr>
              <w:t xml:space="preserve">0 </w:t>
            </w:r>
          </w:p>
        </w:tc>
        <w:tc>
          <w:tcPr>
            <w:tcW w:w="24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99" w:hRule="atLeast"/>
        </w:trPr>
        <w:tc>
          <w:tcPr>
            <w:tcW w:w="35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2.公务接待费</w:t>
            </w:r>
          </w:p>
        </w:tc>
        <w:tc>
          <w:tcPr>
            <w:tcW w:w="2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33</w:t>
            </w:r>
            <w:r>
              <w:rPr>
                <w:rFonts w:hint="eastAsia" w:ascii="宋体" w:hAnsi="宋体" w:eastAsia="宋体" w:cs="宋体"/>
                <w:kern w:val="0"/>
                <w:sz w:val="20"/>
                <w:szCs w:val="20"/>
              </w:rPr>
              <w:t xml:space="preserve">.00 </w:t>
            </w:r>
          </w:p>
        </w:tc>
        <w:tc>
          <w:tcPr>
            <w:tcW w:w="24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99" w:hRule="atLeast"/>
        </w:trPr>
        <w:tc>
          <w:tcPr>
            <w:tcW w:w="35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3.公务用车购置及运行费</w:t>
            </w:r>
          </w:p>
        </w:tc>
        <w:tc>
          <w:tcPr>
            <w:tcW w:w="2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203</w:t>
            </w:r>
            <w:r>
              <w:rPr>
                <w:rFonts w:hint="eastAsia" w:ascii="宋体" w:hAnsi="宋体" w:eastAsia="宋体" w:cs="宋体"/>
                <w:kern w:val="0"/>
                <w:sz w:val="20"/>
                <w:szCs w:val="20"/>
              </w:rPr>
              <w:t xml:space="preserve">.00 </w:t>
            </w:r>
          </w:p>
        </w:tc>
        <w:tc>
          <w:tcPr>
            <w:tcW w:w="24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99" w:hRule="atLeast"/>
        </w:trPr>
        <w:tc>
          <w:tcPr>
            <w:tcW w:w="35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其中：（1）公务用车运行维护费</w:t>
            </w:r>
          </w:p>
        </w:tc>
        <w:tc>
          <w:tcPr>
            <w:tcW w:w="2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73</w:t>
            </w:r>
            <w:r>
              <w:rPr>
                <w:rFonts w:hint="eastAsia" w:ascii="宋体" w:hAnsi="宋体" w:eastAsia="宋体" w:cs="宋体"/>
                <w:kern w:val="0"/>
                <w:sz w:val="20"/>
                <w:szCs w:val="20"/>
              </w:rPr>
              <w:t xml:space="preserve">.00 </w:t>
            </w:r>
          </w:p>
        </w:tc>
        <w:tc>
          <w:tcPr>
            <w:tcW w:w="24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99" w:hRule="atLeast"/>
        </w:trPr>
        <w:tc>
          <w:tcPr>
            <w:tcW w:w="35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（2）公务用车购置费</w:t>
            </w:r>
          </w:p>
        </w:tc>
        <w:tc>
          <w:tcPr>
            <w:tcW w:w="2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130.00</w:t>
            </w:r>
            <w:r>
              <w:rPr>
                <w:rFonts w:hint="eastAsia" w:ascii="宋体" w:hAnsi="宋体" w:eastAsia="宋体" w:cs="宋体"/>
                <w:kern w:val="0"/>
                <w:sz w:val="20"/>
                <w:szCs w:val="20"/>
              </w:rPr>
              <w:t>　</w:t>
            </w:r>
          </w:p>
        </w:tc>
        <w:tc>
          <w:tcPr>
            <w:tcW w:w="24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rPr>
              <w:t>　</w:t>
            </w:r>
          </w:p>
        </w:tc>
      </w:tr>
    </w:tbl>
    <w:p>
      <w:pPr>
        <w:ind w:firstLine="562" w:firstLineChars="200"/>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八、政府性基金预算支出情况表</w:t>
      </w:r>
    </w:p>
    <w:tbl>
      <w:tblPr>
        <w:tblW w:w="9026" w:type="dxa"/>
        <w:tblInd w:w="0" w:type="dxa"/>
        <w:shd w:val="clear"/>
        <w:tblLayout w:type="autofit"/>
        <w:tblCellMar>
          <w:top w:w="0" w:type="dxa"/>
          <w:left w:w="0" w:type="dxa"/>
          <w:bottom w:w="0" w:type="dxa"/>
          <w:right w:w="0" w:type="dxa"/>
        </w:tblCellMar>
      </w:tblPr>
      <w:tblGrid>
        <w:gridCol w:w="285"/>
        <w:gridCol w:w="285"/>
        <w:gridCol w:w="285"/>
        <w:gridCol w:w="1635"/>
        <w:gridCol w:w="1845"/>
        <w:gridCol w:w="465"/>
        <w:gridCol w:w="855"/>
        <w:gridCol w:w="855"/>
        <w:gridCol w:w="2516"/>
      </w:tblGrid>
      <w:tr>
        <w:tblPrEx>
          <w:tblCellMar>
            <w:top w:w="0" w:type="dxa"/>
            <w:left w:w="0" w:type="dxa"/>
            <w:bottom w:w="0" w:type="dxa"/>
            <w:right w:w="0" w:type="dxa"/>
          </w:tblCellMar>
        </w:tblPrEx>
        <w:trPr>
          <w:trHeight w:val="225" w:hRule="atLeast"/>
        </w:trPr>
        <w:tc>
          <w:tcPr>
            <w:tcW w:w="28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8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3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4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5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5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16"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单位：万元</w:t>
            </w:r>
          </w:p>
        </w:tc>
      </w:tr>
      <w:tr>
        <w:tblPrEx>
          <w:tblCellMar>
            <w:top w:w="0" w:type="dxa"/>
            <w:left w:w="0" w:type="dxa"/>
            <w:bottom w:w="0" w:type="dxa"/>
            <w:right w:w="0" w:type="dxa"/>
          </w:tblCellMar>
        </w:tblPrEx>
        <w:trPr>
          <w:trHeight w:val="480" w:hRule="atLeast"/>
        </w:trPr>
        <w:tc>
          <w:tcPr>
            <w:tcW w:w="85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科目编码</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部门（单位）代码</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部门（单位）名称</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(功能分类科目名称)</w:t>
            </w: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基本支出</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项目支出</w:t>
            </w:r>
          </w:p>
        </w:tc>
        <w:tc>
          <w:tcPr>
            <w:tcW w:w="25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结转下年支出</w:t>
            </w:r>
          </w:p>
        </w:tc>
      </w:tr>
      <w:tr>
        <w:tblPrEx>
          <w:tblCellMar>
            <w:top w:w="0" w:type="dxa"/>
            <w:left w:w="0" w:type="dxa"/>
            <w:bottom w:w="0" w:type="dxa"/>
            <w:right w:w="0" w:type="dxa"/>
          </w:tblCellMar>
        </w:tblPrEx>
        <w:trPr>
          <w:trHeight w:val="240" w:hRule="atLeast"/>
        </w:trPr>
        <w:tc>
          <w:tcPr>
            <w:tcW w:w="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25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r>
      <w:tr>
        <w:tblPrEx>
          <w:shd w:val="clear"/>
          <w:tblCellMar>
            <w:top w:w="0" w:type="dxa"/>
            <w:left w:w="0" w:type="dxa"/>
            <w:bottom w:w="0" w:type="dxa"/>
            <w:right w:w="0" w:type="dxa"/>
          </w:tblCellMar>
        </w:tblPrEx>
        <w:trPr>
          <w:trHeight w:val="300" w:hRule="atLeast"/>
        </w:trPr>
        <w:tc>
          <w:tcPr>
            <w:tcW w:w="2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ind w:firstLine="562" w:firstLineChars="200"/>
        <w:rPr>
          <w:rFonts w:hint="eastAsia" w:ascii="宋体" w:hAnsi="宋体" w:eastAsia="宋体" w:cs="宋体"/>
          <w:b/>
          <w:bCs/>
          <w:sz w:val="28"/>
          <w:szCs w:val="28"/>
        </w:rPr>
      </w:pPr>
    </w:p>
    <w:p>
      <w:pPr>
        <w:jc w:val="both"/>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九、项目年度绩效目标表</w:t>
      </w: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表9-1：2021年中央财政医疗服务与保障能力（卫生健康人才培养）</w:t>
      </w:r>
    </w:p>
    <w:tbl>
      <w:tblPr>
        <w:tblStyle w:val="2"/>
        <w:tblpPr w:leftFromText="180" w:rightFromText="180" w:vertAnchor="text" w:horzAnchor="page" w:tblpX="877" w:tblpY="618"/>
        <w:tblOverlap w:val="never"/>
        <w:tblW w:w="10500" w:type="dxa"/>
        <w:tblInd w:w="0" w:type="dxa"/>
        <w:shd w:val="clear" w:color="auto" w:fill="auto"/>
        <w:tblLayout w:type="autofit"/>
        <w:tblCellMar>
          <w:top w:w="0" w:type="dxa"/>
          <w:left w:w="0" w:type="dxa"/>
          <w:bottom w:w="0" w:type="dxa"/>
          <w:right w:w="0" w:type="dxa"/>
        </w:tblCellMar>
      </w:tblPr>
      <w:tblGrid>
        <w:gridCol w:w="1875"/>
        <w:gridCol w:w="1815"/>
        <w:gridCol w:w="1755"/>
        <w:gridCol w:w="2685"/>
        <w:gridCol w:w="2370"/>
      </w:tblGrid>
      <w:tr>
        <w:tblPrEx>
          <w:shd w:val="clear" w:color="auto" w:fill="auto"/>
          <w:tblCellMar>
            <w:top w:w="0" w:type="dxa"/>
            <w:left w:w="0" w:type="dxa"/>
            <w:bottom w:w="0" w:type="dxa"/>
            <w:right w:w="0" w:type="dxa"/>
          </w:tblCellMar>
        </w:tblPrEx>
        <w:trPr>
          <w:trHeight w:val="480" w:hRule="atLeast"/>
        </w:trPr>
        <w:tc>
          <w:tcPr>
            <w:tcW w:w="1050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8"/>
                <w:szCs w:val="28"/>
                <w:u w:val="none"/>
              </w:rPr>
            </w:pPr>
            <w:r>
              <w:rPr>
                <w:rFonts w:hint="default" w:ascii="方正小标宋简体" w:hAnsi="方正小标宋简体" w:eastAsia="方正小标宋简体" w:cs="方正小标宋简体"/>
                <w:b/>
                <w:i w:val="0"/>
                <w:color w:val="000000"/>
                <w:kern w:val="0"/>
                <w:sz w:val="28"/>
                <w:szCs w:val="28"/>
                <w:u w:val="none"/>
                <w:lang w:val="en-US" w:eastAsia="zh-CN" w:bidi="ar"/>
              </w:rPr>
              <w:t>2021年度部门预算自治区本级项目支出绩效目标申报表</w:t>
            </w:r>
          </w:p>
        </w:tc>
      </w:tr>
      <w:tr>
        <w:tblPrEx>
          <w:shd w:val="clear" w:color="auto" w:fill="auto"/>
          <w:tblCellMar>
            <w:top w:w="0" w:type="dxa"/>
            <w:left w:w="0" w:type="dxa"/>
            <w:bottom w:w="0" w:type="dxa"/>
            <w:right w:w="0" w:type="dxa"/>
          </w:tblCellMar>
        </w:tblPrEx>
        <w:trPr>
          <w:trHeight w:val="52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2021年中央财政医疗服务与保障能力（卫生健康人才培养）</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404035xm21n0052</w:t>
            </w:r>
          </w:p>
        </w:tc>
      </w:tr>
      <w:tr>
        <w:tblPrEx>
          <w:tblCellMar>
            <w:top w:w="0" w:type="dxa"/>
            <w:left w:w="0" w:type="dxa"/>
            <w:bottom w:w="0" w:type="dxa"/>
            <w:right w:w="0" w:type="dxa"/>
          </w:tblCellMar>
        </w:tblPrEx>
        <w:trPr>
          <w:trHeight w:val="36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项目实施单位</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桂林医学院附属医院</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70"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项目性质</w:t>
            </w:r>
          </w:p>
        </w:tc>
        <w:tc>
          <w:tcPr>
            <w:tcW w:w="86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当年新增项目</w:t>
            </w:r>
          </w:p>
        </w:tc>
      </w:tr>
      <w:tr>
        <w:tblPrEx>
          <w:shd w:val="clear" w:color="auto" w:fill="auto"/>
          <w:tblCellMar>
            <w:top w:w="0" w:type="dxa"/>
            <w:left w:w="0" w:type="dxa"/>
            <w:bottom w:w="0" w:type="dxa"/>
            <w:right w:w="0" w:type="dxa"/>
          </w:tblCellMar>
        </w:tblPrEx>
        <w:trPr>
          <w:trHeight w:val="27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中央补助自治区本级项目</w:t>
            </w:r>
          </w:p>
        </w:tc>
      </w:tr>
      <w:tr>
        <w:tblPrEx>
          <w:shd w:val="clear" w:color="auto" w:fill="auto"/>
          <w:tblCellMar>
            <w:top w:w="0" w:type="dxa"/>
            <w:left w:w="0" w:type="dxa"/>
            <w:bottom w:w="0" w:type="dxa"/>
            <w:right w:w="0" w:type="dxa"/>
          </w:tblCellMar>
        </w:tblPrEx>
        <w:trPr>
          <w:trHeight w:val="240"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资金总额</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资金来源</w:t>
            </w:r>
          </w:p>
        </w:tc>
        <w:tc>
          <w:tcPr>
            <w:tcW w:w="5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金额（万元）</w:t>
            </w:r>
          </w:p>
        </w:tc>
      </w:tr>
      <w:tr>
        <w:tblPrEx>
          <w:tblCellMar>
            <w:top w:w="0" w:type="dxa"/>
            <w:left w:w="0" w:type="dxa"/>
            <w:bottom w:w="0" w:type="dxa"/>
            <w:right w:w="0" w:type="dxa"/>
          </w:tblCellMar>
        </w:tblPrEx>
        <w:trPr>
          <w:trHeight w:val="24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486.00 </w:t>
            </w:r>
          </w:p>
        </w:tc>
      </w:tr>
      <w:tr>
        <w:tblPrEx>
          <w:shd w:val="clear" w:color="auto" w:fill="auto"/>
          <w:tblCellMar>
            <w:top w:w="0" w:type="dxa"/>
            <w:left w:w="0" w:type="dxa"/>
            <w:bottom w:w="0" w:type="dxa"/>
            <w:right w:w="0" w:type="dxa"/>
          </w:tblCellMar>
        </w:tblPrEx>
        <w:trPr>
          <w:trHeight w:val="24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其中：一般公共预算拨款</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 中央</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486.00 </w:t>
            </w:r>
          </w:p>
        </w:tc>
      </w:tr>
      <w:tr>
        <w:tblPrEx>
          <w:shd w:val="clear" w:color="auto" w:fill="auto"/>
          <w:tblCellMar>
            <w:top w:w="0" w:type="dxa"/>
            <w:left w:w="0" w:type="dxa"/>
            <w:bottom w:w="0" w:type="dxa"/>
            <w:right w:w="0" w:type="dxa"/>
          </w:tblCellMar>
        </w:tblPrEx>
        <w:trPr>
          <w:trHeight w:val="24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自治区</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6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项目概况（包括项目立项依据、可行性和必要性、支持范围、实施内容等）</w:t>
            </w:r>
          </w:p>
        </w:tc>
        <w:tc>
          <w:tcPr>
            <w:tcW w:w="86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立项依据】国家卫生计生委、中央编办等7部委《关于建立住院医师规范化培训制度的指导意见》（国卫科教发〔2013〕56号）：“《中共中央国务院关于深化医药卫生体制改革的意见》（中发〔2009〕6号）和《国家中长期人才发展规划纲要（2010—2020年）》精神，培养和建设一支适应人民群众健康保障需要的临床医师队伍, 2015开始,各省（区、市）全面启动住院医师规范化培训工作;到2020年,基本建立住院医师规范化培训制度,所有新进医疗岗位的本科及以上学历临床医师均接受住院医师规范化培训。”《国务院关于印发“十三五”深化医药卫生体制改革规划的通知》（国发（2016）78号）、《“十三五”全国卫生计生人才发展规划》（国卫科教发（2017）8号）等文件。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可行性】高等院校医学类专业本科及以上学生，即临床医学类、口腔医学类、中医学类和中西医结合类学生，在5年医学院校毕业后，以住院医师身份接受的系统化、规范化培训。住院医师规范化培训属于毕业后教育，主要模式是“5+3”，即5年医学类专业本科教育后，进行3年住院医师规范化培训。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必要性】医学毕业生成长为合格的临床医师需要经过住院医师规范化培训等毕业后医学教育。建立住院医师规范化培训制度，是我国深化医药卫生体制改革和医学教育改革的重大举措，是保障和改善民生的务实之举，是建立符合行业特点的人才培养制度的有益探索和重要组成部分，也是我国医学教育赶超国际先进水平、逐步实现现代化的必然选择。</w:t>
            </w:r>
          </w:p>
        </w:tc>
      </w:tr>
      <w:tr>
        <w:tblPrEx>
          <w:shd w:val="clear" w:color="auto" w:fill="auto"/>
          <w:tblCellMar>
            <w:top w:w="0" w:type="dxa"/>
            <w:left w:w="0" w:type="dxa"/>
            <w:bottom w:w="0" w:type="dxa"/>
            <w:right w:w="0" w:type="dxa"/>
          </w:tblCellMar>
        </w:tblPrEx>
        <w:trPr>
          <w:trHeight w:val="27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项目起始时间</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项目终止时间</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w:t>
            </w:r>
          </w:p>
        </w:tc>
      </w:tr>
      <w:tr>
        <w:tblPrEx>
          <w:shd w:val="clear" w:color="auto" w:fill="auto"/>
          <w:tblCellMar>
            <w:top w:w="0" w:type="dxa"/>
            <w:left w:w="0" w:type="dxa"/>
            <w:bottom w:w="0" w:type="dxa"/>
            <w:right w:w="0" w:type="dxa"/>
          </w:tblCellMar>
        </w:tblPrEx>
        <w:trPr>
          <w:trHeight w:val="27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项目实施进度安排</w:t>
            </w:r>
          </w:p>
        </w:tc>
        <w:tc>
          <w:tcPr>
            <w:tcW w:w="86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2021年全年支出</w:t>
            </w:r>
          </w:p>
        </w:tc>
      </w:tr>
      <w:tr>
        <w:tblPrEx>
          <w:shd w:val="clear" w:color="auto" w:fill="auto"/>
          <w:tblCellMar>
            <w:top w:w="0" w:type="dxa"/>
            <w:left w:w="0" w:type="dxa"/>
            <w:bottom w:w="0" w:type="dxa"/>
            <w:right w:w="0" w:type="dxa"/>
          </w:tblCellMar>
        </w:tblPrEx>
        <w:trPr>
          <w:trHeight w:val="68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年度绩效目标</w:t>
            </w:r>
          </w:p>
        </w:tc>
        <w:tc>
          <w:tcPr>
            <w:tcW w:w="86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根据国家卫生健康委员会下达的任务指标，完成2021年住院医师规范化培训学员招收任务，促进卫生健康人才队伍建设的结构专业化。</w:t>
            </w:r>
          </w:p>
        </w:tc>
      </w:tr>
      <w:tr>
        <w:tblPrEx>
          <w:shd w:val="clear" w:color="auto" w:fill="auto"/>
          <w:tblCellMar>
            <w:top w:w="0" w:type="dxa"/>
            <w:left w:w="0" w:type="dxa"/>
            <w:bottom w:w="0" w:type="dxa"/>
            <w:right w:w="0" w:type="dxa"/>
          </w:tblCellMar>
        </w:tblPrEx>
        <w:trPr>
          <w:trHeight w:val="8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中期绩效目标（2021-2023年）</w:t>
            </w:r>
          </w:p>
        </w:tc>
        <w:tc>
          <w:tcPr>
            <w:tcW w:w="86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根据国家卫生健康委员会下达的任务指标，完成2021年住院医师规范化培训学员招收任务，促进卫生健康人才队伍建设的结构专业化。</w:t>
            </w:r>
          </w:p>
        </w:tc>
      </w:tr>
      <w:tr>
        <w:tblPrEx>
          <w:tblCellMar>
            <w:top w:w="0" w:type="dxa"/>
            <w:left w:w="0" w:type="dxa"/>
            <w:bottom w:w="0" w:type="dxa"/>
            <w:right w:w="0" w:type="dxa"/>
          </w:tblCellMar>
        </w:tblPrEx>
        <w:trPr>
          <w:trHeight w:val="270"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r>
              <w:rPr>
                <w:rStyle w:val="4"/>
                <w:lang w:val="en-US" w:eastAsia="zh-CN" w:bidi="ar"/>
              </w:rPr>
              <w:t>年度</w:t>
            </w:r>
            <w:r>
              <w:rPr>
                <w:rStyle w:val="5"/>
                <w:lang w:val="en-US" w:eastAsia="zh-CN" w:bidi="ar"/>
              </w:rPr>
              <w:t>绩效目标衡量指标</w:t>
            </w:r>
          </w:p>
        </w:tc>
        <w:tc>
          <w:tcPr>
            <w:tcW w:w="181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175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268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237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指标值</w:t>
            </w:r>
          </w:p>
        </w:tc>
      </w:tr>
      <w:tr>
        <w:tblPrEx>
          <w:shd w:val="clear" w:color="auto" w:fill="auto"/>
          <w:tblCellMar>
            <w:top w:w="0" w:type="dxa"/>
            <w:left w:w="0" w:type="dxa"/>
            <w:bottom w:w="0" w:type="dxa"/>
            <w:right w:w="0" w:type="dxa"/>
          </w:tblCellMar>
        </w:tblPrEx>
        <w:trPr>
          <w:trHeight w:val="27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产出数量</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招收学员个数</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r>
      <w:tr>
        <w:tblPrEx>
          <w:tblCellMar>
            <w:top w:w="0" w:type="dxa"/>
            <w:left w:w="0" w:type="dxa"/>
            <w:bottom w:w="0" w:type="dxa"/>
            <w:right w:w="0" w:type="dxa"/>
          </w:tblCellMar>
        </w:tblPrEx>
        <w:trPr>
          <w:trHeight w:val="27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产出质量</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招收学员完成率</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shd w:val="clear" w:color="auto" w:fill="auto"/>
          <w:tblCellMar>
            <w:top w:w="0" w:type="dxa"/>
            <w:left w:w="0" w:type="dxa"/>
            <w:bottom w:w="0" w:type="dxa"/>
            <w:right w:w="0" w:type="dxa"/>
          </w:tblCellMar>
        </w:tblPrEx>
        <w:trPr>
          <w:trHeight w:val="27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产出时效</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完成资金支出时间</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2021年12月31日前</w:t>
            </w:r>
          </w:p>
        </w:tc>
      </w:tr>
      <w:tr>
        <w:tblPrEx>
          <w:tblCellMar>
            <w:top w:w="0" w:type="dxa"/>
            <w:left w:w="0" w:type="dxa"/>
            <w:bottom w:w="0" w:type="dxa"/>
            <w:right w:w="0" w:type="dxa"/>
          </w:tblCellMar>
        </w:tblPrEx>
        <w:trPr>
          <w:trHeight w:val="27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产出成本</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支出金额</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486万元</w:t>
            </w:r>
          </w:p>
        </w:tc>
      </w:tr>
      <w:tr>
        <w:tblPrEx>
          <w:shd w:val="clear" w:color="auto" w:fill="auto"/>
          <w:tblCellMar>
            <w:top w:w="0" w:type="dxa"/>
            <w:left w:w="0" w:type="dxa"/>
            <w:bottom w:w="0" w:type="dxa"/>
            <w:right w:w="0" w:type="dxa"/>
          </w:tblCellMar>
        </w:tblPrEx>
        <w:trPr>
          <w:trHeight w:val="27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促进卫生健康人才队伍建设的结构专业化</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大于90%</w:t>
            </w:r>
          </w:p>
        </w:tc>
      </w:tr>
      <w:tr>
        <w:tblPrEx>
          <w:tblCellMar>
            <w:top w:w="0" w:type="dxa"/>
            <w:left w:w="0" w:type="dxa"/>
            <w:bottom w:w="0" w:type="dxa"/>
            <w:right w:w="0" w:type="dxa"/>
          </w:tblCellMar>
        </w:tblPrEx>
        <w:trPr>
          <w:trHeight w:val="27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促进地方卫生事业可持续发展</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大于90%</w:t>
            </w:r>
          </w:p>
        </w:tc>
      </w:tr>
      <w:tr>
        <w:tblPrEx>
          <w:shd w:val="clear" w:color="auto" w:fill="auto"/>
          <w:tblCellMar>
            <w:top w:w="0" w:type="dxa"/>
            <w:left w:w="0" w:type="dxa"/>
            <w:bottom w:w="0" w:type="dxa"/>
            <w:right w:w="0" w:type="dxa"/>
          </w:tblCellMar>
        </w:tblPrEx>
        <w:trPr>
          <w:trHeight w:val="27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学员满意度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大于90%</w:t>
            </w:r>
          </w:p>
        </w:tc>
      </w:tr>
    </w:tbl>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表9-2：医药卫生人才队伍建设专项资金</w:t>
      </w:r>
    </w:p>
    <w:tbl>
      <w:tblPr>
        <w:tblW w:w="10605" w:type="dxa"/>
        <w:jc w:val="center"/>
        <w:shd w:val="clear"/>
        <w:tblLayout w:type="autofit"/>
        <w:tblCellMar>
          <w:top w:w="0" w:type="dxa"/>
          <w:left w:w="0" w:type="dxa"/>
          <w:bottom w:w="0" w:type="dxa"/>
          <w:right w:w="0" w:type="dxa"/>
        </w:tblCellMar>
      </w:tblPr>
      <w:tblGrid>
        <w:gridCol w:w="1875"/>
        <w:gridCol w:w="1815"/>
        <w:gridCol w:w="2055"/>
        <w:gridCol w:w="2625"/>
        <w:gridCol w:w="2235"/>
      </w:tblGrid>
      <w:tr>
        <w:tblPrEx>
          <w:tblCellMar>
            <w:top w:w="0" w:type="dxa"/>
            <w:left w:w="0" w:type="dxa"/>
            <w:bottom w:w="0" w:type="dxa"/>
            <w:right w:w="0" w:type="dxa"/>
          </w:tblCellMar>
        </w:tblPrEx>
        <w:trPr>
          <w:trHeight w:val="820" w:hRule="atLeast"/>
          <w:jc w:val="center"/>
        </w:trPr>
        <w:tc>
          <w:tcPr>
            <w:tcW w:w="10605" w:type="dxa"/>
            <w:gridSpan w:val="5"/>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8"/>
                <w:szCs w:val="28"/>
                <w:u w:val="none"/>
              </w:rPr>
            </w:pPr>
            <w:r>
              <w:rPr>
                <w:rFonts w:hint="default" w:ascii="方正小标宋简体" w:hAnsi="方正小标宋简体" w:eastAsia="方正小标宋简体" w:cs="方正小标宋简体"/>
                <w:b/>
                <w:i w:val="0"/>
                <w:color w:val="000000"/>
                <w:kern w:val="0"/>
                <w:sz w:val="28"/>
                <w:szCs w:val="28"/>
                <w:u w:val="none"/>
                <w:bdr w:val="none" w:color="auto" w:sz="0" w:space="0"/>
                <w:lang w:val="en-US" w:eastAsia="zh-CN" w:bidi="ar"/>
              </w:rPr>
              <w:t>2021年度部门预算自治区本级项目支出绩效目标申报表</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38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医药卫生人才队伍建设专项资金</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项目编码</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404035xm18n0042</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项目实施单位</w:t>
            </w:r>
          </w:p>
        </w:tc>
        <w:tc>
          <w:tcPr>
            <w:tcW w:w="38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桂林医学院附属医院</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项目性质</w:t>
            </w:r>
          </w:p>
        </w:tc>
        <w:tc>
          <w:tcPr>
            <w:tcW w:w="873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当年新增项目</w:t>
            </w:r>
          </w:p>
        </w:tc>
      </w:tr>
      <w:tr>
        <w:tblPrEx>
          <w:tblCellMar>
            <w:top w:w="0" w:type="dxa"/>
            <w:left w:w="0" w:type="dxa"/>
            <w:bottom w:w="0" w:type="dxa"/>
            <w:right w:w="0" w:type="dxa"/>
          </w:tblCellMar>
        </w:tblPrEx>
        <w:trPr>
          <w:trHeight w:val="30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3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自治区本级项目</w:t>
            </w:r>
          </w:p>
        </w:tc>
      </w:tr>
      <w:tr>
        <w:tblPrEx>
          <w:shd w:val="clear"/>
          <w:tblCellMar>
            <w:top w:w="0" w:type="dxa"/>
            <w:left w:w="0" w:type="dxa"/>
            <w:bottom w:w="0" w:type="dxa"/>
            <w:right w:w="0"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资金来源</w:t>
            </w:r>
          </w:p>
        </w:tc>
        <w:tc>
          <w:tcPr>
            <w:tcW w:w="48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金额（万元）</w:t>
            </w: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472.00 </w:t>
            </w: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其中：一般公共预算拨款</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 中央</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自治区</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472.00 </w:t>
            </w: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政府性基金</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其他资金</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818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项目概况（包括项目立项依据、可行性和必要性、支持范围、实施内容等）</w:t>
            </w:r>
          </w:p>
        </w:tc>
        <w:tc>
          <w:tcPr>
            <w:tcW w:w="873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①《国务院关于印发卫生事业发展“十二五”规划的通知》（国发〔2012〕57号）：“加强高层次医药卫生人才队伍建设，分类制订医药卫生骨干人才推进计划。”《广西壮族自治区中长期人才发展规划纲要（2010—2020年）》：“以加强高层次和基层卫生人才队伍建设为重点，整体推进农村卫生、社区卫生、公共卫生、卫生监督、医疗服务、民族医药和卫生管理人才队伍建设。”《广西医药卫生人才中长期发展规划（2013-2020年）》：“以提升创新能力和技术水平为核心，实施三个梯次的高层次人才计划，加大高层次卫生人才引进力度，建立高层次骨干人才动态管理机制，建立临床诊疗和技能规范培训基地，造就一批掌握医学前沿技术，在国内享有较高知名度的医学专家和高技能专业技术骨干人才”，“实施医学高层次骨干人才‘139’计划：到2020年培养成15名在全国有较大影响力和较高知名度的医学学科领军人才，30名在学科领域有较高学术技术造诣的医学学科带头人，90名在学科领域具有发展潜能和培养前景的中青年医学学科骨干人。”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②《国务院关于印发医药卫生体制改革近期重点实施方案（2009-2011年）》（国发〔2009〕12号）、《卫生部关于印发城乡医院对口支援管理办法（试行）的通知》（卫医管发〔2009〕72号）提出的要求“每所城市三级医院要与3所左右县级医院建立长期对口协作关系”、“地方各级卫生行政部门要积极协调地方财政部门保障项目实施所需工作经费”。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③《关于建立住院医师规范化培训制度的指导意见》（国卫科教发〔2013〕56号）：“贯彻《中共中央国务院关于深化医药卫生体制改革的意见》（中发〔2009〕6号）和《国家中长期人才发展规划纲要（2010—2020年）》精神，培养和建设一支适应人民群众健康保障需要的临床医师队伍,到2020年,基本建立住院医师规范化培训制度,所有新进医疗岗位的本科及以上学历临床医师均接受住院医师规范化培训。”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④国家六部委（局）《关于印发加强儿童医疗卫生服务改革与发展意见的通知》（国卫医发〔2016〕21号）：“财政部门要切实落实财政投入相关政策，并向儿童医院和儿科、儿童康复工作适当倾斜。”自治区人民政府办公厅《广西医疗卫生服务体系规划（2016-2020年）》（桂政办发〔2016〕52号）。《广西医药卫生人才中长期发展规划（2013-2020年）》。《关于印发&lt;广西加强儿童医疗卫生服务改革与发展实施方案&gt;和&lt;广西儿科医师培养规划（2016-2020年）&gt;的通知》（桂卫发〔2016〕28号）。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⑤国家发改委等部门印发《关于印发开展农村订单定向医学生免费培养工作实施意见的通知》（发改社会[2010]1198号）：“开展免费医学生培养工作，重点为乡镇卫生院及以下的医疗卫生机构培养从事全科医疗的卫生人才”。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⑥《国家卫生健康委关于印发住院医师规范化培训管理办法（试行）的通知》（国卫科教发〔2014〕49 号）：“住院医师规范化培训以培育岗位胜任能力为核心....重点提高临床规范诊疗能力...”，通过以赛促进、考核促进学院临床技能诊疗能力的提高。</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项目起始时间</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w:t>
            </w:r>
          </w:p>
        </w:tc>
        <w:tc>
          <w:tcPr>
            <w:tcW w:w="46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项目终止时间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2023</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项目实施进度安排</w:t>
            </w:r>
          </w:p>
        </w:tc>
        <w:tc>
          <w:tcPr>
            <w:tcW w:w="873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2021年全年开展医学人才培养培训项目</w:t>
            </w:r>
          </w:p>
        </w:tc>
      </w:tr>
      <w:tr>
        <w:tblPrEx>
          <w:shd w:val="clear"/>
          <w:tblCellMar>
            <w:top w:w="0" w:type="dxa"/>
            <w:left w:w="0" w:type="dxa"/>
            <w:bottom w:w="0" w:type="dxa"/>
            <w:right w:w="0" w:type="dxa"/>
          </w:tblCellMar>
        </w:tblPrEx>
        <w:trPr>
          <w:trHeight w:val="252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年度绩效目标</w:t>
            </w:r>
          </w:p>
        </w:tc>
        <w:tc>
          <w:tcPr>
            <w:tcW w:w="873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①及时发放医学高层次骨干人才培养“139”计划专项经费；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②根据受援医院需求向每家受援医院派驻人员，以医疗为主，也可根据受援医院的条件和要求派驻管理人员、护理人员、医技人员等；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③根据国家卫生健康委下达的任务指标，完成住院医师规范化培训学员招收任务；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④按照国家下达的儿科住院医师规范化培训计划数招收学员，完成儿科医师转岗培训；每年从生源地为广西的临床医学专业四年级学生中引导名学生进入儿科学方向学习；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⑤及时发放农村订单定向毕业生参加全科住院医师规范化培训和助理全科医生规范化培训专项补助；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⑥按时参加全区住培技能竞赛并将经费及时支出。</w:t>
            </w:r>
          </w:p>
        </w:tc>
      </w:tr>
      <w:tr>
        <w:tblPrEx>
          <w:shd w:val="clear"/>
          <w:tblCellMar>
            <w:top w:w="0" w:type="dxa"/>
            <w:left w:w="0" w:type="dxa"/>
            <w:bottom w:w="0" w:type="dxa"/>
            <w:right w:w="0" w:type="dxa"/>
          </w:tblCellMar>
        </w:tblPrEx>
        <w:trPr>
          <w:trHeight w:val="27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中期绩效目标（2021-2023年）</w:t>
            </w:r>
          </w:p>
        </w:tc>
        <w:tc>
          <w:tcPr>
            <w:tcW w:w="873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①及时发放医学高层次骨干人才培养“139”计划专项经费；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②根据受援医院需求向每家受援医院派驻人员，以医疗为主，也可根据受援医院的条件和要求派驻管理人员、护理人员、医技人员等；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③根据国家卫生健康委下达的任务指标，完成住院医师规范化培训学员招收任务；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④按照国家下达的儿科住院医师规范化培训计划数招收学员，完成儿科医师转岗培训；每年从生源地为广西的临床医学专业四年级学生中引导名学生进入儿科学方向学习；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⑤及时发放农村订单定向毕业生参加全科住院医师规范化培训和助理全科医生规范化培训专项补助；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⑥按时参加全区住培技能竞赛并将经费及时支出。</w:t>
            </w:r>
          </w:p>
        </w:tc>
      </w:tr>
      <w:tr>
        <w:tblPrEx>
          <w:shd w:val="clear"/>
          <w:tblCellMar>
            <w:top w:w="0" w:type="dxa"/>
            <w:left w:w="0" w:type="dxa"/>
            <w:bottom w:w="0" w:type="dxa"/>
            <w:right w:w="0" w:type="dxa"/>
          </w:tblCellMar>
        </w:tblPrEx>
        <w:trPr>
          <w:trHeight w:val="30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r>
              <w:rPr>
                <w:rFonts w:hint="eastAsia" w:ascii="宋体" w:hAnsi="宋体" w:eastAsia="宋体" w:cs="宋体"/>
                <w:b/>
                <w:i w:val="0"/>
                <w:color w:val="000000"/>
                <w:kern w:val="0"/>
                <w:sz w:val="20"/>
                <w:szCs w:val="20"/>
                <w:u w:val="none"/>
                <w:bdr w:val="none" w:color="auto" w:sz="0" w:space="0"/>
                <w:lang w:val="en-US" w:eastAsia="zh-CN" w:bidi="ar"/>
              </w:rPr>
              <w:t>年度</w:t>
            </w:r>
            <w:r>
              <w:rPr>
                <w:rStyle w:val="7"/>
                <w:bdr w:val="none" w:color="auto" w:sz="0" w:space="0"/>
                <w:lang w:val="en-US" w:eastAsia="zh-CN" w:bidi="ar"/>
              </w:rPr>
              <w:t>绩效目标衡量指标</w:t>
            </w:r>
          </w:p>
        </w:tc>
        <w:tc>
          <w:tcPr>
            <w:tcW w:w="181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一级指标</w:t>
            </w:r>
          </w:p>
        </w:tc>
        <w:tc>
          <w:tcPr>
            <w:tcW w:w="205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二级指标</w:t>
            </w:r>
          </w:p>
        </w:tc>
        <w:tc>
          <w:tcPr>
            <w:tcW w:w="262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指标内容</w:t>
            </w:r>
          </w:p>
        </w:tc>
        <w:tc>
          <w:tcPr>
            <w:tcW w:w="223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指标值</w:t>
            </w:r>
          </w:p>
        </w:tc>
      </w:tr>
      <w:tr>
        <w:tblPrEx>
          <w:tblCellMar>
            <w:top w:w="0" w:type="dxa"/>
            <w:left w:w="0" w:type="dxa"/>
            <w:bottom w:w="0" w:type="dxa"/>
            <w:right w:w="0" w:type="dxa"/>
          </w:tblCellMar>
        </w:tblPrEx>
        <w:trPr>
          <w:trHeight w:val="50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产出数量</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支出项目数量 </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6项</w:t>
            </w:r>
          </w:p>
        </w:tc>
      </w:tr>
      <w:tr>
        <w:tblPrEx>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产出质量</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支出完成率</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≥96% </w:t>
            </w:r>
          </w:p>
        </w:tc>
      </w:tr>
      <w:tr>
        <w:tblPrEx>
          <w:shd w:val="clear"/>
          <w:tblCellMar>
            <w:top w:w="0" w:type="dxa"/>
            <w:left w:w="0" w:type="dxa"/>
            <w:bottom w:w="0" w:type="dxa"/>
            <w:right w:w="0" w:type="dxa"/>
          </w:tblCellMar>
        </w:tblPrEx>
        <w:trPr>
          <w:trHeight w:val="36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产出时效</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项目支出完成时间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2021年12月31日前</w:t>
            </w:r>
          </w:p>
        </w:tc>
      </w:tr>
      <w:tr>
        <w:tblPrEx>
          <w:shd w:val="clear"/>
          <w:tblCellMar>
            <w:top w:w="0" w:type="dxa"/>
            <w:left w:w="0" w:type="dxa"/>
            <w:bottom w:w="0" w:type="dxa"/>
            <w:right w:w="0" w:type="dxa"/>
          </w:tblCellMar>
        </w:tblPrEx>
        <w:trPr>
          <w:trHeight w:val="54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产出成本</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医药卫生人才队伍建设专项经费</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472万元</w:t>
            </w:r>
          </w:p>
        </w:tc>
      </w:tr>
      <w:tr>
        <w:tblPrEx>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效果指标</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项目实施是否对经济产生直接或间接的作用</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对本地经济产生推动作用</w:t>
            </w:r>
          </w:p>
        </w:tc>
      </w:tr>
      <w:tr>
        <w:tblPrEx>
          <w:tblCellMar>
            <w:top w:w="0" w:type="dxa"/>
            <w:left w:w="0" w:type="dxa"/>
            <w:bottom w:w="0" w:type="dxa"/>
            <w:right w:w="0" w:type="dxa"/>
          </w:tblCellMar>
        </w:tblPrEx>
        <w:trPr>
          <w:trHeight w:val="15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产生社会综合效益</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适应行业特点的医学人才培养制度更加健全，使用激励机制更加完善，医师队伍基本满足健康广西建设需求。</w:t>
            </w:r>
          </w:p>
        </w:tc>
      </w:tr>
      <w:tr>
        <w:tblPrEx>
          <w:shd w:val="clear"/>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参加人员满意度</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大于85%</w:t>
            </w:r>
          </w:p>
        </w:tc>
      </w:tr>
    </w:tbl>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表9-3：医药卫生体制改革补助资金</w:t>
      </w:r>
    </w:p>
    <w:tbl>
      <w:tblPr>
        <w:tblW w:w="10575" w:type="dxa"/>
        <w:jc w:val="center"/>
        <w:shd w:val="clear"/>
        <w:tblLayout w:type="autofit"/>
        <w:tblCellMar>
          <w:top w:w="0" w:type="dxa"/>
          <w:left w:w="0" w:type="dxa"/>
          <w:bottom w:w="0" w:type="dxa"/>
          <w:right w:w="0" w:type="dxa"/>
        </w:tblCellMar>
      </w:tblPr>
      <w:tblGrid>
        <w:gridCol w:w="1875"/>
        <w:gridCol w:w="1815"/>
        <w:gridCol w:w="1605"/>
        <w:gridCol w:w="3045"/>
        <w:gridCol w:w="2235"/>
      </w:tblGrid>
      <w:tr>
        <w:tblPrEx>
          <w:tblCellMar>
            <w:top w:w="0" w:type="dxa"/>
            <w:left w:w="0" w:type="dxa"/>
            <w:bottom w:w="0" w:type="dxa"/>
            <w:right w:w="0" w:type="dxa"/>
          </w:tblCellMar>
        </w:tblPrEx>
        <w:trPr>
          <w:trHeight w:val="439" w:hRule="atLeast"/>
          <w:jc w:val="center"/>
        </w:trPr>
        <w:tc>
          <w:tcPr>
            <w:tcW w:w="10575" w:type="dxa"/>
            <w:gridSpan w:val="5"/>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8"/>
                <w:szCs w:val="28"/>
                <w:u w:val="none"/>
              </w:rPr>
            </w:pPr>
            <w:r>
              <w:rPr>
                <w:rFonts w:hint="default" w:ascii="方正小标宋简体" w:hAnsi="方正小标宋简体" w:eastAsia="方正小标宋简体" w:cs="方正小标宋简体"/>
                <w:b/>
                <w:i w:val="0"/>
                <w:color w:val="000000"/>
                <w:kern w:val="0"/>
                <w:sz w:val="28"/>
                <w:szCs w:val="28"/>
                <w:u w:val="none"/>
                <w:bdr w:val="none" w:color="auto" w:sz="0" w:space="0"/>
                <w:lang w:val="en-US" w:eastAsia="zh-CN" w:bidi="ar"/>
              </w:rPr>
              <w:t>2021年度部门预算自治区本级项目支出绩效目标申报表</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3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医药卫生体制改革补助资金</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项目编码</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404035xm18n0039</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项目实施单位</w:t>
            </w:r>
          </w:p>
        </w:tc>
        <w:tc>
          <w:tcPr>
            <w:tcW w:w="3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桂林医学院附属医院</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30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项目性质</w:t>
            </w:r>
          </w:p>
        </w:tc>
        <w:tc>
          <w:tcPr>
            <w:tcW w:w="870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上年延续项目 </w:t>
            </w:r>
          </w:p>
        </w:tc>
      </w:tr>
      <w:tr>
        <w:tblPrEx>
          <w:shd w:val="clear"/>
          <w:tblCellMar>
            <w:top w:w="0" w:type="dxa"/>
            <w:left w:w="0" w:type="dxa"/>
            <w:bottom w:w="0" w:type="dxa"/>
            <w:right w:w="0" w:type="dxa"/>
          </w:tblCellMar>
        </w:tblPrEx>
        <w:trPr>
          <w:trHeight w:val="30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自治区本级项目</w:t>
            </w:r>
          </w:p>
        </w:tc>
      </w:tr>
      <w:tr>
        <w:tblPrEx>
          <w:shd w:val="clear"/>
          <w:tblCellMar>
            <w:top w:w="0" w:type="dxa"/>
            <w:left w:w="0" w:type="dxa"/>
            <w:bottom w:w="0" w:type="dxa"/>
            <w:right w:w="0"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资金来源</w:t>
            </w:r>
          </w:p>
        </w:tc>
        <w:tc>
          <w:tcPr>
            <w:tcW w:w="52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金额（万元）</w:t>
            </w: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1,012.55 </w:t>
            </w: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其中：一般公共预算拨款</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 中央</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自治区</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1,012.55 </w:t>
            </w: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政府性基金</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其他资金</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84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项目概况（包括项目立项依据、可行性和必要性、支持范围、实施内容等）</w:t>
            </w:r>
          </w:p>
        </w:tc>
        <w:tc>
          <w:tcPr>
            <w:tcW w:w="870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立项依据】党中央、国务院、自治区党委、自治区人民政府明确提出要求安排的项目。项目来源文件：《国务院办公厅关于城市公立医院综合改革试点的指导意见》（国办发〔2015〕38号）、《广西壮族自治区人民政府办公厅关于城市公立医院综合改革试点的实施意见》（桂政办发〔2016〕95号）。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可行性】根据《广西壮族自治区人民政府办公厅关于城市公立医院综合改革试点的实施意见》（桂政办发〔2016〕95号），区直公立医院取消药品加成，由此减少的合理收入，按照调整医疗服务价格补偿85％、财政专项补偿15％的原则进行补偿，财政补偿资金部分由自治区财政承担。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必要性】破除以药补医机制是公立医院综合改革的核心内容，所有公立医院推进医药分开，药品（中药饮片除外）按进货价销售，不得再实行加价销售。医院由此减少的合理收入，通过调整医疗服务价格和增加政府补助，以及医院加强成本核算、节约运行成本等多方共担。对公立医院取消药品加成进行补偿是落实政府对公立医院投入责任的体现。 </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项目起始时间</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w:t>
            </w:r>
          </w:p>
        </w:tc>
        <w:tc>
          <w:tcPr>
            <w:tcW w:w="4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项目终止时间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2023</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项目实施进度安排</w:t>
            </w:r>
          </w:p>
        </w:tc>
        <w:tc>
          <w:tcPr>
            <w:tcW w:w="870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按年度实施</w:t>
            </w:r>
          </w:p>
        </w:tc>
      </w:tr>
      <w:tr>
        <w:tblPrEx>
          <w:shd w:val="clear"/>
          <w:tblCellMar>
            <w:top w:w="0" w:type="dxa"/>
            <w:left w:w="0" w:type="dxa"/>
            <w:bottom w:w="0" w:type="dxa"/>
            <w:right w:w="0" w:type="dxa"/>
          </w:tblCellMar>
        </w:tblPrEx>
        <w:trPr>
          <w:trHeight w:val="717"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年度绩效目标</w:t>
            </w:r>
          </w:p>
        </w:tc>
        <w:tc>
          <w:tcPr>
            <w:tcW w:w="870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实行药品零差率销售，自治区财政按照药品加成收入15%的比例给予我院取消药品加成补偿经费1012.55万元。</w:t>
            </w:r>
          </w:p>
        </w:tc>
      </w:tr>
      <w:tr>
        <w:tblPrEx>
          <w:shd w:val="clear"/>
          <w:tblCellMar>
            <w:top w:w="0" w:type="dxa"/>
            <w:left w:w="0" w:type="dxa"/>
            <w:bottom w:w="0" w:type="dxa"/>
            <w:right w:w="0" w:type="dxa"/>
          </w:tblCellMar>
        </w:tblPrEx>
        <w:trPr>
          <w:trHeight w:val="747"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中期绩效目标（2021-2023年）</w:t>
            </w:r>
          </w:p>
        </w:tc>
        <w:tc>
          <w:tcPr>
            <w:tcW w:w="870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坚持公立医院公益性的基本定位，落实政府的领导责任、保障责任、管理责任、监督责任，充分发挥市场机制作用，建立维护公益性、调动积极性、保障可持续的运行新机制。</w:t>
            </w:r>
          </w:p>
        </w:tc>
      </w:tr>
      <w:tr>
        <w:tblPrEx>
          <w:shd w:val="clear"/>
          <w:tblCellMar>
            <w:top w:w="0" w:type="dxa"/>
            <w:left w:w="0" w:type="dxa"/>
            <w:bottom w:w="0" w:type="dxa"/>
            <w:right w:w="0" w:type="dxa"/>
          </w:tblCellMar>
        </w:tblPrEx>
        <w:trPr>
          <w:trHeight w:val="30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r>
              <w:rPr>
                <w:rStyle w:val="8"/>
                <w:bdr w:val="none" w:color="auto" w:sz="0" w:space="0"/>
                <w:lang w:val="en-US" w:eastAsia="zh-CN" w:bidi="ar"/>
              </w:rPr>
              <w:t>年度</w:t>
            </w:r>
            <w:r>
              <w:rPr>
                <w:rFonts w:hint="eastAsia" w:ascii="宋体" w:hAnsi="宋体" w:eastAsia="宋体" w:cs="宋体"/>
                <w:i w:val="0"/>
                <w:color w:val="000000"/>
                <w:kern w:val="0"/>
                <w:sz w:val="20"/>
                <w:szCs w:val="20"/>
                <w:u w:val="none"/>
                <w:bdr w:val="none" w:color="auto" w:sz="0" w:space="0"/>
                <w:lang w:val="en-US" w:eastAsia="zh-CN" w:bidi="ar"/>
              </w:rPr>
              <w:t>绩效目标衡量指标</w:t>
            </w:r>
          </w:p>
        </w:tc>
        <w:tc>
          <w:tcPr>
            <w:tcW w:w="181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一级指标</w:t>
            </w:r>
          </w:p>
        </w:tc>
        <w:tc>
          <w:tcPr>
            <w:tcW w:w="160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二级指标</w:t>
            </w:r>
          </w:p>
        </w:tc>
        <w:tc>
          <w:tcPr>
            <w:tcW w:w="304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指标内容</w:t>
            </w:r>
          </w:p>
        </w:tc>
        <w:tc>
          <w:tcPr>
            <w:tcW w:w="223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指标值</w:t>
            </w:r>
          </w:p>
        </w:tc>
      </w:tr>
      <w:tr>
        <w:tblPrEx>
          <w:shd w:val="clear"/>
          <w:tblCellMar>
            <w:top w:w="0" w:type="dxa"/>
            <w:left w:w="0" w:type="dxa"/>
            <w:bottom w:w="0" w:type="dxa"/>
            <w:right w:w="0" w:type="dxa"/>
          </w:tblCellMar>
        </w:tblPrEx>
        <w:trPr>
          <w:trHeight w:val="46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产出数量</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取消药品加成项目数</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1个</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产出质量</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取消药品加成补偿经费的比例</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药品加成收入15%的比例</w:t>
            </w:r>
          </w:p>
        </w:tc>
      </w:tr>
      <w:tr>
        <w:tblPrEx>
          <w:shd w:val="clear"/>
          <w:tblCellMar>
            <w:top w:w="0" w:type="dxa"/>
            <w:left w:w="0" w:type="dxa"/>
            <w:bottom w:w="0" w:type="dxa"/>
            <w:right w:w="0" w:type="dxa"/>
          </w:tblCellMar>
        </w:tblPrEx>
        <w:trPr>
          <w:trHeight w:val="42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产出时效</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取得补偿的时间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产出成本</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补偿金额</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1012.55万元</w:t>
            </w:r>
          </w:p>
        </w:tc>
      </w:tr>
      <w:tr>
        <w:tblPrEx>
          <w:shd w:val="clear"/>
          <w:tblCellMar>
            <w:top w:w="0" w:type="dxa"/>
            <w:left w:w="0" w:type="dxa"/>
            <w:bottom w:w="0" w:type="dxa"/>
            <w:right w:w="0" w:type="dxa"/>
          </w:tblCellMar>
        </w:tblPrEx>
        <w:trPr>
          <w:trHeight w:val="928"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效果指标</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公立医院医疗服务收入（不含药品、耗材、检查、化验收入）占公立医院医疗收入的比例（%）</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较上年提高或高于上年全国平均值</w:t>
            </w:r>
          </w:p>
        </w:tc>
      </w:tr>
      <w:tr>
        <w:tblPrEx>
          <w:shd w:val="clear"/>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平均住院日</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较上年降低或低于上年全国平均值</w:t>
            </w:r>
          </w:p>
        </w:tc>
      </w:tr>
      <w:tr>
        <w:tblPrEx>
          <w:shd w:val="clear"/>
          <w:tblCellMar>
            <w:top w:w="0" w:type="dxa"/>
            <w:left w:w="0" w:type="dxa"/>
            <w:bottom w:w="0" w:type="dxa"/>
            <w:right w:w="0" w:type="dxa"/>
          </w:tblCellMar>
        </w:tblPrEx>
        <w:trPr>
          <w:trHeight w:val="42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3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患者满意度</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大于80%</w:t>
            </w:r>
          </w:p>
        </w:tc>
      </w:tr>
    </w:tbl>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表9-4：设备及软件购置经费</w:t>
      </w:r>
    </w:p>
    <w:tbl>
      <w:tblPr>
        <w:tblW w:w="10050" w:type="dxa"/>
        <w:jc w:val="center"/>
        <w:shd w:val="clear"/>
        <w:tblLayout w:type="autofit"/>
        <w:tblCellMar>
          <w:top w:w="0" w:type="dxa"/>
          <w:left w:w="0" w:type="dxa"/>
          <w:bottom w:w="0" w:type="dxa"/>
          <w:right w:w="0" w:type="dxa"/>
        </w:tblCellMar>
      </w:tblPr>
      <w:tblGrid>
        <w:gridCol w:w="1875"/>
        <w:gridCol w:w="1815"/>
        <w:gridCol w:w="1800"/>
        <w:gridCol w:w="2325"/>
        <w:gridCol w:w="2235"/>
      </w:tblGrid>
      <w:tr>
        <w:tblPrEx>
          <w:tblCellMar>
            <w:top w:w="0" w:type="dxa"/>
            <w:left w:w="0" w:type="dxa"/>
            <w:bottom w:w="0" w:type="dxa"/>
            <w:right w:w="0" w:type="dxa"/>
          </w:tblCellMar>
        </w:tblPrEx>
        <w:trPr>
          <w:trHeight w:val="375" w:hRule="atLeast"/>
          <w:jc w:val="center"/>
        </w:trPr>
        <w:tc>
          <w:tcPr>
            <w:tcW w:w="10050" w:type="dxa"/>
            <w:gridSpan w:val="5"/>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8"/>
                <w:szCs w:val="28"/>
                <w:u w:val="none"/>
              </w:rPr>
            </w:pPr>
            <w:r>
              <w:rPr>
                <w:rFonts w:hint="default" w:ascii="方正小标宋简体" w:hAnsi="方正小标宋简体" w:eastAsia="方正小标宋简体" w:cs="方正小标宋简体"/>
                <w:b/>
                <w:i w:val="0"/>
                <w:color w:val="000000"/>
                <w:kern w:val="0"/>
                <w:sz w:val="28"/>
                <w:szCs w:val="28"/>
                <w:u w:val="none"/>
                <w:bdr w:val="none" w:color="auto" w:sz="0" w:space="0"/>
                <w:lang w:val="en-US" w:eastAsia="zh-CN" w:bidi="ar"/>
              </w:rPr>
              <w:t>2021年度部门预算自治区本级项目支出绩效目标申报表</w:t>
            </w:r>
          </w:p>
        </w:tc>
      </w:tr>
      <w:tr>
        <w:tblPrEx>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3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设备及软件购置经费</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项目编码</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404035xm10n0006</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项目实施单位</w:t>
            </w:r>
          </w:p>
        </w:tc>
        <w:tc>
          <w:tcPr>
            <w:tcW w:w="3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桂林医学院附属医院</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项目性质</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当年新增项目</w:t>
            </w:r>
          </w:p>
        </w:tc>
      </w:tr>
      <w:tr>
        <w:tblPrEx>
          <w:shd w:val="clear"/>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自治区本级项目</w:t>
            </w:r>
          </w:p>
        </w:tc>
      </w:tr>
      <w:tr>
        <w:tblPrEx>
          <w:shd w:val="clear"/>
          <w:tblCellMar>
            <w:top w:w="0" w:type="dxa"/>
            <w:left w:w="0" w:type="dxa"/>
            <w:bottom w:w="0" w:type="dxa"/>
            <w:right w:w="0"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资金来源</w:t>
            </w:r>
          </w:p>
        </w:tc>
        <w:tc>
          <w:tcPr>
            <w:tcW w:w="45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金额（万元）</w:t>
            </w: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43,457.95 </w:t>
            </w: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其中：一般公共预算拨款</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 中央</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自治区</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政府性基金</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其他资金</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43,457.95 </w:t>
            </w:r>
          </w:p>
        </w:tc>
      </w:tr>
      <w:tr>
        <w:tblPrEx>
          <w:tblCellMar>
            <w:top w:w="0" w:type="dxa"/>
            <w:left w:w="0" w:type="dxa"/>
            <w:bottom w:w="0" w:type="dxa"/>
            <w:right w:w="0" w:type="dxa"/>
          </w:tblCellMar>
        </w:tblPrEx>
        <w:trPr>
          <w:trHeight w:val="96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项目概况（包括项目立项依据、可行性和必要性、支持范围、实施内容等）</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卫医管发〔2010〕20号《关于公立医院改革试点的指导意见》第十条“改革公立医院补偿机制”中提到“加大政府投入。政府负责公立医院基本建设和大型设备购置、重点学科发展、符合国家规定的离退休人员费用和政策性亏损补贴等，对公立医院承担的公共卫生任务给予专项补助，保障政府指定的紧急救治、救灾、援外、支农、支边和支援社区等公共服务经费。” 我院作为桂北地区最大最好的综合性医院。尽管医院经济条件不宽松，资金短缺，但必须想办法搞好各种项目建设。医院今年需要更新购买新设备及更新维修应用软件一批，以提高医院诊治工作的水平，进一步满足人民群众对医疗卫生市场的需求，同时也满足医院教学的需要。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项目起始时间</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w:t>
            </w:r>
          </w:p>
        </w:tc>
        <w:tc>
          <w:tcPr>
            <w:tcW w:w="412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项目终止时间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2023</w:t>
            </w:r>
          </w:p>
        </w:tc>
      </w:tr>
      <w:tr>
        <w:tblPrEx>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项目实施进度安排</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全年按采购计划购买</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年度绩效目标</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提高诊疗、科研技术水平，促进相关学科发展；缓解病人候诊时间长、病人流失等问题；服务于患者检查治疗需要</w:t>
            </w:r>
          </w:p>
        </w:tc>
      </w:tr>
      <w:tr>
        <w:tblPrEx>
          <w:shd w:val="clear"/>
          <w:tblCellMar>
            <w:top w:w="0" w:type="dxa"/>
            <w:left w:w="0" w:type="dxa"/>
            <w:bottom w:w="0" w:type="dxa"/>
            <w:right w:w="0" w:type="dxa"/>
          </w:tblCellMar>
        </w:tblPrEx>
        <w:trPr>
          <w:trHeight w:val="48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中期绩效目标（2021-2023年）</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通过购买新的医疗设备，提高医院诊断治疗水平，满足广大病友的治疗需求，促进广西医疗卫生事业发展。</w:t>
            </w:r>
          </w:p>
        </w:tc>
      </w:tr>
      <w:tr>
        <w:tblPrEx>
          <w:shd w:val="clear"/>
          <w:tblCellMar>
            <w:top w:w="0" w:type="dxa"/>
            <w:left w:w="0" w:type="dxa"/>
            <w:bottom w:w="0" w:type="dxa"/>
            <w:right w:w="0" w:type="dxa"/>
          </w:tblCellMar>
        </w:tblPrEx>
        <w:trPr>
          <w:trHeight w:val="27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r>
              <w:rPr>
                <w:rFonts w:hint="eastAsia" w:ascii="宋体" w:hAnsi="宋体" w:eastAsia="宋体" w:cs="宋体"/>
                <w:b/>
                <w:i w:val="0"/>
                <w:color w:val="000000"/>
                <w:kern w:val="0"/>
                <w:sz w:val="20"/>
                <w:szCs w:val="20"/>
                <w:u w:val="none"/>
                <w:bdr w:val="none" w:color="auto" w:sz="0" w:space="0"/>
                <w:lang w:val="en-US" w:eastAsia="zh-CN" w:bidi="ar"/>
              </w:rPr>
              <w:t>年度</w:t>
            </w:r>
            <w:r>
              <w:rPr>
                <w:rStyle w:val="6"/>
                <w:bdr w:val="none" w:color="auto" w:sz="0" w:space="0"/>
                <w:lang w:val="en-US" w:eastAsia="zh-CN" w:bidi="ar"/>
              </w:rPr>
              <w:t>绩效目标衡量指标</w:t>
            </w:r>
          </w:p>
        </w:tc>
        <w:tc>
          <w:tcPr>
            <w:tcW w:w="181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一级指标</w:t>
            </w:r>
          </w:p>
        </w:tc>
        <w:tc>
          <w:tcPr>
            <w:tcW w:w="1800"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二级指标</w:t>
            </w:r>
          </w:p>
        </w:tc>
        <w:tc>
          <w:tcPr>
            <w:tcW w:w="232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指标内容</w:t>
            </w:r>
          </w:p>
        </w:tc>
        <w:tc>
          <w:tcPr>
            <w:tcW w:w="223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指标值</w:t>
            </w:r>
          </w:p>
        </w:tc>
      </w:tr>
      <w:tr>
        <w:tblPrEx>
          <w:shd w:val="clear"/>
          <w:tblCellMar>
            <w:top w:w="0" w:type="dxa"/>
            <w:left w:w="0" w:type="dxa"/>
            <w:bottom w:w="0" w:type="dxa"/>
            <w:right w:w="0" w:type="dxa"/>
          </w:tblCellMar>
        </w:tblPrEx>
        <w:trPr>
          <w:trHeight w:val="72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产出数量</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购买设备及软件的类别</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分一般设备购置、信息设备购置、信息软件购置、医疗专用设备购置4类</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产出质量</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保证医院正常开展日常诊治工作的需要</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大于95%</w:t>
            </w:r>
          </w:p>
        </w:tc>
      </w:tr>
      <w:tr>
        <w:tblPrEx>
          <w:shd w:val="clear"/>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产出时效</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购买完成时间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2021年全年</w:t>
            </w:r>
          </w:p>
        </w:tc>
      </w:tr>
      <w:tr>
        <w:tblPrEx>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产出成本</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购买设备及软件产生的费用</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43,457.95万元</w:t>
            </w:r>
          </w:p>
        </w:tc>
      </w:tr>
      <w:tr>
        <w:tblPrEx>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效果指标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完成医院年度经济任务</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大于95%</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满足人民群众对医疗卫生市场的需求</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大于95%</w:t>
            </w:r>
          </w:p>
        </w:tc>
      </w:tr>
      <w:tr>
        <w:tblPrEx>
          <w:shd w:val="clear"/>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服务对象或项目受益人满意程度</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大于90%</w:t>
            </w:r>
          </w:p>
        </w:tc>
      </w:tr>
    </w:tbl>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表9-5：药品、卫生材料购置经费</w:t>
      </w:r>
    </w:p>
    <w:tbl>
      <w:tblPr>
        <w:tblW w:w="10050" w:type="dxa"/>
        <w:jc w:val="center"/>
        <w:shd w:val="clear"/>
        <w:tblLayout w:type="autofit"/>
        <w:tblCellMar>
          <w:top w:w="0" w:type="dxa"/>
          <w:left w:w="0" w:type="dxa"/>
          <w:bottom w:w="0" w:type="dxa"/>
          <w:right w:w="0" w:type="dxa"/>
        </w:tblCellMar>
      </w:tblPr>
      <w:tblGrid>
        <w:gridCol w:w="1875"/>
        <w:gridCol w:w="1815"/>
        <w:gridCol w:w="1800"/>
        <w:gridCol w:w="2325"/>
        <w:gridCol w:w="2235"/>
      </w:tblGrid>
      <w:tr>
        <w:tblPrEx>
          <w:tblCellMar>
            <w:top w:w="0" w:type="dxa"/>
            <w:left w:w="0" w:type="dxa"/>
            <w:bottom w:w="0" w:type="dxa"/>
            <w:right w:w="0" w:type="dxa"/>
          </w:tblCellMar>
        </w:tblPrEx>
        <w:trPr>
          <w:trHeight w:val="439" w:hRule="atLeast"/>
          <w:jc w:val="center"/>
        </w:trPr>
        <w:tc>
          <w:tcPr>
            <w:tcW w:w="10050" w:type="dxa"/>
            <w:gridSpan w:val="5"/>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8"/>
                <w:szCs w:val="28"/>
                <w:u w:val="none"/>
              </w:rPr>
            </w:pPr>
            <w:r>
              <w:rPr>
                <w:rFonts w:hint="default" w:ascii="方正小标宋简体" w:hAnsi="方正小标宋简体" w:eastAsia="方正小标宋简体" w:cs="方正小标宋简体"/>
                <w:b/>
                <w:i w:val="0"/>
                <w:color w:val="000000"/>
                <w:kern w:val="0"/>
                <w:sz w:val="28"/>
                <w:szCs w:val="28"/>
                <w:u w:val="none"/>
                <w:bdr w:val="none" w:color="auto" w:sz="0" w:space="0"/>
                <w:lang w:val="en-US" w:eastAsia="zh-CN" w:bidi="ar"/>
              </w:rPr>
              <w:t>2021年度部门预算自治区本级项目支出绩效目标申报表</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3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药品、卫生材料购置经费</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项目编码</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404035xm12n0001</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项目实施单位</w:t>
            </w:r>
          </w:p>
        </w:tc>
        <w:tc>
          <w:tcPr>
            <w:tcW w:w="3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桂林医学院附属医院</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30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项目性质</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当年新增项目</w:t>
            </w:r>
          </w:p>
        </w:tc>
      </w:tr>
      <w:tr>
        <w:tblPrEx>
          <w:shd w:val="clear"/>
          <w:tblCellMar>
            <w:top w:w="0" w:type="dxa"/>
            <w:left w:w="0" w:type="dxa"/>
            <w:bottom w:w="0" w:type="dxa"/>
            <w:right w:w="0" w:type="dxa"/>
          </w:tblCellMar>
        </w:tblPrEx>
        <w:trPr>
          <w:trHeight w:val="30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自治区本级项目</w:t>
            </w:r>
          </w:p>
        </w:tc>
      </w:tr>
      <w:tr>
        <w:tblPrEx>
          <w:shd w:val="clear"/>
          <w:tblCellMar>
            <w:top w:w="0" w:type="dxa"/>
            <w:left w:w="0" w:type="dxa"/>
            <w:bottom w:w="0" w:type="dxa"/>
            <w:right w:w="0"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资金来源</w:t>
            </w:r>
          </w:p>
        </w:tc>
        <w:tc>
          <w:tcPr>
            <w:tcW w:w="45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金额（万元）</w:t>
            </w: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92,462.45 </w:t>
            </w: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其中：一般公共预算拨款</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 中央</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自治区</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政府性基金</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其他资金</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92,462.45 </w:t>
            </w:r>
          </w:p>
        </w:tc>
      </w:tr>
      <w:tr>
        <w:tblPrEx>
          <w:shd w:val="clear"/>
          <w:tblCellMar>
            <w:top w:w="0" w:type="dxa"/>
            <w:left w:w="0" w:type="dxa"/>
            <w:bottom w:w="0" w:type="dxa"/>
            <w:right w:w="0" w:type="dxa"/>
          </w:tblCellMar>
        </w:tblPrEx>
        <w:trPr>
          <w:trHeight w:val="102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项目概况（包括项目立项依据、可行性和必要性、支持范围、实施内容等）</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为维持医院正常运转，满足病人用药治疗需要，医院开展业务需要的药品、卫生材料、其他材料、低值易耗品的购置开支。药品及卫生材料、化学试剂等医疗卫生材料是维持医院正常运转所必须要购买的。</w:t>
            </w:r>
          </w:p>
        </w:tc>
      </w:tr>
      <w:tr>
        <w:tblPrEx>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项目起始时间</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w:t>
            </w:r>
          </w:p>
        </w:tc>
        <w:tc>
          <w:tcPr>
            <w:tcW w:w="412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项目终止时间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2023</w:t>
            </w:r>
          </w:p>
        </w:tc>
      </w:tr>
      <w:tr>
        <w:tblPrEx>
          <w:shd w:val="clear"/>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项目实施进度安排</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全年按科室需求进度购买</w:t>
            </w:r>
          </w:p>
        </w:tc>
      </w:tr>
      <w:tr>
        <w:tblPrEx>
          <w:tblCellMar>
            <w:top w:w="0" w:type="dxa"/>
            <w:left w:w="0" w:type="dxa"/>
            <w:bottom w:w="0" w:type="dxa"/>
            <w:right w:w="0" w:type="dxa"/>
          </w:tblCellMar>
        </w:tblPrEx>
        <w:trPr>
          <w:trHeight w:val="30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年度绩效目标</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维持医院正常运转，保证医院2021年度预计门诊量210万人次及住院9万人次的用药需要，为群众提供安全、有效、价廉的医疗卫生服务。</w:t>
            </w:r>
          </w:p>
        </w:tc>
      </w:tr>
      <w:tr>
        <w:tblPrEx>
          <w:tblCellMar>
            <w:top w:w="0" w:type="dxa"/>
            <w:left w:w="0" w:type="dxa"/>
            <w:bottom w:w="0" w:type="dxa"/>
            <w:right w:w="0" w:type="dxa"/>
          </w:tblCellMar>
        </w:tblPrEx>
        <w:trPr>
          <w:trHeight w:val="54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中期绩效目标（2021-2023年）</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提高医院社会效益和经济效益，实现医院的全面发展、协调发展和可持续发展。</w:t>
            </w:r>
          </w:p>
        </w:tc>
      </w:tr>
      <w:tr>
        <w:tblPrEx>
          <w:shd w:val="clear"/>
          <w:tblCellMar>
            <w:top w:w="0" w:type="dxa"/>
            <w:left w:w="0" w:type="dxa"/>
            <w:bottom w:w="0" w:type="dxa"/>
            <w:right w:w="0" w:type="dxa"/>
          </w:tblCellMar>
        </w:tblPrEx>
        <w:trPr>
          <w:trHeight w:val="30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r>
              <w:rPr>
                <w:rStyle w:val="9"/>
                <w:bdr w:val="none" w:color="auto" w:sz="0" w:space="0"/>
                <w:lang w:val="en-US" w:eastAsia="zh-CN" w:bidi="ar"/>
              </w:rPr>
              <w:t>年度</w:t>
            </w:r>
            <w:r>
              <w:rPr>
                <w:rStyle w:val="10"/>
                <w:bdr w:val="none" w:color="auto" w:sz="0" w:space="0"/>
                <w:lang w:val="en-US" w:eastAsia="zh-CN" w:bidi="ar"/>
              </w:rPr>
              <w:t>绩效目标衡量指标</w:t>
            </w:r>
          </w:p>
        </w:tc>
        <w:tc>
          <w:tcPr>
            <w:tcW w:w="181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一级指标</w:t>
            </w:r>
          </w:p>
        </w:tc>
        <w:tc>
          <w:tcPr>
            <w:tcW w:w="1800"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二级指标</w:t>
            </w:r>
          </w:p>
        </w:tc>
        <w:tc>
          <w:tcPr>
            <w:tcW w:w="232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指标内容</w:t>
            </w:r>
          </w:p>
        </w:tc>
        <w:tc>
          <w:tcPr>
            <w:tcW w:w="223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指标值</w:t>
            </w:r>
          </w:p>
        </w:tc>
      </w:tr>
      <w:tr>
        <w:tblPrEx>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产出数量</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门急诊人次、住院人次</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210万、9万</w:t>
            </w:r>
          </w:p>
        </w:tc>
      </w:tr>
      <w:tr>
        <w:tblPrEx>
          <w:shd w:val="clear"/>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产出质量</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满足医院开展业务需要的药品及材料开支</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r>
      <w:tr>
        <w:tblPrEx>
          <w:shd w:val="clear"/>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产出时效</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预计购买时间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w:t>
            </w:r>
          </w:p>
        </w:tc>
      </w:tr>
      <w:tr>
        <w:tblPrEx>
          <w:shd w:val="clear"/>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产出成本</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购买药品及耗材的开支</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92,462.45万元</w:t>
            </w:r>
          </w:p>
        </w:tc>
      </w:tr>
      <w:tr>
        <w:tblPrEx>
          <w:shd w:val="clear"/>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效果指标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为群众提供安全有效廉价的医疗卫生服务</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大于95%</w:t>
            </w:r>
          </w:p>
        </w:tc>
      </w:tr>
      <w:tr>
        <w:tblPrEx>
          <w:shd w:val="clear"/>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5"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满足患者用药需求</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w:t>
            </w:r>
          </w:p>
        </w:tc>
      </w:tr>
    </w:tbl>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表9-6：医院整体搬迁项目</w:t>
      </w:r>
    </w:p>
    <w:tbl>
      <w:tblPr>
        <w:tblW w:w="10050" w:type="dxa"/>
        <w:jc w:val="center"/>
        <w:shd w:val="clear"/>
        <w:tblLayout w:type="autofit"/>
        <w:tblCellMar>
          <w:top w:w="0" w:type="dxa"/>
          <w:left w:w="0" w:type="dxa"/>
          <w:bottom w:w="0" w:type="dxa"/>
          <w:right w:w="0" w:type="dxa"/>
        </w:tblCellMar>
      </w:tblPr>
      <w:tblGrid>
        <w:gridCol w:w="1875"/>
        <w:gridCol w:w="1815"/>
        <w:gridCol w:w="1800"/>
        <w:gridCol w:w="2325"/>
        <w:gridCol w:w="2235"/>
      </w:tblGrid>
      <w:tr>
        <w:tblPrEx>
          <w:tblCellMar>
            <w:top w:w="0" w:type="dxa"/>
            <w:left w:w="0" w:type="dxa"/>
            <w:bottom w:w="0" w:type="dxa"/>
            <w:right w:w="0" w:type="dxa"/>
          </w:tblCellMar>
        </w:tblPrEx>
        <w:trPr>
          <w:trHeight w:val="375" w:hRule="atLeast"/>
          <w:jc w:val="center"/>
        </w:trPr>
        <w:tc>
          <w:tcPr>
            <w:tcW w:w="10050" w:type="dxa"/>
            <w:gridSpan w:val="5"/>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8"/>
                <w:szCs w:val="28"/>
                <w:u w:val="none"/>
              </w:rPr>
            </w:pPr>
            <w:r>
              <w:rPr>
                <w:rFonts w:hint="default" w:ascii="方正小标宋简体" w:hAnsi="方正小标宋简体" w:eastAsia="方正小标宋简体" w:cs="方正小标宋简体"/>
                <w:b/>
                <w:i w:val="0"/>
                <w:color w:val="000000"/>
                <w:kern w:val="0"/>
                <w:sz w:val="28"/>
                <w:szCs w:val="28"/>
                <w:u w:val="none"/>
                <w:bdr w:val="none" w:color="auto" w:sz="0" w:space="0"/>
                <w:lang w:val="en-US" w:eastAsia="zh-CN" w:bidi="ar"/>
              </w:rPr>
              <w:t>2021年度部门预算自治区本级项目支出绩效目标申报表</w:t>
            </w:r>
          </w:p>
        </w:tc>
      </w:tr>
      <w:tr>
        <w:tblPrEx>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3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医院整体搬迁项目</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项目编码</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404035xm21n0049</w:t>
            </w:r>
          </w:p>
        </w:tc>
      </w:tr>
      <w:tr>
        <w:tblPrEx>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项目实施单位</w:t>
            </w:r>
          </w:p>
        </w:tc>
        <w:tc>
          <w:tcPr>
            <w:tcW w:w="3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待定</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27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项目性质</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上年延续项目 </w:t>
            </w:r>
          </w:p>
        </w:tc>
      </w:tr>
      <w:tr>
        <w:tblPrEx>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自治区本级项目</w:t>
            </w:r>
          </w:p>
        </w:tc>
      </w:tr>
      <w:tr>
        <w:tblPrEx>
          <w:shd w:val="clear"/>
          <w:tblCellMar>
            <w:top w:w="0" w:type="dxa"/>
            <w:left w:w="0" w:type="dxa"/>
            <w:bottom w:w="0" w:type="dxa"/>
            <w:right w:w="0"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资金来源</w:t>
            </w:r>
          </w:p>
        </w:tc>
        <w:tc>
          <w:tcPr>
            <w:tcW w:w="45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金额（万元）</w:t>
            </w: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46,200.00 </w:t>
            </w: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其中：一般公共预算拨款</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 中央</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自治区</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政府性基金</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其他资金</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46,200.00 </w:t>
            </w:r>
          </w:p>
        </w:tc>
      </w:tr>
      <w:tr>
        <w:tblPrEx>
          <w:shd w:val="clear"/>
          <w:tblCellMar>
            <w:top w:w="0" w:type="dxa"/>
            <w:left w:w="0" w:type="dxa"/>
            <w:bottom w:w="0" w:type="dxa"/>
            <w:right w:w="0" w:type="dxa"/>
          </w:tblCellMar>
        </w:tblPrEx>
        <w:trPr>
          <w:trHeight w:val="96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项目概况（包括项目立项依据、可行性和必要性、支持范围、实施内容等）</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院整体搬迁项目是保障桂林国际旅游胜地建设的需要，是优化桂林医疗机构布局，加强高新七星区医疗力量的需要，项目建设有利于桂林医学院附属医院突破发展瓶颈，是响应国家产教融合工程的需要，满足《桂林市总体规划（2010-2020年）》《桂林市医疗机构设置规划》（2016-2020年）《桂林市卫生和计划生育事业发展“十一五”规划》《广西医疗卫生服务体系规划（2016-2020年）》的要求。</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项目起始时间</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w:t>
            </w:r>
          </w:p>
        </w:tc>
        <w:tc>
          <w:tcPr>
            <w:tcW w:w="412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项目终止时间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2023</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项目实施进度安排</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整体搬迁项目总体建设期为6年</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年度绩效目标</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医院现有用地和建筑面积远远达不到《综合医院建设标准》的要求，缺乏扩展空间。医院门诊楼不满足现行抗震规范的需要，由于患者日益增多，现有门诊楼不能满足人员流动荷载，交通拥堵直接制约医院发展。</w:t>
            </w:r>
          </w:p>
        </w:tc>
      </w:tr>
      <w:tr>
        <w:tblPrEx>
          <w:tblCellMar>
            <w:top w:w="0" w:type="dxa"/>
            <w:left w:w="0" w:type="dxa"/>
            <w:bottom w:w="0" w:type="dxa"/>
            <w:right w:w="0" w:type="dxa"/>
          </w:tblCellMar>
        </w:tblPrEx>
        <w:trPr>
          <w:trHeight w:val="48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中期绩效目标（2021-2023年）</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整体搬迁项目总体建设周期为6年，项目建成后将形成一座设备先进、技术一流，在国内具有一定影响力的大型综合医院。</w:t>
            </w:r>
          </w:p>
        </w:tc>
      </w:tr>
      <w:tr>
        <w:tblPrEx>
          <w:tblCellMar>
            <w:top w:w="0" w:type="dxa"/>
            <w:left w:w="0" w:type="dxa"/>
            <w:bottom w:w="0" w:type="dxa"/>
            <w:right w:w="0" w:type="dxa"/>
          </w:tblCellMar>
        </w:tblPrEx>
        <w:trPr>
          <w:trHeight w:val="27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r>
              <w:rPr>
                <w:rFonts w:hint="eastAsia" w:ascii="宋体" w:hAnsi="宋体" w:eastAsia="宋体" w:cs="宋体"/>
                <w:b/>
                <w:i w:val="0"/>
                <w:color w:val="000000"/>
                <w:kern w:val="0"/>
                <w:sz w:val="20"/>
                <w:szCs w:val="20"/>
                <w:u w:val="none"/>
                <w:bdr w:val="none" w:color="auto" w:sz="0" w:space="0"/>
                <w:lang w:val="en-US" w:eastAsia="zh-CN" w:bidi="ar"/>
              </w:rPr>
              <w:t>年度</w:t>
            </w:r>
            <w:r>
              <w:rPr>
                <w:rFonts w:hint="eastAsia" w:ascii="宋体" w:hAnsi="宋体" w:eastAsia="宋体" w:cs="宋体"/>
                <w:i w:val="0"/>
                <w:color w:val="000000"/>
                <w:kern w:val="0"/>
                <w:sz w:val="20"/>
                <w:szCs w:val="20"/>
                <w:u w:val="none"/>
                <w:bdr w:val="none" w:color="auto" w:sz="0" w:space="0"/>
                <w:lang w:val="en-US" w:eastAsia="zh-CN" w:bidi="ar"/>
              </w:rPr>
              <w:t>绩效目标衡量指标</w:t>
            </w:r>
          </w:p>
        </w:tc>
        <w:tc>
          <w:tcPr>
            <w:tcW w:w="181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一级指标</w:t>
            </w:r>
          </w:p>
        </w:tc>
        <w:tc>
          <w:tcPr>
            <w:tcW w:w="1800"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二级指标</w:t>
            </w:r>
          </w:p>
        </w:tc>
        <w:tc>
          <w:tcPr>
            <w:tcW w:w="232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指标内容</w:t>
            </w:r>
          </w:p>
        </w:tc>
        <w:tc>
          <w:tcPr>
            <w:tcW w:w="223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指标值</w:t>
            </w:r>
          </w:p>
        </w:tc>
      </w:tr>
      <w:tr>
        <w:tblPrEx>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产出数量</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预计2021年完成施工进度</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工程破土动工</w:t>
            </w:r>
          </w:p>
        </w:tc>
      </w:tr>
      <w:tr>
        <w:tblPrEx>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产出质量</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满足桂林市规划总体规划</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r>
      <w:tr>
        <w:tblPrEx>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产出时效</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预计建设周期</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6年</w:t>
            </w:r>
          </w:p>
        </w:tc>
      </w:tr>
      <w:tr>
        <w:tblPrEx>
          <w:shd w:val="clear"/>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产出成本</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2021年建设费用</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4.62亿元</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效果指标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促进医院医疗业务的拓展，增加医院的收入</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r>
      <w:tr>
        <w:tblPrEx>
          <w:shd w:val="clear"/>
          <w:tblCellMar>
            <w:top w:w="0" w:type="dxa"/>
            <w:left w:w="0" w:type="dxa"/>
            <w:bottom w:w="0" w:type="dxa"/>
            <w:right w:w="0" w:type="dxa"/>
          </w:tblCellMar>
        </w:tblPrEx>
        <w:trPr>
          <w:trHeight w:val="72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形成一座设备先进，技术一流，在国内具有一定影响力的大型综合医院</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r>
      <w:tr>
        <w:tblPrEx>
          <w:shd w:val="clear"/>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项目建成后将会以更好的姿态服务更多的患者</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r>
    </w:tbl>
    <w:p>
      <w:pPr>
        <w:rPr>
          <w:rFonts w:hint="default" w:ascii="宋体" w:hAnsi="宋体" w:eastAsia="宋体" w:cs="宋体"/>
          <w:b w:val="0"/>
          <w:bCs w:val="0"/>
          <w:sz w:val="28"/>
          <w:szCs w:val="28"/>
          <w:lang w:val="en-US" w:eastAsia="zh-CN"/>
        </w:rPr>
      </w:pPr>
    </w:p>
    <w:p>
      <w:pPr>
        <w:jc w:val="both"/>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表9-7：院内大型改造修缮项目</w:t>
      </w:r>
    </w:p>
    <w:tbl>
      <w:tblPr>
        <w:tblW w:w="10050" w:type="dxa"/>
        <w:jc w:val="center"/>
        <w:shd w:val="clear"/>
        <w:tblLayout w:type="autofit"/>
        <w:tblCellMar>
          <w:top w:w="0" w:type="dxa"/>
          <w:left w:w="0" w:type="dxa"/>
          <w:bottom w:w="0" w:type="dxa"/>
          <w:right w:w="0" w:type="dxa"/>
        </w:tblCellMar>
      </w:tblPr>
      <w:tblGrid>
        <w:gridCol w:w="1875"/>
        <w:gridCol w:w="1815"/>
        <w:gridCol w:w="1800"/>
        <w:gridCol w:w="2325"/>
        <w:gridCol w:w="2235"/>
      </w:tblGrid>
      <w:tr>
        <w:tblPrEx>
          <w:shd w:val="clear"/>
          <w:tblCellMar>
            <w:top w:w="0" w:type="dxa"/>
            <w:left w:w="0" w:type="dxa"/>
            <w:bottom w:w="0" w:type="dxa"/>
            <w:right w:w="0" w:type="dxa"/>
          </w:tblCellMar>
        </w:tblPrEx>
        <w:trPr>
          <w:trHeight w:val="375" w:hRule="atLeast"/>
          <w:jc w:val="center"/>
        </w:trPr>
        <w:tc>
          <w:tcPr>
            <w:tcW w:w="10050" w:type="dxa"/>
            <w:gridSpan w:val="5"/>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8"/>
                <w:szCs w:val="28"/>
                <w:u w:val="none"/>
              </w:rPr>
            </w:pPr>
            <w:r>
              <w:rPr>
                <w:rFonts w:hint="default" w:ascii="方正小标宋简体" w:hAnsi="方正小标宋简体" w:eastAsia="方正小标宋简体" w:cs="方正小标宋简体"/>
                <w:b/>
                <w:i w:val="0"/>
                <w:color w:val="000000"/>
                <w:kern w:val="0"/>
                <w:sz w:val="28"/>
                <w:szCs w:val="28"/>
                <w:u w:val="none"/>
                <w:bdr w:val="none" w:color="auto" w:sz="0" w:space="0"/>
                <w:lang w:val="en-US" w:eastAsia="zh-CN" w:bidi="ar"/>
              </w:rPr>
              <w:t>2021年度部门预算自治区本级项目支出绩效目标申报表</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3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院内大型改造修缮项目</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项目编码</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404035xm18n0037</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项目实施单位</w:t>
            </w:r>
          </w:p>
        </w:tc>
        <w:tc>
          <w:tcPr>
            <w:tcW w:w="3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桂林医学院附属医院</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27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项目性质</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当年新增项目</w:t>
            </w:r>
          </w:p>
        </w:tc>
      </w:tr>
      <w:tr>
        <w:tblPrEx>
          <w:shd w:val="clear"/>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自治区本级项目</w:t>
            </w:r>
          </w:p>
        </w:tc>
      </w:tr>
      <w:tr>
        <w:tblPrEx>
          <w:shd w:val="clear"/>
          <w:tblCellMar>
            <w:top w:w="0" w:type="dxa"/>
            <w:left w:w="0" w:type="dxa"/>
            <w:bottom w:w="0" w:type="dxa"/>
            <w:right w:w="0"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资金来源</w:t>
            </w:r>
          </w:p>
        </w:tc>
        <w:tc>
          <w:tcPr>
            <w:tcW w:w="45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金额（万元）</w:t>
            </w: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24,340.58 </w:t>
            </w: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其中：一般公共预算拨款</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 中央</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自治区</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政府性基金</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其他资金</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24,340.58 </w:t>
            </w:r>
          </w:p>
        </w:tc>
      </w:tr>
      <w:tr>
        <w:tblPrEx>
          <w:shd w:val="clear"/>
          <w:tblCellMar>
            <w:top w:w="0" w:type="dxa"/>
            <w:left w:w="0" w:type="dxa"/>
            <w:bottom w:w="0" w:type="dxa"/>
            <w:right w:w="0" w:type="dxa"/>
          </w:tblCellMar>
        </w:tblPrEx>
        <w:trPr>
          <w:trHeight w:val="96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项目概况（包括项目立项依据、可行性和必要性、支持范围、实施内容等）</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为了加快自身建设，实现跨越式发展，进行后勤基建工程改造修缮，院内大型装修改善工程，东城校区各项大型装修及分院建设修缮工程等，工程完成后，将大大改善和提高该院门诊、病区的就医环境，提高医疗服务水平，为医院的持续发展提供充足的后劲和可靠的物质保障。</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项目起始时间</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w:t>
            </w:r>
          </w:p>
        </w:tc>
        <w:tc>
          <w:tcPr>
            <w:tcW w:w="412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项目终止时间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2023</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项目实施进度安排</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2021年全年按项目支付</w:t>
            </w:r>
          </w:p>
        </w:tc>
      </w:tr>
      <w:tr>
        <w:tblPrEx>
          <w:shd w:val="clear"/>
          <w:tblCellMar>
            <w:top w:w="0" w:type="dxa"/>
            <w:left w:w="0" w:type="dxa"/>
            <w:bottom w:w="0" w:type="dxa"/>
            <w:right w:w="0" w:type="dxa"/>
          </w:tblCellMar>
        </w:tblPrEx>
        <w:trPr>
          <w:trHeight w:val="27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年度绩效目标</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改善就医环境，医院对现有科室用房进行局部调整。</w:t>
            </w:r>
          </w:p>
        </w:tc>
      </w:tr>
      <w:tr>
        <w:tblPrEx>
          <w:shd w:val="clear"/>
          <w:tblCellMar>
            <w:top w:w="0" w:type="dxa"/>
            <w:left w:w="0" w:type="dxa"/>
            <w:bottom w:w="0" w:type="dxa"/>
            <w:right w:w="0" w:type="dxa"/>
          </w:tblCellMar>
        </w:tblPrEx>
        <w:trPr>
          <w:trHeight w:val="480" w:hRule="atLeast"/>
          <w:jc w:val="center"/>
        </w:trPr>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中期绩效目标（2021-2023年）</w:t>
            </w:r>
          </w:p>
        </w:tc>
        <w:tc>
          <w:tcPr>
            <w:tcW w:w="81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解决院内医疗用房紧张，患者住院等候床时间过长的问题，缩短患者候床时间，减轻病人负担，加快病人周转。</w:t>
            </w:r>
          </w:p>
        </w:tc>
      </w:tr>
      <w:tr>
        <w:tblPrEx>
          <w:shd w:val="clear"/>
          <w:tblCellMar>
            <w:top w:w="0" w:type="dxa"/>
            <w:left w:w="0" w:type="dxa"/>
            <w:bottom w:w="0" w:type="dxa"/>
            <w:right w:w="0" w:type="dxa"/>
          </w:tblCellMar>
        </w:tblPrEx>
        <w:trPr>
          <w:trHeight w:val="270" w:hRule="atLeast"/>
          <w:jc w:val="center"/>
        </w:trPr>
        <w:tc>
          <w:tcPr>
            <w:tcW w:w="18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r>
              <w:rPr>
                <w:rFonts w:hint="eastAsia" w:ascii="宋体" w:hAnsi="宋体" w:eastAsia="宋体" w:cs="宋体"/>
                <w:b/>
                <w:i w:val="0"/>
                <w:color w:val="000000"/>
                <w:kern w:val="0"/>
                <w:sz w:val="20"/>
                <w:szCs w:val="20"/>
                <w:u w:val="none"/>
                <w:bdr w:val="none" w:color="auto" w:sz="0" w:space="0"/>
                <w:lang w:val="en-US" w:eastAsia="zh-CN" w:bidi="ar"/>
              </w:rPr>
              <w:t>年度</w:t>
            </w:r>
            <w:r>
              <w:rPr>
                <w:rFonts w:hint="eastAsia" w:ascii="宋体" w:hAnsi="宋体" w:eastAsia="宋体" w:cs="宋体"/>
                <w:i w:val="0"/>
                <w:color w:val="000000"/>
                <w:kern w:val="0"/>
                <w:sz w:val="20"/>
                <w:szCs w:val="20"/>
                <w:u w:val="none"/>
                <w:bdr w:val="none" w:color="auto" w:sz="0" w:space="0"/>
                <w:lang w:val="en-US" w:eastAsia="zh-CN" w:bidi="ar"/>
              </w:rPr>
              <w:t>绩效目标衡量指标</w:t>
            </w:r>
          </w:p>
        </w:tc>
        <w:tc>
          <w:tcPr>
            <w:tcW w:w="181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一级指标</w:t>
            </w:r>
          </w:p>
        </w:tc>
        <w:tc>
          <w:tcPr>
            <w:tcW w:w="1800"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二级指标</w:t>
            </w:r>
          </w:p>
        </w:tc>
        <w:tc>
          <w:tcPr>
            <w:tcW w:w="232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指标内容</w:t>
            </w:r>
          </w:p>
        </w:tc>
        <w:tc>
          <w:tcPr>
            <w:tcW w:w="223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指标值</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产出数量</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2021年进行大型修缮的项目数</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37项</w:t>
            </w:r>
          </w:p>
        </w:tc>
      </w:tr>
      <w:tr>
        <w:tblPrEx>
          <w:shd w:val="clear"/>
          <w:tblCellMar>
            <w:top w:w="0" w:type="dxa"/>
            <w:left w:w="0" w:type="dxa"/>
            <w:bottom w:w="0" w:type="dxa"/>
            <w:right w:w="0" w:type="dxa"/>
          </w:tblCellMar>
        </w:tblPrEx>
        <w:trPr>
          <w:trHeight w:val="72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产出质量</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项目建成后，将大大改善和提高我院就医环境，满足办公、科研用房。</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大于95%</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产出时效</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院内大型修缮项目完成时间</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产出成本</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院内大型修缮项目所需经费</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24340.58万元</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效果指标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提供舒适完善的场所，完成医院年度经济任务</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大于90%</w:t>
            </w:r>
          </w:p>
        </w:tc>
      </w:tr>
      <w:tr>
        <w:tblPrEx>
          <w:shd w:val="clear"/>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27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为医院的持续发展提供完善就医环境。</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大于90%</w:t>
            </w:r>
          </w:p>
        </w:tc>
      </w:tr>
      <w:tr>
        <w:tblPrEx>
          <w:shd w:val="clear"/>
          <w:tblCellMar>
            <w:top w:w="0" w:type="dxa"/>
            <w:left w:w="0" w:type="dxa"/>
            <w:bottom w:w="0" w:type="dxa"/>
            <w:right w:w="0" w:type="dxa"/>
          </w:tblCellMar>
        </w:tblPrEx>
        <w:trPr>
          <w:trHeight w:val="480" w:hRule="atLeast"/>
          <w:jc w:val="center"/>
        </w:trPr>
        <w:tc>
          <w:tcPr>
            <w:tcW w:w="18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改善就医环境，满足患者就医需求</w:t>
            </w:r>
          </w:p>
        </w:tc>
        <w:tc>
          <w:tcPr>
            <w:tcW w:w="22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大于90%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bCs/>
          <w:sz w:val="28"/>
          <w:szCs w:val="28"/>
        </w:rPr>
      </w:pPr>
      <w:r>
        <w:rPr>
          <w:rFonts w:hint="eastAsia" w:ascii="宋体" w:hAnsi="宋体" w:eastAsia="宋体" w:cs="宋体"/>
          <w:b/>
          <w:bCs/>
          <w:sz w:val="28"/>
          <w:szCs w:val="28"/>
        </w:rPr>
        <w:t>第三部分： 2020年部门预算情况说明</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一、部门收支预算情况说明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年部门预算收入总计336</w:t>
      </w:r>
      <w:r>
        <w:rPr>
          <w:rFonts w:hint="eastAsia" w:ascii="宋体" w:hAnsi="宋体" w:eastAsia="宋体" w:cs="宋体"/>
          <w:sz w:val="28"/>
          <w:szCs w:val="28"/>
          <w:lang w:val="en-US" w:eastAsia="zh-CN"/>
        </w:rPr>
        <w:t>,</w:t>
      </w:r>
      <w:r>
        <w:rPr>
          <w:rFonts w:hint="eastAsia" w:ascii="宋体" w:hAnsi="宋体" w:eastAsia="宋体" w:cs="宋体"/>
          <w:sz w:val="28"/>
          <w:szCs w:val="28"/>
        </w:rPr>
        <w:t>894.28万元，同比上年248,624.30万元增加88,269.98万元，增长35.50%。支出总计336</w:t>
      </w:r>
      <w:r>
        <w:rPr>
          <w:rFonts w:hint="eastAsia" w:ascii="宋体" w:hAnsi="宋体" w:eastAsia="宋体" w:cs="宋体"/>
          <w:sz w:val="28"/>
          <w:szCs w:val="28"/>
          <w:lang w:val="en-US" w:eastAsia="zh-CN"/>
        </w:rPr>
        <w:t>,</w:t>
      </w:r>
      <w:r>
        <w:rPr>
          <w:rFonts w:hint="eastAsia" w:ascii="宋体" w:hAnsi="宋体" w:eastAsia="宋体" w:cs="宋体"/>
          <w:sz w:val="28"/>
          <w:szCs w:val="28"/>
        </w:rPr>
        <w:t>894.28万元，同比上年201,200.90 万元增加88,269.98万元，增长35.50%。</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按支出功能科目分类：</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社会保障和就业支出1,253.14 万元，同比上年788.33万元</w:t>
      </w:r>
      <w:r>
        <w:rPr>
          <w:rFonts w:hint="eastAsia" w:ascii="宋体" w:hAnsi="宋体" w:eastAsia="宋体" w:cs="宋体"/>
          <w:sz w:val="28"/>
          <w:szCs w:val="28"/>
          <w:lang w:val="en-US" w:eastAsia="zh-CN"/>
        </w:rPr>
        <w:t>增加</w:t>
      </w:r>
      <w:r>
        <w:rPr>
          <w:rFonts w:hint="eastAsia" w:ascii="宋体" w:hAnsi="宋体" w:eastAsia="宋体" w:cs="宋体"/>
          <w:sz w:val="28"/>
          <w:szCs w:val="28"/>
        </w:rPr>
        <w:t>464.81万元，</w:t>
      </w:r>
      <w:r>
        <w:rPr>
          <w:rFonts w:hint="eastAsia" w:ascii="宋体" w:hAnsi="宋体" w:eastAsia="宋体" w:cs="宋体"/>
          <w:sz w:val="28"/>
          <w:szCs w:val="28"/>
          <w:lang w:val="en-US" w:eastAsia="zh-CN"/>
        </w:rPr>
        <w:t>增长58.96%</w:t>
      </w:r>
      <w:r>
        <w:rPr>
          <w:rFonts w:hint="eastAsia" w:ascii="宋体" w:hAnsi="宋体" w:eastAsia="宋体" w:cs="宋体"/>
          <w:sz w:val="28"/>
          <w:szCs w:val="28"/>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卫生健康支出335,249.16万元，同比上年247,441.81万元增加87,807.35 万元，增长35.49%</w:t>
      </w:r>
      <w:r>
        <w:rPr>
          <w:rFonts w:hint="eastAsia" w:ascii="宋体" w:hAnsi="宋体" w:eastAsia="宋体" w:cs="宋体"/>
          <w:sz w:val="28"/>
          <w:szCs w:val="28"/>
          <w:lang w:eastAsia="zh-CN"/>
        </w:rPr>
        <w:t>；</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住房保障支出391.98万元，同比上年394.16万元减少2.18万元，减少0.55%。</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二、部门收入预算情况说明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年部门预算收入合计336,894.28 万元，其中：</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（1）一般公共预算拨款3,131.62 万元，同比上年3,253.06</w:t>
      </w:r>
      <w:r>
        <w:rPr>
          <w:rFonts w:hint="eastAsia" w:ascii="宋体" w:hAnsi="宋体" w:eastAsia="宋体" w:cs="宋体"/>
          <w:sz w:val="28"/>
          <w:szCs w:val="28"/>
          <w:lang w:val="en-US" w:eastAsia="zh-CN"/>
        </w:rPr>
        <w:t>万元</w:t>
      </w:r>
      <w:r>
        <w:rPr>
          <w:rFonts w:hint="eastAsia" w:ascii="宋体" w:hAnsi="宋体" w:eastAsia="宋体" w:cs="宋体"/>
          <w:sz w:val="28"/>
          <w:szCs w:val="28"/>
        </w:rPr>
        <w:t>下降121.44</w:t>
      </w:r>
      <w:r>
        <w:rPr>
          <w:rFonts w:hint="eastAsia" w:ascii="宋体" w:hAnsi="宋体" w:eastAsia="宋体" w:cs="宋体"/>
          <w:sz w:val="28"/>
          <w:szCs w:val="28"/>
          <w:lang w:val="en-US" w:eastAsia="zh-CN"/>
        </w:rPr>
        <w:t>万元，降幅</w:t>
      </w:r>
      <w:r>
        <w:rPr>
          <w:rFonts w:hint="eastAsia" w:ascii="宋体" w:hAnsi="宋体" w:eastAsia="宋体" w:cs="宋体"/>
          <w:sz w:val="28"/>
          <w:szCs w:val="28"/>
        </w:rPr>
        <w:t>3.</w:t>
      </w:r>
      <w:r>
        <w:rPr>
          <w:rFonts w:hint="eastAsia" w:ascii="宋体" w:hAnsi="宋体" w:eastAsia="宋体" w:cs="宋体"/>
          <w:sz w:val="28"/>
          <w:szCs w:val="28"/>
          <w:lang w:val="en-US" w:eastAsia="zh-CN"/>
        </w:rPr>
        <w:t>73</w:t>
      </w:r>
      <w:r>
        <w:rPr>
          <w:rFonts w:hint="eastAsia" w:ascii="宋体" w:hAnsi="宋体" w:eastAsia="宋体" w:cs="宋体"/>
          <w:sz w:val="28"/>
          <w:szCs w:val="28"/>
        </w:rPr>
        <w:t>%</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事业</w:t>
      </w:r>
      <w:r>
        <w:rPr>
          <w:rFonts w:hint="eastAsia" w:ascii="宋体" w:hAnsi="宋体" w:eastAsia="宋体" w:cs="宋体"/>
          <w:sz w:val="28"/>
          <w:szCs w:val="28"/>
        </w:rPr>
        <w:t>收入232,368.38万元，同比上年225,371.24万元</w:t>
      </w:r>
      <w:r>
        <w:rPr>
          <w:rFonts w:hint="eastAsia" w:ascii="宋体" w:hAnsi="宋体" w:eastAsia="宋体" w:cs="宋体"/>
          <w:sz w:val="28"/>
          <w:szCs w:val="28"/>
          <w:lang w:val="en-US" w:eastAsia="zh-CN"/>
        </w:rPr>
        <w:t>增加6,997.14万元，增幅3.10</w:t>
      </w:r>
      <w:r>
        <w:rPr>
          <w:rFonts w:hint="eastAsia" w:ascii="宋体" w:hAnsi="宋体" w:eastAsia="宋体" w:cs="宋体"/>
          <w:sz w:val="28"/>
          <w:szCs w:val="28"/>
        </w:rPr>
        <w:t>%</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其他收入1,000.00万元；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val="en-US" w:eastAsia="zh-CN"/>
        </w:rPr>
        <w:t>上年结转结余收入</w:t>
      </w:r>
      <w:r>
        <w:rPr>
          <w:rFonts w:hint="eastAsia" w:ascii="宋体" w:hAnsi="宋体" w:eastAsia="宋体" w:cs="宋体"/>
          <w:sz w:val="28"/>
          <w:szCs w:val="28"/>
        </w:rPr>
        <w:t>100,394.28 万元。</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三、部门支出预算情况说明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年部门预算支出总计336,894.28 万元，其中基本支出6,794.30 万元，占支出总计的</w:t>
      </w:r>
      <w:r>
        <w:rPr>
          <w:rFonts w:hint="eastAsia" w:ascii="宋体" w:hAnsi="宋体" w:eastAsia="宋体" w:cs="宋体"/>
          <w:sz w:val="28"/>
          <w:szCs w:val="28"/>
          <w:lang w:val="en-US" w:eastAsia="zh-CN"/>
        </w:rPr>
        <w:t>2.02</w:t>
      </w:r>
      <w:r>
        <w:rPr>
          <w:rFonts w:hint="eastAsia" w:ascii="宋体" w:hAnsi="宋体" w:eastAsia="宋体" w:cs="宋体"/>
          <w:sz w:val="28"/>
          <w:szCs w:val="28"/>
        </w:rPr>
        <w:t>%，其中：事业单位离退休469.18 万元，机关事业单位基本养老保险缴费支出522.64</w:t>
      </w:r>
      <w:r>
        <w:rPr>
          <w:rFonts w:hint="eastAsia" w:ascii="宋体" w:hAnsi="宋体" w:eastAsia="宋体" w:cs="宋体"/>
          <w:sz w:val="28"/>
          <w:szCs w:val="28"/>
          <w:lang w:val="en-US" w:eastAsia="zh-CN"/>
        </w:rPr>
        <w:t xml:space="preserve">万元，机关事业单位职业年金缴费支出261.32万元，医院综合支出4,515.40万元，事业单位医疗470.45 </w:t>
      </w:r>
      <w:r>
        <w:rPr>
          <w:rFonts w:hint="eastAsia" w:ascii="宋体" w:hAnsi="宋体" w:eastAsia="宋体" w:cs="宋体"/>
          <w:sz w:val="28"/>
          <w:szCs w:val="28"/>
        </w:rPr>
        <w:t>万元</w:t>
      </w:r>
      <w:r>
        <w:rPr>
          <w:rFonts w:hint="eastAsia" w:ascii="宋体" w:hAnsi="宋体" w:eastAsia="宋体" w:cs="宋体"/>
          <w:sz w:val="28"/>
          <w:szCs w:val="28"/>
          <w:lang w:eastAsia="zh-CN"/>
        </w:rPr>
        <w:t>，公务员医疗补助163.33</w:t>
      </w:r>
      <w:r>
        <w:rPr>
          <w:rFonts w:hint="eastAsia" w:ascii="宋体" w:hAnsi="宋体" w:eastAsia="宋体" w:cs="宋体"/>
          <w:sz w:val="28"/>
          <w:szCs w:val="28"/>
          <w:lang w:val="en-US" w:eastAsia="zh-CN"/>
        </w:rPr>
        <w:t>万元，住房公积金391.98万元</w:t>
      </w:r>
      <w:r>
        <w:rPr>
          <w:rFonts w:hint="eastAsia" w:ascii="宋体" w:hAnsi="宋体" w:eastAsia="宋体" w:cs="宋体"/>
          <w:sz w:val="28"/>
          <w:szCs w:val="28"/>
        </w:rPr>
        <w:t>。</w:t>
      </w:r>
    </w:p>
    <w:p>
      <w:pPr>
        <w:ind w:firstLine="560" w:firstLineChars="200"/>
        <w:rPr>
          <w:rFonts w:hint="default" w:ascii="宋体" w:hAnsi="宋体" w:eastAsia="宋体" w:cs="宋体"/>
          <w:sz w:val="28"/>
          <w:szCs w:val="28"/>
          <w:lang w:val="en-US"/>
        </w:rPr>
      </w:pPr>
      <w:r>
        <w:rPr>
          <w:rFonts w:hint="eastAsia" w:ascii="宋体" w:hAnsi="宋体" w:eastAsia="宋体" w:cs="宋体"/>
          <w:sz w:val="28"/>
          <w:szCs w:val="28"/>
        </w:rPr>
        <w:t>项目支出330,099.98万元，占支出总计的</w:t>
      </w:r>
      <w:r>
        <w:rPr>
          <w:rFonts w:hint="eastAsia" w:ascii="宋体" w:hAnsi="宋体" w:eastAsia="宋体" w:cs="宋体"/>
          <w:sz w:val="28"/>
          <w:szCs w:val="28"/>
          <w:lang w:val="en-US" w:eastAsia="zh-CN"/>
        </w:rPr>
        <w:t>97.98</w:t>
      </w:r>
      <w:r>
        <w:rPr>
          <w:rFonts w:hint="eastAsia" w:ascii="宋体" w:hAnsi="宋体" w:eastAsia="宋体" w:cs="宋体"/>
          <w:sz w:val="28"/>
          <w:szCs w:val="28"/>
        </w:rPr>
        <w:t>%，其中：</w:t>
      </w:r>
      <w:r>
        <w:rPr>
          <w:rFonts w:hint="eastAsia" w:ascii="宋体" w:hAnsi="宋体" w:eastAsia="宋体" w:cs="宋体"/>
          <w:sz w:val="28"/>
          <w:szCs w:val="28"/>
          <w:lang w:val="en-US" w:eastAsia="zh-CN"/>
        </w:rPr>
        <w:t>医院综合支出327,909.93 万元， 其他公立医院支出1,012.55万元，基本公共卫生服务支出3.00万元，重大公共卫生服务支出637.00万元， 突发公共卫生事件应急处理支出40.00万元， 其他公共卫生支出11.50万元，其他卫生健康支出486.00万元。</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四、财政拨款收支预算情况说明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年财政拨款收支3,131.62 万元，同比上年3,253.06万元减少</w:t>
      </w:r>
      <w:r>
        <w:rPr>
          <w:rFonts w:hint="eastAsia" w:ascii="宋体" w:hAnsi="宋体" w:eastAsia="宋体" w:cs="宋体"/>
          <w:sz w:val="28"/>
          <w:szCs w:val="28"/>
          <w:lang w:val="en-US" w:eastAsia="zh-CN"/>
        </w:rPr>
        <w:t>121.44</w:t>
      </w:r>
      <w:r>
        <w:rPr>
          <w:rFonts w:hint="eastAsia" w:ascii="宋体" w:hAnsi="宋体" w:eastAsia="宋体" w:cs="宋体"/>
          <w:sz w:val="28"/>
          <w:szCs w:val="28"/>
        </w:rPr>
        <w:t>万元，下降</w:t>
      </w:r>
      <w:r>
        <w:rPr>
          <w:rFonts w:hint="eastAsia" w:ascii="宋体" w:hAnsi="宋体" w:eastAsia="宋体" w:cs="宋体"/>
          <w:sz w:val="28"/>
          <w:szCs w:val="28"/>
          <w:lang w:val="en-US" w:eastAsia="zh-CN"/>
        </w:rPr>
        <w:t>3.73</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五、一般公共预算支出情况说明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年一般公共预算支出3,131.62 万元，其中基本支出941.57万元，占一般公共预算支出合计的</w:t>
      </w:r>
      <w:r>
        <w:rPr>
          <w:rFonts w:hint="eastAsia" w:ascii="宋体" w:hAnsi="宋体" w:eastAsia="宋体" w:cs="宋体"/>
          <w:sz w:val="28"/>
          <w:szCs w:val="28"/>
          <w:lang w:val="en-US" w:eastAsia="zh-CN"/>
        </w:rPr>
        <w:t>30.07</w:t>
      </w:r>
      <w:r>
        <w:rPr>
          <w:rFonts w:hint="eastAsia" w:ascii="宋体" w:hAnsi="宋体" w:eastAsia="宋体" w:cs="宋体"/>
          <w:sz w:val="28"/>
          <w:szCs w:val="28"/>
        </w:rPr>
        <w:t>%；项目支出2,190.05万元，占一般公共预算支出合计的</w:t>
      </w:r>
      <w:r>
        <w:rPr>
          <w:rFonts w:hint="eastAsia" w:ascii="宋体" w:hAnsi="宋体" w:eastAsia="宋体" w:cs="宋体"/>
          <w:sz w:val="28"/>
          <w:szCs w:val="28"/>
          <w:lang w:val="en-US" w:eastAsia="zh-CN"/>
        </w:rPr>
        <w:t>69.93</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六、一般公共预算基本支出情况说明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年一般公共预算基本支出941.57万元，均为人员经费，无公用经费。</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七、一般公共预算“三公”经费情况说明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我单位无一般公共预算安排的“三公”经费。</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八、政府性基金预算情况说明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我单位无政府性基金安排的预算。</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九、其他重要事项情况说明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（一）机关运行经费安排情况说明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我单位无机关运行经费安排的预算。</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（二）政府采购预算安排情况说明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年政府采购预算220,060.21 万元，其中：政府集中采购预算4,487.88万元，占政府采购预算</w:t>
      </w:r>
      <w:r>
        <w:rPr>
          <w:rFonts w:hint="eastAsia" w:ascii="宋体" w:hAnsi="宋体" w:eastAsia="宋体" w:cs="宋体"/>
          <w:sz w:val="28"/>
          <w:szCs w:val="28"/>
          <w:lang w:val="en-US" w:eastAsia="zh-CN"/>
        </w:rPr>
        <w:t>2.04</w:t>
      </w:r>
      <w:r>
        <w:rPr>
          <w:rFonts w:hint="eastAsia" w:ascii="宋体" w:hAnsi="宋体" w:eastAsia="宋体" w:cs="宋体"/>
          <w:sz w:val="28"/>
          <w:szCs w:val="28"/>
        </w:rPr>
        <w:t>%；分散采购215,572.33 万元，占政府采购预算</w:t>
      </w:r>
      <w:r>
        <w:rPr>
          <w:rFonts w:hint="eastAsia" w:ascii="宋体" w:hAnsi="宋体" w:eastAsia="宋体" w:cs="宋体"/>
          <w:sz w:val="28"/>
          <w:szCs w:val="28"/>
          <w:lang w:val="en-US" w:eastAsia="zh-CN"/>
        </w:rPr>
        <w:t>97.96</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（三）国有资产占用情况说明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截止</w:t>
      </w:r>
      <w:r>
        <w:rPr>
          <w:rFonts w:hint="eastAsia" w:ascii="宋体" w:hAnsi="宋体" w:eastAsia="宋体" w:cs="宋体"/>
          <w:sz w:val="28"/>
          <w:szCs w:val="28"/>
          <w:lang w:val="en-US" w:eastAsia="zh-CN"/>
        </w:rPr>
        <w:t>2020</w:t>
      </w:r>
      <w:r>
        <w:rPr>
          <w:rFonts w:hint="eastAsia" w:ascii="宋体" w:hAnsi="宋体" w:eastAsia="宋体" w:cs="宋体"/>
          <w:sz w:val="28"/>
          <w:szCs w:val="28"/>
        </w:rPr>
        <w:t>年12月31日，我院专用设备8,791</w:t>
      </w:r>
      <w:r>
        <w:rPr>
          <w:rFonts w:hint="eastAsia" w:ascii="宋体" w:hAnsi="宋体" w:eastAsia="宋体" w:cs="宋体"/>
          <w:sz w:val="28"/>
          <w:szCs w:val="28"/>
          <w:lang w:val="en-US" w:eastAsia="zh-CN"/>
        </w:rPr>
        <w:t>台，同比上年的9,115台，减少324台，其中</w:t>
      </w:r>
      <w:r>
        <w:rPr>
          <w:rFonts w:hint="eastAsia" w:ascii="宋体" w:hAnsi="宋体" w:eastAsia="宋体" w:cs="宋体"/>
          <w:sz w:val="28"/>
          <w:szCs w:val="28"/>
        </w:rPr>
        <w:t>单价100万元（含）以上的通用设备142台</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同比上年的131台，增加11台</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（四）重点项目预算绩效目标情况说明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项目年度绩效目标表内容详见</w:t>
      </w:r>
      <w:r>
        <w:rPr>
          <w:rFonts w:hint="eastAsia" w:ascii="宋体" w:hAnsi="宋体" w:eastAsia="宋体" w:cs="宋体"/>
          <w:b w:val="0"/>
          <w:bCs w:val="0"/>
          <w:sz w:val="28"/>
          <w:szCs w:val="28"/>
          <w:lang w:val="en-US" w:eastAsia="zh-CN"/>
        </w:rPr>
        <w:t>表9-1：2021年中央财政医疗服务与保障能力（卫生健康人才培养）、表9-2：医药卫生人才队伍建设专项资金、表9-3：医药卫生体制改革补助资金、表9-4：设备及软件购置经费、表9-5：药品、卫生材料购置经费、表9-6：医院整体搬迁项目表9-7：院内大型改造修缮项目。</w:t>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bCs/>
          <w:sz w:val="28"/>
          <w:szCs w:val="28"/>
        </w:rPr>
      </w:pPr>
      <w:r>
        <w:rPr>
          <w:rFonts w:hint="eastAsia" w:ascii="宋体" w:hAnsi="宋体" w:eastAsia="宋体" w:cs="宋体"/>
          <w:b/>
          <w:bCs/>
          <w:sz w:val="28"/>
          <w:szCs w:val="28"/>
        </w:rPr>
        <w:t>第四部分：名词解释</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一、财政拨款：指一般公共预算财政拨款和政府下基金预算财政拨款。</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二、一般公共预算：包括公共财政拨款（补助）资金、专项收入。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三、财政专户管理资金：包括专户管理行政事业性收入（主要是教育收费）、其他非税收入、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四、其他资金：包括事业收入、其他收入。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五、基本支出：指为保障机构正常运转、完成工作任务而发生的人员支出和公用支出。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六、项目支出：指在基本支出之外为完成特定工作任务和事业发展目标所发生的支出。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七、“三公”经费：指部门用一般公共预算财政拨款安排的因公出国（境）费、公务用车购 置及运行费和公务接待费。其中，因公出国（境）费反映单位公务出国（境）的住宿费、旅费、伙食补助费、杂费、培训费等支出；公务用车购置及运行费反映单位公务用车购置费、燃料费、 维修费、过路过桥费、保险费、安全奖励费用等支出；公务接待费反映单位按规定开支的各类。</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bookmarkStart w:id="0" w:name="_GoBack"/>
      <w:bookmarkEnd w:id="0"/>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桂林医学院附属医院</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2021年02月19日</w:t>
      </w:r>
    </w:p>
    <w:sectPr>
      <w:pgSz w:w="11906" w:h="16838"/>
      <w:pgMar w:top="1020" w:right="1417" w:bottom="102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F0E00"/>
    <w:rsid w:val="067058AA"/>
    <w:rsid w:val="12D04C4E"/>
    <w:rsid w:val="2B7F0E00"/>
    <w:rsid w:val="39546BC0"/>
    <w:rsid w:val="5CD9554D"/>
    <w:rsid w:val="6A164654"/>
    <w:rsid w:val="776D5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71"/>
    <w:basedOn w:val="3"/>
    <w:uiPriority w:val="0"/>
    <w:rPr>
      <w:rFonts w:hint="eastAsia" w:ascii="宋体" w:hAnsi="宋体" w:eastAsia="宋体" w:cs="宋体"/>
      <w:b/>
      <w:color w:val="000000"/>
      <w:sz w:val="20"/>
      <w:szCs w:val="20"/>
      <w:u w:val="none"/>
    </w:rPr>
  </w:style>
  <w:style w:type="character" w:customStyle="1" w:styleId="5">
    <w:name w:val="font01"/>
    <w:basedOn w:val="3"/>
    <w:uiPriority w:val="0"/>
    <w:rPr>
      <w:rFonts w:hint="eastAsia" w:ascii="宋体" w:hAnsi="宋体" w:eastAsia="宋体" w:cs="宋体"/>
      <w:color w:val="000000"/>
      <w:sz w:val="20"/>
      <w:szCs w:val="20"/>
      <w:u w:val="none"/>
    </w:rPr>
  </w:style>
  <w:style w:type="character" w:customStyle="1" w:styleId="6">
    <w:name w:val="font31"/>
    <w:basedOn w:val="3"/>
    <w:uiPriority w:val="0"/>
    <w:rPr>
      <w:rFonts w:hint="eastAsia" w:ascii="宋体" w:hAnsi="宋体" w:eastAsia="宋体" w:cs="宋体"/>
      <w:color w:val="000000"/>
      <w:sz w:val="20"/>
      <w:szCs w:val="20"/>
      <w:u w:val="none"/>
    </w:rPr>
  </w:style>
  <w:style w:type="character" w:customStyle="1" w:styleId="7">
    <w:name w:val="font51"/>
    <w:basedOn w:val="3"/>
    <w:uiPriority w:val="0"/>
    <w:rPr>
      <w:rFonts w:hint="eastAsia" w:ascii="宋体" w:hAnsi="宋体" w:eastAsia="宋体" w:cs="宋体"/>
      <w:color w:val="000000"/>
      <w:sz w:val="20"/>
      <w:szCs w:val="20"/>
      <w:u w:val="none"/>
    </w:rPr>
  </w:style>
  <w:style w:type="character" w:customStyle="1" w:styleId="8">
    <w:name w:val="font11"/>
    <w:basedOn w:val="3"/>
    <w:uiPriority w:val="0"/>
    <w:rPr>
      <w:rFonts w:hint="eastAsia" w:ascii="宋体" w:hAnsi="宋体" w:eastAsia="宋体" w:cs="宋体"/>
      <w:b/>
      <w:color w:val="000000"/>
      <w:sz w:val="20"/>
      <w:szCs w:val="20"/>
      <w:u w:val="none"/>
    </w:rPr>
  </w:style>
  <w:style w:type="character" w:customStyle="1" w:styleId="9">
    <w:name w:val="font41"/>
    <w:basedOn w:val="3"/>
    <w:uiPriority w:val="0"/>
    <w:rPr>
      <w:rFonts w:hint="eastAsia" w:ascii="宋体" w:hAnsi="宋体" w:eastAsia="宋体" w:cs="宋体"/>
      <w:b/>
      <w:color w:val="000000"/>
      <w:sz w:val="20"/>
      <w:szCs w:val="20"/>
      <w:u w:val="none"/>
    </w:rPr>
  </w:style>
  <w:style w:type="character" w:customStyle="1" w:styleId="10">
    <w:name w:val="font2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2021-02-18T09:44:00Z</dcterms:created>
  <dc:creator>Administrator</dc:creator>
  <cp:lastModifiedBy>Administrator</cp:lastModifiedBy>
  <dcterms:modified xsi:type="dcterms:W3CDTF">2021-02-19T02:18:26Z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