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1546" w:rsidRPr="003A7716" w:rsidRDefault="000D1546" w:rsidP="003A7716">
      <w:pPr>
        <w:ind w:firstLineChars="100" w:firstLine="1024"/>
        <w:rPr>
          <w:rFonts w:eastAsia="方正姚体"/>
          <w:b/>
          <w:bCs/>
          <w:color w:val="FF0000"/>
          <w:spacing w:val="-40"/>
          <w:sz w:val="110"/>
          <w:szCs w:val="110"/>
        </w:rPr>
      </w:pPr>
      <w:r w:rsidRPr="003A7716">
        <w:rPr>
          <w:rFonts w:eastAsia="方正姚体" w:hint="eastAsia"/>
          <w:b/>
          <w:bCs/>
          <w:color w:val="FF0000"/>
          <w:spacing w:val="-40"/>
          <w:sz w:val="110"/>
          <w:szCs w:val="110"/>
        </w:rPr>
        <w:t>桂林医学院文件</w:t>
      </w:r>
    </w:p>
    <w:p w:rsidR="000D1546" w:rsidRDefault="000D1546">
      <w:pPr>
        <w:ind w:firstLineChars="147" w:firstLine="472"/>
        <w:jc w:val="center"/>
        <w:rPr>
          <w:rFonts w:eastAsia="方正姚体"/>
          <w:b/>
          <w:bCs/>
          <w:color w:val="FF0000"/>
          <w:sz w:val="32"/>
          <w:szCs w:val="32"/>
        </w:rPr>
      </w:pPr>
    </w:p>
    <w:p w:rsidR="000D1546" w:rsidRDefault="000D1546">
      <w:pPr>
        <w:ind w:firstLineChars="150" w:firstLine="480"/>
        <w:jc w:val="center"/>
        <w:rPr>
          <w:rFonts w:ascii="仿宋_GB2312" w:eastAsia="仿宋_GB2312"/>
          <w:sz w:val="32"/>
          <w:szCs w:val="32"/>
        </w:rPr>
      </w:pPr>
      <w:bookmarkStart w:id="0" w:name="机关代字"/>
      <w:bookmarkEnd w:id="0"/>
      <w:r>
        <w:rPr>
          <w:rFonts w:ascii="仿宋_GB2312" w:eastAsia="仿宋_GB2312" w:hint="eastAsia"/>
          <w:sz w:val="32"/>
          <w:szCs w:val="32"/>
        </w:rPr>
        <w:t>桂</w:t>
      </w:r>
      <w:proofErr w:type="gramStart"/>
      <w:r>
        <w:rPr>
          <w:rFonts w:ascii="仿宋_GB2312" w:eastAsia="仿宋_GB2312" w:hint="eastAsia"/>
          <w:sz w:val="32"/>
          <w:szCs w:val="32"/>
        </w:rPr>
        <w:t>医</w:t>
      </w:r>
      <w:proofErr w:type="gramEnd"/>
      <w:r>
        <w:rPr>
          <w:rFonts w:ascii="仿宋_GB2312" w:eastAsia="仿宋_GB2312" w:hint="eastAsia"/>
          <w:sz w:val="32"/>
          <w:szCs w:val="32"/>
        </w:rPr>
        <w:t>教</w:t>
      </w:r>
      <w:bookmarkStart w:id="1" w:name="编号"/>
      <w:bookmarkEnd w:id="1"/>
      <w:r>
        <w:rPr>
          <w:rFonts w:ascii="仿宋_GB2312" w:eastAsia="仿宋_GB2312" w:hint="eastAsia"/>
          <w:sz w:val="32"/>
          <w:szCs w:val="32"/>
        </w:rPr>
        <w:t>〔</w:t>
      </w:r>
      <w:r>
        <w:rPr>
          <w:rFonts w:ascii="仿宋_GB2312" w:eastAsia="仿宋_GB2312"/>
          <w:sz w:val="32"/>
          <w:szCs w:val="32"/>
        </w:rPr>
        <w:t>2020〕34号</w:t>
      </w:r>
    </w:p>
    <w:p w:rsidR="000D1546" w:rsidRDefault="00727B6B">
      <w:pPr>
        <w:spacing w:line="560" w:lineRule="exact"/>
        <w:ind w:firstLineChars="200" w:firstLine="420"/>
        <w:rPr>
          <w:rFonts w:eastAsia="黑体"/>
          <w:b/>
          <w:bCs/>
          <w:sz w:val="36"/>
        </w:rPr>
      </w:pPr>
      <w:r>
        <w:pict>
          <v:line id="直线 3" o:spid="_x0000_s1026" style="position:absolute;left:0;text-align:left;z-index:251659264" from="3.6pt,6pt" to="453.6pt,6pt" strokecolor="red" strokeweight="3pt"/>
        </w:pict>
      </w:r>
    </w:p>
    <w:p w:rsidR="000D1546" w:rsidRPr="000D1546" w:rsidRDefault="000D1546" w:rsidP="000D1546">
      <w:pPr>
        <w:jc w:val="center"/>
        <w:rPr>
          <w:rFonts w:ascii="方正小标宋简体" w:eastAsia="方正小标宋简体" w:hAnsi="Times New Roman"/>
          <w:sz w:val="44"/>
          <w:szCs w:val="44"/>
        </w:rPr>
      </w:pPr>
      <w:bookmarkStart w:id="2" w:name="zhengwen"/>
      <w:r w:rsidRPr="000D1546">
        <w:rPr>
          <w:rFonts w:ascii="方正小标宋简体" w:eastAsia="方正小标宋简体" w:hAnsi="Times New Roman" w:hint="eastAsia"/>
          <w:sz w:val="44"/>
          <w:szCs w:val="44"/>
        </w:rPr>
        <w:t>关于印发《桂林医学院教书育人奖励办法》的通知</w:t>
      </w:r>
    </w:p>
    <w:p w:rsidR="000D1546" w:rsidRPr="00F358AC" w:rsidRDefault="000D1546" w:rsidP="000D1546">
      <w:pPr>
        <w:jc w:val="center"/>
        <w:rPr>
          <w:rFonts w:ascii="黑体" w:eastAsia="黑体" w:hAnsi="黑体"/>
          <w:sz w:val="36"/>
          <w:szCs w:val="36"/>
        </w:rPr>
      </w:pPr>
    </w:p>
    <w:p w:rsidR="000D1546" w:rsidRPr="00F358AC" w:rsidRDefault="000D1546" w:rsidP="000D1546">
      <w:pPr>
        <w:jc w:val="left"/>
        <w:rPr>
          <w:rFonts w:ascii="仿宋_GB2312" w:eastAsia="仿宋_GB2312" w:hAnsi="仿宋_GB2312" w:cs="仿宋_GB2312"/>
          <w:sz w:val="32"/>
          <w:szCs w:val="32"/>
        </w:rPr>
      </w:pPr>
      <w:r w:rsidRPr="00F358AC">
        <w:rPr>
          <w:rFonts w:ascii="仿宋_GB2312" w:eastAsia="仿宋_GB2312" w:hAnsi="仿宋_GB2312" w:cs="仿宋_GB2312" w:hint="eastAsia"/>
          <w:sz w:val="32"/>
          <w:szCs w:val="32"/>
        </w:rPr>
        <w:t>校直各单位、各部门：</w:t>
      </w:r>
    </w:p>
    <w:p w:rsidR="000D1546" w:rsidRPr="00F358AC" w:rsidRDefault="000D1546" w:rsidP="000D1546">
      <w:pPr>
        <w:ind w:firstLineChars="200" w:firstLine="640"/>
        <w:jc w:val="left"/>
        <w:rPr>
          <w:rFonts w:ascii="仿宋_GB2312" w:eastAsia="仿宋_GB2312" w:hAnsi="仿宋_GB2312" w:cs="仿宋_GB2312"/>
          <w:sz w:val="32"/>
          <w:szCs w:val="32"/>
        </w:rPr>
      </w:pPr>
      <w:r w:rsidRPr="00F358AC">
        <w:rPr>
          <w:rFonts w:ascii="仿宋_GB2312" w:eastAsia="仿宋_GB2312" w:hAnsi="仿宋_GB2312" w:cs="仿宋_GB2312" w:hint="eastAsia"/>
          <w:sz w:val="32"/>
          <w:szCs w:val="32"/>
        </w:rPr>
        <w:t>为牢固树立学校教学中心地位，鼓励广大教职工积极投入教书育人工作，全面提高教学质量和水平，现将《桂林医学院教书育人奖励办法》印发给你们，请认真组织学习，贯彻执行。</w:t>
      </w:r>
    </w:p>
    <w:p w:rsidR="000D1546" w:rsidRPr="00F358AC" w:rsidRDefault="000D1546" w:rsidP="000D1546">
      <w:pPr>
        <w:ind w:firstLineChars="200" w:firstLine="640"/>
        <w:jc w:val="left"/>
        <w:rPr>
          <w:rFonts w:ascii="宋体" w:eastAsia="宋体" w:hAnsi="宋体"/>
          <w:sz w:val="32"/>
          <w:szCs w:val="32"/>
        </w:rPr>
      </w:pPr>
    </w:p>
    <w:p w:rsidR="000D1546" w:rsidRPr="00F358AC" w:rsidRDefault="00634DDA" w:rsidP="000D1546">
      <w:pPr>
        <w:tabs>
          <w:tab w:val="left" w:pos="7560"/>
        </w:tabs>
        <w:spacing w:line="620" w:lineRule="exact"/>
        <w:ind w:firstLineChars="1700" w:firstLine="5440"/>
        <w:rPr>
          <w:rFonts w:ascii="仿宋_GB2312" w:eastAsia="仿宋_GB2312" w:hAnsi="宋体"/>
          <w:sz w:val="32"/>
          <w:szCs w:val="32"/>
        </w:rPr>
      </w:pPr>
      <w:r>
        <w:rPr>
          <w:rFonts w:ascii="仿宋_GB2312" w:eastAsia="仿宋_GB2312" w:hAnsi="宋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41.25pt;margin-top:539.25pt;width:121pt;height:119pt;z-index:251660288;mso-position-horizontal-relative:page;mso-position-vertical-relative:page" stroked="f">
            <v:imagedata r:id="rId10" o:title=""/>
            <w10:wrap anchorx="page" anchory="page"/>
            <w10:anchorlock/>
          </v:shape>
          <w:control r:id="rId11" w:name="SecSignControl1" w:shapeid="_x0000_s1028"/>
        </w:pict>
      </w:r>
      <w:r w:rsidR="000D1546" w:rsidRPr="00F358AC">
        <w:rPr>
          <w:rFonts w:ascii="仿宋_GB2312" w:eastAsia="仿宋_GB2312" w:hAnsi="宋体" w:hint="eastAsia"/>
          <w:sz w:val="32"/>
          <w:szCs w:val="32"/>
        </w:rPr>
        <w:t>桂林医学院</w:t>
      </w:r>
    </w:p>
    <w:p w:rsidR="000D1546" w:rsidRPr="00F358AC" w:rsidRDefault="000D1546" w:rsidP="00634DDA">
      <w:pPr>
        <w:tabs>
          <w:tab w:val="left" w:pos="7560"/>
        </w:tabs>
        <w:spacing w:line="620" w:lineRule="exact"/>
        <w:ind w:firstLineChars="1600" w:firstLine="5120"/>
        <w:rPr>
          <w:rFonts w:ascii="仿宋_GB2312" w:eastAsia="仿宋_GB2312" w:hAnsi="宋体"/>
          <w:sz w:val="32"/>
          <w:szCs w:val="32"/>
        </w:rPr>
      </w:pPr>
      <w:r w:rsidRPr="00F358AC">
        <w:rPr>
          <w:rFonts w:ascii="仿宋_GB2312" w:eastAsia="仿宋_GB2312" w:hAnsi="宋体" w:hint="eastAsia"/>
          <w:sz w:val="32"/>
          <w:szCs w:val="32"/>
        </w:rPr>
        <w:t>2020年</w:t>
      </w:r>
      <w:r>
        <w:rPr>
          <w:rFonts w:ascii="仿宋_GB2312" w:eastAsia="仿宋_GB2312" w:hAnsi="宋体" w:hint="eastAsia"/>
          <w:sz w:val="32"/>
          <w:szCs w:val="32"/>
        </w:rPr>
        <w:t>6</w:t>
      </w:r>
      <w:r w:rsidRPr="00F358AC">
        <w:rPr>
          <w:rFonts w:ascii="仿宋_GB2312" w:eastAsia="仿宋_GB2312" w:hAnsi="宋体" w:hint="eastAsia"/>
          <w:sz w:val="32"/>
          <w:szCs w:val="32"/>
        </w:rPr>
        <w:t>月</w:t>
      </w:r>
      <w:r>
        <w:rPr>
          <w:rFonts w:ascii="仿宋_GB2312" w:eastAsia="仿宋_GB2312" w:hAnsi="宋体" w:hint="eastAsia"/>
          <w:sz w:val="32"/>
          <w:szCs w:val="32"/>
        </w:rPr>
        <w:t>10</w:t>
      </w:r>
      <w:r w:rsidRPr="00F358AC">
        <w:rPr>
          <w:rFonts w:ascii="仿宋_GB2312" w:eastAsia="仿宋_GB2312" w:hAnsi="宋体" w:hint="eastAsia"/>
          <w:sz w:val="32"/>
          <w:szCs w:val="32"/>
        </w:rPr>
        <w:t>日</w:t>
      </w:r>
    </w:p>
    <w:p w:rsidR="000D1546" w:rsidRDefault="000D1546" w:rsidP="000D1546">
      <w:pPr>
        <w:jc w:val="center"/>
        <w:rPr>
          <w:rFonts w:ascii="方正小标宋简体" w:eastAsia="方正小标宋简体" w:hAnsi="Times New Roman"/>
          <w:sz w:val="44"/>
          <w:szCs w:val="44"/>
        </w:rPr>
      </w:pPr>
      <w:r w:rsidRPr="00F358AC">
        <w:rPr>
          <w:rFonts w:ascii="黑体" w:eastAsia="黑体" w:hAnsi="黑体"/>
          <w:sz w:val="36"/>
          <w:szCs w:val="36"/>
        </w:rPr>
        <w:br w:type="page"/>
      </w:r>
    </w:p>
    <w:p w:rsidR="000D1546" w:rsidRDefault="000D1546" w:rsidP="00634DDA">
      <w:pPr>
        <w:widowControl/>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桂林医学院教书育人奖励办法</w:t>
      </w:r>
    </w:p>
    <w:p w:rsidR="00634DDA" w:rsidRDefault="00634DDA" w:rsidP="00634DDA">
      <w:pPr>
        <w:ind w:firstLineChars="200" w:firstLine="640"/>
        <w:jc w:val="center"/>
        <w:rPr>
          <w:rFonts w:ascii="黑体" w:eastAsia="黑体" w:hAnsi="黑体" w:hint="eastAsia"/>
          <w:sz w:val="32"/>
          <w:szCs w:val="30"/>
        </w:rPr>
      </w:pPr>
    </w:p>
    <w:p w:rsidR="000D1546" w:rsidRPr="00634DDA" w:rsidRDefault="000D1546" w:rsidP="00634DDA">
      <w:pPr>
        <w:ind w:firstLineChars="200" w:firstLine="640"/>
        <w:jc w:val="center"/>
        <w:rPr>
          <w:rFonts w:ascii="黑体" w:eastAsia="黑体" w:hAnsi="黑体"/>
          <w:sz w:val="32"/>
          <w:szCs w:val="30"/>
        </w:rPr>
      </w:pPr>
      <w:r w:rsidRPr="00634DDA">
        <w:rPr>
          <w:rFonts w:ascii="黑体" w:eastAsia="黑体" w:hAnsi="黑体" w:hint="eastAsia"/>
          <w:sz w:val="32"/>
          <w:szCs w:val="30"/>
        </w:rPr>
        <w:t>第一章  总则</w:t>
      </w:r>
    </w:p>
    <w:p w:rsidR="000D1546" w:rsidRPr="00634DDA" w:rsidRDefault="000D1546" w:rsidP="00634DDA">
      <w:pPr>
        <w:ind w:firstLineChars="200" w:firstLine="640"/>
        <w:rPr>
          <w:rFonts w:ascii="仿宋_GB2312" w:eastAsia="仿宋_GB2312" w:hAnsi="仿宋_GB2312" w:cs="仿宋_GB2312"/>
          <w:sz w:val="32"/>
          <w:szCs w:val="32"/>
        </w:rPr>
      </w:pPr>
      <w:r w:rsidRPr="00634DDA">
        <w:rPr>
          <w:rFonts w:ascii="仿宋_GB2312" w:eastAsia="仿宋_GB2312" w:hAnsi="仿宋_GB2312" w:cs="仿宋_GB2312" w:hint="eastAsia"/>
          <w:sz w:val="32"/>
          <w:szCs w:val="32"/>
        </w:rPr>
        <w:t>第一条  为牢固树立学校教学中心地位，鼓励广大教职工积极投入教书育人工作，全面提高教学质量和水平，特制定本办法。</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教书育人奖励范围：</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1.教学立项奖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.教学成果奖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3.教学论文及教材奖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4.教学比赛奖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5.教学荣誉称号奖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6.本科课堂教学改革奖</w:t>
      </w:r>
    </w:p>
    <w:p w:rsidR="000D1546" w:rsidRPr="00634DDA"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7.本科课堂教学质量奖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8.育人标兵奖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9.教书育人业绩综合奖</w:t>
      </w:r>
    </w:p>
    <w:p w:rsidR="000D1546" w:rsidRPr="00634DDA" w:rsidRDefault="000D1546" w:rsidP="00634DDA">
      <w:pPr>
        <w:ind w:firstLineChars="200" w:firstLine="640"/>
        <w:rPr>
          <w:rFonts w:ascii="仿宋_GB2312" w:eastAsia="仿宋_GB2312" w:hAnsi="仿宋_GB2312" w:cs="仿宋_GB2312"/>
          <w:sz w:val="32"/>
          <w:szCs w:val="32"/>
        </w:rPr>
      </w:pPr>
      <w:r w:rsidRPr="00281409">
        <w:rPr>
          <w:rFonts w:ascii="仿宋_GB2312" w:eastAsia="仿宋_GB2312" w:hAnsi="仿宋_GB2312" w:cs="仿宋_GB2312" w:hint="eastAsia"/>
          <w:sz w:val="32"/>
          <w:szCs w:val="32"/>
        </w:rPr>
        <w:t>学校对在职期间为</w:t>
      </w:r>
      <w:r>
        <w:rPr>
          <w:rFonts w:ascii="仿宋_GB2312" w:eastAsia="仿宋_GB2312" w:hAnsi="仿宋_GB2312" w:cs="仿宋_GB2312" w:hint="eastAsia"/>
          <w:sz w:val="32"/>
          <w:szCs w:val="32"/>
        </w:rPr>
        <w:t>教书育人各项工作</w:t>
      </w:r>
      <w:r w:rsidRPr="00281409">
        <w:rPr>
          <w:rFonts w:ascii="仿宋_GB2312" w:eastAsia="仿宋_GB2312" w:hAnsi="仿宋_GB2312" w:cs="仿宋_GB2312" w:hint="eastAsia"/>
          <w:sz w:val="32"/>
          <w:szCs w:val="32"/>
        </w:rPr>
        <w:t>做出</w:t>
      </w:r>
      <w:r>
        <w:rPr>
          <w:rFonts w:ascii="仿宋_GB2312" w:eastAsia="仿宋_GB2312" w:hAnsi="仿宋_GB2312" w:cs="仿宋_GB2312" w:hint="eastAsia"/>
          <w:sz w:val="32"/>
          <w:szCs w:val="32"/>
        </w:rPr>
        <w:t>突出</w:t>
      </w:r>
      <w:r w:rsidRPr="00281409">
        <w:rPr>
          <w:rFonts w:ascii="仿宋_GB2312" w:eastAsia="仿宋_GB2312" w:hAnsi="仿宋_GB2312" w:cs="仿宋_GB2312" w:hint="eastAsia"/>
          <w:sz w:val="32"/>
          <w:szCs w:val="32"/>
        </w:rPr>
        <w:t>贡献的桂林医学院教职工给予奖励。</w:t>
      </w:r>
    </w:p>
    <w:p w:rsidR="000D1546" w:rsidRPr="00281409"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第三条  </w:t>
      </w:r>
      <w:r w:rsidRPr="00281409">
        <w:rPr>
          <w:rFonts w:ascii="仿宋_GB2312" w:eastAsia="仿宋_GB2312" w:hAnsi="仿宋_GB2312" w:cs="仿宋_GB2312" w:hint="eastAsia"/>
          <w:sz w:val="32"/>
          <w:szCs w:val="32"/>
        </w:rPr>
        <w:t>根据奖项设置，由相关职能部门组织制定具体的</w:t>
      </w:r>
      <w:r>
        <w:rPr>
          <w:rFonts w:ascii="仿宋_GB2312" w:eastAsia="仿宋_GB2312" w:hAnsi="仿宋_GB2312" w:cs="仿宋_GB2312" w:hint="eastAsia"/>
          <w:sz w:val="32"/>
          <w:szCs w:val="32"/>
        </w:rPr>
        <w:t>奖项</w:t>
      </w:r>
      <w:r w:rsidRPr="00281409">
        <w:rPr>
          <w:rFonts w:ascii="仿宋_GB2312" w:eastAsia="仿宋_GB2312" w:hAnsi="仿宋_GB2312" w:cs="仿宋_GB2312" w:hint="eastAsia"/>
          <w:sz w:val="32"/>
          <w:szCs w:val="32"/>
        </w:rPr>
        <w:t>评定细则和管理办法，报学校审议通过后执行。</w:t>
      </w:r>
    </w:p>
    <w:p w:rsidR="00634DDA" w:rsidRDefault="00634DDA" w:rsidP="00634DDA">
      <w:pPr>
        <w:adjustRightInd w:val="0"/>
        <w:jc w:val="center"/>
        <w:rPr>
          <w:rFonts w:ascii="黑体" w:eastAsia="黑体" w:hAnsi="黑体" w:hint="eastAsia"/>
          <w:sz w:val="32"/>
          <w:szCs w:val="32"/>
        </w:rPr>
      </w:pPr>
    </w:p>
    <w:p w:rsidR="000D1546" w:rsidRDefault="000D1546" w:rsidP="00634DDA">
      <w:pPr>
        <w:adjustRightInd w:val="0"/>
        <w:jc w:val="center"/>
        <w:rPr>
          <w:rFonts w:ascii="黑体" w:eastAsia="黑体" w:hAnsi="黑体"/>
          <w:sz w:val="32"/>
          <w:szCs w:val="32"/>
        </w:rPr>
      </w:pPr>
      <w:r>
        <w:rPr>
          <w:rFonts w:ascii="黑体" w:eastAsia="黑体" w:hAnsi="黑体" w:hint="eastAsia"/>
          <w:sz w:val="32"/>
          <w:szCs w:val="32"/>
        </w:rPr>
        <w:t>第二章  教书育人奖励范围与标准</w:t>
      </w: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第一节  教学立项奖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“桂林医学院”为第一承担单位并</w:t>
      </w:r>
      <w:proofErr w:type="gramStart"/>
      <w:r>
        <w:rPr>
          <w:rFonts w:ascii="仿宋_GB2312" w:eastAsia="仿宋_GB2312" w:hAnsi="仿宋_GB2312" w:cs="仿宋_GB2312" w:hint="eastAsia"/>
          <w:sz w:val="32"/>
          <w:szCs w:val="32"/>
        </w:rPr>
        <w:t>获经费</w:t>
      </w:r>
      <w:proofErr w:type="gramEnd"/>
      <w:r>
        <w:rPr>
          <w:rFonts w:ascii="仿宋_GB2312" w:eastAsia="仿宋_GB2312" w:hAnsi="仿宋_GB2312" w:cs="仿宋_GB2312" w:hint="eastAsia"/>
          <w:sz w:val="32"/>
          <w:szCs w:val="32"/>
        </w:rPr>
        <w:t>资助的纵向教学研究项目（不包括自筹课题、校级课题等），国家级项目按上级下拨课题经费的20%给予奖励；省部级项目按上级下拨课题经费的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5%给予奖励。</w:t>
      </w:r>
    </w:p>
    <w:p w:rsidR="000D1546" w:rsidRDefault="000D1546" w:rsidP="00634DD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获一流本科课程、一流本科专业等质量工程项目或其他创优项目的，国家级项目学校奖励25万元，自治区级项目学校奖励5万元。</w:t>
      </w:r>
    </w:p>
    <w:p w:rsidR="00634DDA" w:rsidRDefault="00634DDA" w:rsidP="000D1546">
      <w:pPr>
        <w:ind w:firstLine="570"/>
        <w:rPr>
          <w:rFonts w:ascii="仿宋_GB2312" w:eastAsia="仿宋_GB2312" w:hAnsi="仿宋_GB2312" w:cs="仿宋_GB2312"/>
          <w:sz w:val="32"/>
          <w:szCs w:val="32"/>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第二节  教学成果奖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以“桂林医学院”为署名单位获国家级教学成果特等、一等、二等奖的，学校分别给予300万、20</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万、150万元奖励；获自治区级教学成果特等、一等、二等、三等奖的，学校分别给予50万、2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万元奖励；获校级教学成果特等、一等、二等、三等奖的，学校分别奖励2</w:t>
      </w:r>
      <w:r>
        <w:rPr>
          <w:rFonts w:ascii="仿宋_GB2312" w:eastAsia="仿宋_GB2312" w:hAnsi="仿宋_GB2312" w:cs="仿宋_GB2312"/>
          <w:sz w:val="32"/>
          <w:szCs w:val="32"/>
        </w:rPr>
        <w:t>万</w:t>
      </w:r>
      <w:r>
        <w:rPr>
          <w:rFonts w:ascii="仿宋_GB2312" w:eastAsia="仿宋_GB2312" w:hAnsi="仿宋_GB2312" w:cs="仿宋_GB2312" w:hint="eastAsia"/>
          <w:sz w:val="32"/>
          <w:szCs w:val="32"/>
        </w:rPr>
        <w:t>、1万、0.6万、0.4万元。以“桂林医学院”为非第一完成单位与外单位合作项目获奖的(仅限国家级教学成果奖)，前五名（含）学校给予奖励，奖励标准如下表：</w:t>
      </w:r>
    </w:p>
    <w:p w:rsidR="00634DDA" w:rsidRDefault="00634DDA" w:rsidP="000D1546">
      <w:pPr>
        <w:jc w:val="center"/>
        <w:rPr>
          <w:rFonts w:ascii="仿宋" w:eastAsia="仿宋" w:hAnsi="仿宋" w:hint="eastAsia"/>
          <w:sz w:val="32"/>
          <w:szCs w:val="28"/>
        </w:rPr>
      </w:pPr>
    </w:p>
    <w:p w:rsidR="000D1546" w:rsidRPr="00634DDA" w:rsidRDefault="000D1546" w:rsidP="000D1546">
      <w:pPr>
        <w:jc w:val="center"/>
        <w:rPr>
          <w:rFonts w:ascii="仿宋" w:eastAsia="仿宋" w:hAnsi="仿宋"/>
          <w:sz w:val="32"/>
          <w:szCs w:val="28"/>
        </w:rPr>
      </w:pPr>
      <w:r w:rsidRPr="00634DDA">
        <w:rPr>
          <w:rFonts w:ascii="仿宋" w:eastAsia="仿宋" w:hAnsi="仿宋" w:hint="eastAsia"/>
          <w:sz w:val="32"/>
          <w:szCs w:val="28"/>
        </w:rPr>
        <w:t>与外单位合作项目奖励标准（单位：万元）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1587"/>
        <w:gridCol w:w="1587"/>
        <w:gridCol w:w="1587"/>
        <w:gridCol w:w="1587"/>
      </w:tblGrid>
      <w:tr w:rsidR="000D1546" w:rsidTr="00634DDA">
        <w:trPr>
          <w:trHeight w:val="650"/>
          <w:jc w:val="center"/>
        </w:trPr>
        <w:tc>
          <w:tcPr>
            <w:tcW w:w="2018" w:type="dxa"/>
            <w:tcBorders>
              <w:tl2br w:val="single" w:sz="4" w:space="0" w:color="auto"/>
            </w:tcBorders>
          </w:tcPr>
          <w:p w:rsidR="000D1546" w:rsidRPr="00634DDA" w:rsidRDefault="000D1546" w:rsidP="00634DDA">
            <w:pPr>
              <w:spacing w:beforeLines="50" w:before="156" w:line="300" w:lineRule="exact"/>
              <w:jc w:val="center"/>
              <w:rPr>
                <w:rFonts w:ascii="仿宋_GB2312" w:eastAsia="仿宋_GB2312" w:hAnsi="仿宋"/>
                <w:sz w:val="24"/>
                <w:szCs w:val="28"/>
              </w:rPr>
            </w:pPr>
            <w:r w:rsidRPr="00634DDA">
              <w:rPr>
                <w:rFonts w:ascii="仿宋_GB2312" w:eastAsia="仿宋_GB2312" w:hAnsi="仿宋" w:hint="eastAsia"/>
                <w:sz w:val="24"/>
                <w:szCs w:val="28"/>
              </w:rPr>
              <w:t xml:space="preserve"> </w:t>
            </w:r>
            <w:r w:rsidR="00634DDA" w:rsidRPr="00634DDA">
              <w:rPr>
                <w:rFonts w:ascii="仿宋_GB2312" w:eastAsia="仿宋_GB2312" w:hAnsi="仿宋" w:hint="eastAsia"/>
                <w:sz w:val="24"/>
                <w:szCs w:val="28"/>
              </w:rPr>
              <w:t xml:space="preserve">    </w:t>
            </w:r>
            <w:r w:rsidR="00634DDA">
              <w:rPr>
                <w:rFonts w:ascii="仿宋_GB2312" w:eastAsia="仿宋_GB2312" w:hAnsi="仿宋" w:hint="eastAsia"/>
                <w:sz w:val="24"/>
                <w:szCs w:val="28"/>
              </w:rPr>
              <w:t xml:space="preserve">   </w:t>
            </w:r>
            <w:r w:rsidRPr="00634DDA">
              <w:rPr>
                <w:rFonts w:ascii="仿宋_GB2312" w:eastAsia="仿宋_GB2312" w:hAnsi="仿宋" w:hint="eastAsia"/>
                <w:sz w:val="24"/>
                <w:szCs w:val="28"/>
              </w:rPr>
              <w:t>排名</w:t>
            </w:r>
          </w:p>
          <w:p w:rsidR="000D1546" w:rsidRPr="00634DDA" w:rsidRDefault="000D1546" w:rsidP="00634DDA">
            <w:pPr>
              <w:spacing w:line="300" w:lineRule="exact"/>
              <w:ind w:firstLineChars="100" w:firstLine="240"/>
              <w:rPr>
                <w:rFonts w:ascii="仿宋_GB2312" w:eastAsia="仿宋_GB2312" w:hAnsi="仿宋"/>
                <w:sz w:val="24"/>
                <w:szCs w:val="28"/>
              </w:rPr>
            </w:pPr>
            <w:r w:rsidRPr="00634DDA">
              <w:rPr>
                <w:rFonts w:ascii="仿宋_GB2312" w:eastAsia="仿宋_GB2312" w:hAnsi="仿宋" w:hint="eastAsia"/>
                <w:sz w:val="24"/>
                <w:szCs w:val="28"/>
              </w:rPr>
              <w:t>等级</w:t>
            </w:r>
          </w:p>
        </w:tc>
        <w:tc>
          <w:tcPr>
            <w:tcW w:w="1587" w:type="dxa"/>
            <w:vAlign w:val="center"/>
          </w:tcPr>
          <w:p w:rsidR="000D1546" w:rsidRPr="00634DDA" w:rsidRDefault="000D1546" w:rsidP="00634DDA">
            <w:pPr>
              <w:spacing w:line="300" w:lineRule="exact"/>
              <w:jc w:val="center"/>
              <w:rPr>
                <w:rFonts w:ascii="仿宋_GB2312" w:eastAsia="仿宋_GB2312" w:hAnsi="仿宋"/>
                <w:sz w:val="24"/>
                <w:szCs w:val="28"/>
              </w:rPr>
            </w:pPr>
            <w:r w:rsidRPr="00634DDA">
              <w:rPr>
                <w:rFonts w:ascii="仿宋_GB2312" w:eastAsia="仿宋_GB2312" w:hAnsi="仿宋" w:hint="eastAsia"/>
                <w:sz w:val="24"/>
                <w:szCs w:val="28"/>
              </w:rPr>
              <w:t>二</w:t>
            </w:r>
          </w:p>
        </w:tc>
        <w:tc>
          <w:tcPr>
            <w:tcW w:w="1587" w:type="dxa"/>
            <w:vAlign w:val="center"/>
          </w:tcPr>
          <w:p w:rsidR="000D1546" w:rsidRPr="00634DDA" w:rsidRDefault="000D1546" w:rsidP="00634DDA">
            <w:pPr>
              <w:spacing w:line="300" w:lineRule="exact"/>
              <w:jc w:val="center"/>
              <w:rPr>
                <w:rFonts w:ascii="仿宋_GB2312" w:eastAsia="仿宋_GB2312" w:hAnsi="仿宋"/>
                <w:sz w:val="24"/>
                <w:szCs w:val="28"/>
              </w:rPr>
            </w:pPr>
            <w:r w:rsidRPr="00634DDA">
              <w:rPr>
                <w:rFonts w:ascii="仿宋_GB2312" w:eastAsia="仿宋_GB2312" w:hAnsi="仿宋" w:hint="eastAsia"/>
                <w:sz w:val="24"/>
                <w:szCs w:val="28"/>
              </w:rPr>
              <w:t>三</w:t>
            </w:r>
          </w:p>
        </w:tc>
        <w:tc>
          <w:tcPr>
            <w:tcW w:w="1587" w:type="dxa"/>
            <w:vAlign w:val="center"/>
          </w:tcPr>
          <w:p w:rsidR="000D1546" w:rsidRPr="00634DDA" w:rsidRDefault="000D1546" w:rsidP="00634DDA">
            <w:pPr>
              <w:spacing w:line="300" w:lineRule="exact"/>
              <w:jc w:val="center"/>
              <w:rPr>
                <w:rFonts w:ascii="仿宋_GB2312" w:eastAsia="仿宋_GB2312" w:hAnsi="仿宋"/>
                <w:sz w:val="24"/>
                <w:szCs w:val="28"/>
              </w:rPr>
            </w:pPr>
            <w:r w:rsidRPr="00634DDA">
              <w:rPr>
                <w:rFonts w:ascii="仿宋_GB2312" w:eastAsia="仿宋_GB2312" w:hAnsi="仿宋" w:hint="eastAsia"/>
                <w:sz w:val="24"/>
                <w:szCs w:val="28"/>
              </w:rPr>
              <w:t>四</w:t>
            </w:r>
          </w:p>
        </w:tc>
        <w:tc>
          <w:tcPr>
            <w:tcW w:w="1587" w:type="dxa"/>
            <w:vAlign w:val="center"/>
          </w:tcPr>
          <w:p w:rsidR="000D1546" w:rsidRPr="00634DDA" w:rsidRDefault="000D1546" w:rsidP="00634DDA">
            <w:pPr>
              <w:spacing w:line="300" w:lineRule="exact"/>
              <w:jc w:val="center"/>
              <w:rPr>
                <w:rFonts w:ascii="仿宋_GB2312" w:eastAsia="仿宋_GB2312" w:hAnsi="仿宋"/>
                <w:sz w:val="24"/>
                <w:szCs w:val="28"/>
              </w:rPr>
            </w:pPr>
            <w:r w:rsidRPr="00634DDA">
              <w:rPr>
                <w:rFonts w:ascii="仿宋_GB2312" w:eastAsia="仿宋_GB2312" w:hAnsi="仿宋" w:hint="eastAsia"/>
                <w:sz w:val="24"/>
                <w:szCs w:val="28"/>
              </w:rPr>
              <w:t>五</w:t>
            </w:r>
          </w:p>
        </w:tc>
      </w:tr>
      <w:tr w:rsidR="000D1546" w:rsidTr="007B7418">
        <w:trPr>
          <w:trHeight w:val="600"/>
          <w:jc w:val="center"/>
        </w:trPr>
        <w:tc>
          <w:tcPr>
            <w:tcW w:w="2018"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特等奖</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50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30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20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15</w:t>
            </w:r>
          </w:p>
        </w:tc>
      </w:tr>
      <w:tr w:rsidR="000D1546" w:rsidTr="007B7418">
        <w:trPr>
          <w:trHeight w:val="590"/>
          <w:jc w:val="center"/>
        </w:trPr>
        <w:tc>
          <w:tcPr>
            <w:tcW w:w="2018"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一等奖</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30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20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15</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10</w:t>
            </w:r>
          </w:p>
        </w:tc>
      </w:tr>
      <w:tr w:rsidR="000D1546" w:rsidTr="007B7418">
        <w:trPr>
          <w:trHeight w:val="600"/>
          <w:jc w:val="center"/>
        </w:trPr>
        <w:tc>
          <w:tcPr>
            <w:tcW w:w="2018"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二等奖</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20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15</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10</w:t>
            </w:r>
          </w:p>
        </w:tc>
        <w:tc>
          <w:tcPr>
            <w:tcW w:w="1587" w:type="dxa"/>
          </w:tcPr>
          <w:p w:rsidR="000D1546" w:rsidRPr="00634DDA" w:rsidRDefault="000D1546" w:rsidP="00634DDA">
            <w:pPr>
              <w:spacing w:beforeLines="50" w:before="156"/>
              <w:jc w:val="center"/>
              <w:rPr>
                <w:rFonts w:ascii="仿宋_GB2312" w:eastAsia="仿宋_GB2312" w:hAnsi="仿宋"/>
                <w:sz w:val="24"/>
                <w:szCs w:val="28"/>
              </w:rPr>
            </w:pPr>
            <w:r w:rsidRPr="00634DDA">
              <w:rPr>
                <w:rFonts w:ascii="仿宋_GB2312" w:eastAsia="仿宋_GB2312" w:hAnsi="仿宋" w:hint="eastAsia"/>
                <w:sz w:val="24"/>
                <w:szCs w:val="28"/>
              </w:rPr>
              <w:t>5</w:t>
            </w:r>
          </w:p>
        </w:tc>
      </w:tr>
    </w:tbl>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以“桂林医学院”为署名单位获</w:t>
      </w:r>
      <w:r>
        <w:rPr>
          <w:rFonts w:ascii="仿宋_GB2312" w:eastAsia="仿宋_GB2312" w:hAnsi="仿宋_GB2312" w:cs="仿宋_GB2312"/>
          <w:sz w:val="32"/>
          <w:szCs w:val="32"/>
        </w:rPr>
        <w:t>国家级教育科学研究优秀成果</w:t>
      </w:r>
      <w:r>
        <w:rPr>
          <w:rFonts w:ascii="仿宋_GB2312" w:eastAsia="仿宋_GB2312" w:hAnsi="仿宋_GB2312" w:cs="仿宋_GB2312" w:hint="eastAsia"/>
          <w:sz w:val="32"/>
          <w:szCs w:val="32"/>
        </w:rPr>
        <w:t>一等、二等、三等奖</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学校分别给予10</w:t>
      </w:r>
      <w:r>
        <w:rPr>
          <w:rFonts w:ascii="仿宋_GB2312" w:eastAsia="仿宋_GB2312" w:hAnsi="仿宋_GB2312" w:cs="仿宋_GB2312"/>
          <w:sz w:val="32"/>
          <w:szCs w:val="32"/>
        </w:rPr>
        <w:t>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3万元奖励</w:t>
      </w:r>
      <w:r>
        <w:rPr>
          <w:rFonts w:ascii="仿宋_GB2312" w:eastAsia="仿宋_GB2312" w:hAnsi="仿宋_GB2312" w:cs="仿宋_GB2312" w:hint="eastAsia"/>
          <w:sz w:val="32"/>
          <w:szCs w:val="32"/>
        </w:rPr>
        <w:t>；获</w:t>
      </w:r>
      <w:r>
        <w:rPr>
          <w:rFonts w:ascii="仿宋_GB2312" w:eastAsia="仿宋_GB2312" w:hAnsi="仿宋_GB2312" w:cs="仿宋_GB2312"/>
          <w:sz w:val="32"/>
          <w:szCs w:val="32"/>
        </w:rPr>
        <w:t>自治区级教育科学研究优秀成果</w:t>
      </w:r>
      <w:r>
        <w:rPr>
          <w:rFonts w:ascii="仿宋_GB2312" w:eastAsia="仿宋_GB2312" w:hAnsi="仿宋_GB2312" w:cs="仿宋_GB2312" w:hint="eastAsia"/>
          <w:sz w:val="32"/>
          <w:szCs w:val="32"/>
        </w:rPr>
        <w:t>一等、二等、三等奖</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学校分别给予3</w:t>
      </w:r>
      <w:r>
        <w:rPr>
          <w:rFonts w:ascii="仿宋_GB2312" w:eastAsia="仿宋_GB2312" w:hAnsi="仿宋_GB2312" w:cs="仿宋_GB2312"/>
          <w:sz w:val="32"/>
          <w:szCs w:val="32"/>
        </w:rPr>
        <w:t>万、2万、1万元奖励。</w:t>
      </w:r>
    </w:p>
    <w:p w:rsidR="000D1546" w:rsidRDefault="000D1546" w:rsidP="00634DD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第八条  </w:t>
      </w:r>
      <w:r>
        <w:rPr>
          <w:rFonts w:ascii="仿宋_GB2312" w:eastAsia="仿宋_GB2312" w:hAnsi="仿宋_GB2312" w:cs="仿宋_GB2312"/>
          <w:sz w:val="32"/>
          <w:szCs w:val="32"/>
        </w:rPr>
        <w:t>在国家级教育教学研究学术组织中获得奖励的，可参照自治区级教育科学研究优秀成果</w:t>
      </w:r>
      <w:proofErr w:type="gramStart"/>
      <w:r>
        <w:rPr>
          <w:rFonts w:ascii="仿宋_GB2312" w:eastAsia="仿宋_GB2312" w:hAnsi="仿宋_GB2312" w:cs="仿宋_GB2312"/>
          <w:sz w:val="32"/>
          <w:szCs w:val="32"/>
        </w:rPr>
        <w:t>奖进行</w:t>
      </w:r>
      <w:proofErr w:type="gramEnd"/>
      <w:r>
        <w:rPr>
          <w:rFonts w:ascii="仿宋_GB2312" w:eastAsia="仿宋_GB2312" w:hAnsi="仿宋_GB2312" w:cs="仿宋_GB2312"/>
          <w:sz w:val="32"/>
          <w:szCs w:val="32"/>
        </w:rPr>
        <w:t>奖励</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在自治区级教育教学研究学术组织中获得奖励的，可参照校级教学成果</w:t>
      </w:r>
      <w:proofErr w:type="gramStart"/>
      <w:r>
        <w:rPr>
          <w:rFonts w:ascii="仿宋_GB2312" w:eastAsia="仿宋_GB2312" w:hAnsi="仿宋_GB2312" w:cs="仿宋_GB2312"/>
          <w:sz w:val="32"/>
          <w:szCs w:val="32"/>
        </w:rPr>
        <w:t>奖进行</w:t>
      </w:r>
      <w:proofErr w:type="gramEnd"/>
      <w:r>
        <w:rPr>
          <w:rFonts w:ascii="仿宋_GB2312" w:eastAsia="仿宋_GB2312" w:hAnsi="仿宋_GB2312" w:cs="仿宋_GB2312"/>
          <w:sz w:val="32"/>
          <w:szCs w:val="32"/>
        </w:rPr>
        <w:t>奖励</w:t>
      </w:r>
      <w:r>
        <w:rPr>
          <w:rFonts w:ascii="仿宋_GB2312" w:eastAsia="仿宋_GB2312" w:hAnsi="仿宋_GB2312" w:cs="仿宋_GB2312" w:hint="eastAsia"/>
          <w:sz w:val="32"/>
          <w:szCs w:val="32"/>
        </w:rPr>
        <w:t>。</w:t>
      </w:r>
    </w:p>
    <w:p w:rsidR="00634DDA" w:rsidRDefault="00634DDA" w:rsidP="00634DDA">
      <w:pPr>
        <w:ind w:firstLine="570"/>
        <w:rPr>
          <w:rFonts w:ascii="宋体" w:eastAsia="宋体" w:hAnsi="宋体"/>
          <w:sz w:val="28"/>
          <w:szCs w:val="28"/>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第三节  教学论文及教材奖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以“桂林医学院”为第一署名单位在国际刊物和社科类核心期刊公开发表教育教学研究论文的，学校奖励10000元</w:t>
      </w:r>
      <w:r>
        <w:rPr>
          <w:rFonts w:ascii="仿宋_GB2312" w:eastAsia="仿宋_GB2312" w:hAnsi="仿宋_GB2312" w:cs="仿宋_GB2312"/>
          <w:sz w:val="32"/>
          <w:szCs w:val="32"/>
        </w:rPr>
        <w:t>/篇</w:t>
      </w:r>
      <w:r>
        <w:rPr>
          <w:rFonts w:ascii="仿宋_GB2312" w:eastAsia="仿宋_GB2312" w:hAnsi="仿宋_GB2312" w:cs="仿宋_GB2312" w:hint="eastAsia"/>
          <w:sz w:val="32"/>
          <w:szCs w:val="32"/>
        </w:rPr>
        <w:t>，同一论文只奖励一次。</w:t>
      </w:r>
      <w:r>
        <w:rPr>
          <w:rFonts w:ascii="仿宋_GB2312" w:eastAsia="仿宋_GB2312" w:hAnsi="仿宋_GB2312" w:cs="仿宋_GB2312"/>
          <w:sz w:val="32"/>
          <w:szCs w:val="32"/>
        </w:rPr>
        <w:t>经学校评审，获</w:t>
      </w:r>
      <w:r>
        <w:rPr>
          <w:rFonts w:ascii="仿宋_GB2312" w:eastAsia="仿宋_GB2312" w:hAnsi="仿宋_GB2312" w:cs="仿宋_GB2312" w:hint="eastAsia"/>
          <w:sz w:val="32"/>
          <w:szCs w:val="32"/>
        </w:rPr>
        <w:t>校级</w:t>
      </w:r>
      <w:r>
        <w:rPr>
          <w:rFonts w:ascii="仿宋_GB2312" w:eastAsia="仿宋_GB2312" w:hAnsi="仿宋_GB2312" w:cs="仿宋_GB2312"/>
          <w:sz w:val="32"/>
          <w:szCs w:val="32"/>
        </w:rPr>
        <w:t>教育教学优秀论文</w:t>
      </w:r>
      <w:r>
        <w:rPr>
          <w:rFonts w:ascii="仿宋_GB2312" w:eastAsia="仿宋_GB2312" w:hAnsi="仿宋_GB2312" w:cs="仿宋_GB2312" w:hint="eastAsia"/>
          <w:sz w:val="32"/>
          <w:szCs w:val="32"/>
        </w:rPr>
        <w:t>一等、二等、三等奖的</w:t>
      </w:r>
      <w:r>
        <w:rPr>
          <w:rFonts w:ascii="仿宋_GB2312" w:eastAsia="仿宋_GB2312" w:hAnsi="仿宋_GB2312" w:cs="仿宋_GB2312"/>
          <w:sz w:val="32"/>
          <w:szCs w:val="32"/>
        </w:rPr>
        <w:t>，学校分别奖励</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000元/篇。</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第十条  </w:t>
      </w:r>
      <w:r>
        <w:rPr>
          <w:rFonts w:ascii="仿宋_GB2312" w:eastAsia="仿宋_GB2312" w:hAnsi="仿宋_GB2312" w:cs="仿宋_GB2312"/>
          <w:sz w:val="32"/>
          <w:szCs w:val="32"/>
        </w:rPr>
        <w:t>获中华医学会医学教育分会“医学教育和医学教育管理百篇优秀论文”一等、二等、三等奖</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，学校分别奖励</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000元/篇</w:t>
      </w:r>
      <w:r>
        <w:rPr>
          <w:rFonts w:ascii="仿宋_GB2312" w:eastAsia="仿宋_GB2312" w:hAnsi="仿宋_GB2312" w:cs="仿宋_GB2312" w:hint="eastAsia"/>
          <w:sz w:val="32"/>
          <w:szCs w:val="32"/>
        </w:rPr>
        <w:t>。</w:t>
      </w:r>
    </w:p>
    <w:p w:rsidR="000D1546" w:rsidRPr="00634DDA"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公开出版教材的主编、副主编、编委，学校按以下标准给予奖励（单位：元）：</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1328"/>
        <w:gridCol w:w="1329"/>
        <w:gridCol w:w="1329"/>
      </w:tblGrid>
      <w:tr w:rsidR="000D1546" w:rsidTr="00634DDA">
        <w:trPr>
          <w:trHeight w:val="699"/>
        </w:trPr>
        <w:tc>
          <w:tcPr>
            <w:tcW w:w="251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教材类型</w:t>
            </w:r>
          </w:p>
        </w:tc>
        <w:tc>
          <w:tcPr>
            <w:tcW w:w="2552"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教材适用层次</w:t>
            </w:r>
          </w:p>
        </w:tc>
        <w:tc>
          <w:tcPr>
            <w:tcW w:w="132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主编</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副主编</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编委</w:t>
            </w:r>
          </w:p>
        </w:tc>
      </w:tr>
      <w:tr w:rsidR="000D1546" w:rsidTr="00634DDA">
        <w:trPr>
          <w:trHeight w:val="554"/>
        </w:trPr>
        <w:tc>
          <w:tcPr>
            <w:tcW w:w="2518" w:type="dxa"/>
            <w:vMerge w:val="restart"/>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国家级规划教材</w:t>
            </w:r>
          </w:p>
        </w:tc>
        <w:tc>
          <w:tcPr>
            <w:tcW w:w="2552"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本科或研究生</w:t>
            </w:r>
          </w:p>
        </w:tc>
        <w:tc>
          <w:tcPr>
            <w:tcW w:w="132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20000</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10000</w:t>
            </w:r>
          </w:p>
        </w:tc>
        <w:tc>
          <w:tcPr>
            <w:tcW w:w="1329" w:type="dxa"/>
            <w:tcBorders>
              <w:bottom w:val="single" w:sz="4" w:space="0" w:color="auto"/>
            </w:tcBorders>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r>
      <w:tr w:rsidR="000D1546" w:rsidTr="00634DDA">
        <w:trPr>
          <w:trHeight w:val="775"/>
        </w:trPr>
        <w:tc>
          <w:tcPr>
            <w:tcW w:w="2518" w:type="dxa"/>
            <w:vMerge/>
            <w:vAlign w:val="center"/>
          </w:tcPr>
          <w:p w:rsidR="000D1546" w:rsidRPr="00634DDA" w:rsidRDefault="000D1546" w:rsidP="007B7418">
            <w:pPr>
              <w:spacing w:line="540" w:lineRule="exact"/>
              <w:jc w:val="center"/>
              <w:rPr>
                <w:rFonts w:ascii="仿宋_GB2312" w:eastAsia="仿宋_GB2312" w:hAnsi="仿宋" w:cs="宋体"/>
                <w:kern w:val="0"/>
                <w:sz w:val="24"/>
                <w:szCs w:val="24"/>
              </w:rPr>
            </w:pPr>
          </w:p>
        </w:tc>
        <w:tc>
          <w:tcPr>
            <w:tcW w:w="2552" w:type="dxa"/>
            <w:vAlign w:val="center"/>
          </w:tcPr>
          <w:p w:rsidR="000D1546" w:rsidRPr="00634DDA" w:rsidRDefault="000D1546" w:rsidP="00634DDA">
            <w:pPr>
              <w:spacing w:line="4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高职高专或</w:t>
            </w:r>
          </w:p>
          <w:p w:rsidR="000D1546" w:rsidRPr="00634DDA" w:rsidRDefault="000D1546" w:rsidP="00634DDA">
            <w:pPr>
              <w:spacing w:line="4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成人学历教育</w:t>
            </w:r>
          </w:p>
        </w:tc>
        <w:tc>
          <w:tcPr>
            <w:tcW w:w="132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10000</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5000</w:t>
            </w:r>
          </w:p>
        </w:tc>
        <w:tc>
          <w:tcPr>
            <w:tcW w:w="1329" w:type="dxa"/>
            <w:tcBorders>
              <w:bottom w:val="single" w:sz="4" w:space="0" w:color="auto"/>
              <w:tr2bl w:val="nil"/>
            </w:tcBorders>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w:t>
            </w:r>
          </w:p>
        </w:tc>
      </w:tr>
      <w:tr w:rsidR="000D1546" w:rsidTr="00634DDA">
        <w:trPr>
          <w:trHeight w:val="517"/>
        </w:trPr>
        <w:tc>
          <w:tcPr>
            <w:tcW w:w="2518" w:type="dxa"/>
            <w:vMerge w:val="restart"/>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非国家级规划教材</w:t>
            </w:r>
          </w:p>
        </w:tc>
        <w:tc>
          <w:tcPr>
            <w:tcW w:w="2552"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本科或研究生</w:t>
            </w:r>
          </w:p>
        </w:tc>
        <w:tc>
          <w:tcPr>
            <w:tcW w:w="132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5000</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c>
          <w:tcPr>
            <w:tcW w:w="1329" w:type="dxa"/>
            <w:tcBorders>
              <w:bottom w:val="single" w:sz="4" w:space="0" w:color="auto"/>
              <w:tr2bl w:val="nil"/>
            </w:tcBorders>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hint="eastAsia"/>
                <w:sz w:val="24"/>
                <w:szCs w:val="24"/>
              </w:rPr>
              <w:t>——</w:t>
            </w:r>
          </w:p>
        </w:tc>
      </w:tr>
      <w:tr w:rsidR="000D1546" w:rsidTr="00634DDA">
        <w:trPr>
          <w:trHeight w:val="852"/>
        </w:trPr>
        <w:tc>
          <w:tcPr>
            <w:tcW w:w="2518" w:type="dxa"/>
            <w:vMerge/>
            <w:vAlign w:val="center"/>
          </w:tcPr>
          <w:p w:rsidR="000D1546" w:rsidRPr="00634DDA" w:rsidRDefault="000D1546" w:rsidP="007B7418">
            <w:pPr>
              <w:spacing w:line="540" w:lineRule="exact"/>
              <w:jc w:val="center"/>
              <w:rPr>
                <w:rFonts w:ascii="仿宋_GB2312" w:eastAsia="仿宋_GB2312" w:hAnsi="仿宋" w:cs="宋体"/>
                <w:kern w:val="0"/>
                <w:sz w:val="24"/>
                <w:szCs w:val="24"/>
              </w:rPr>
            </w:pPr>
          </w:p>
        </w:tc>
        <w:tc>
          <w:tcPr>
            <w:tcW w:w="2552" w:type="dxa"/>
            <w:vAlign w:val="center"/>
          </w:tcPr>
          <w:p w:rsidR="000D1546" w:rsidRPr="00634DDA" w:rsidRDefault="000D1546" w:rsidP="00634DDA">
            <w:pPr>
              <w:spacing w:line="4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高职高专或</w:t>
            </w:r>
          </w:p>
          <w:p w:rsidR="000D1546" w:rsidRPr="00634DDA" w:rsidRDefault="000D1546" w:rsidP="00634DDA">
            <w:pPr>
              <w:spacing w:line="4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成人学历教育</w:t>
            </w:r>
          </w:p>
        </w:tc>
        <w:tc>
          <w:tcPr>
            <w:tcW w:w="1328"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c>
          <w:tcPr>
            <w:tcW w:w="1329" w:type="dxa"/>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c>
          <w:tcPr>
            <w:tcW w:w="1329" w:type="dxa"/>
            <w:tcBorders>
              <w:tr2bl w:val="nil"/>
            </w:tcBorders>
            <w:vAlign w:val="center"/>
          </w:tcPr>
          <w:p w:rsidR="000D1546" w:rsidRPr="00634DDA" w:rsidRDefault="000D1546" w:rsidP="007B7418">
            <w:pPr>
              <w:spacing w:line="540" w:lineRule="exact"/>
              <w:jc w:val="center"/>
              <w:rPr>
                <w:rFonts w:ascii="仿宋_GB2312" w:eastAsia="仿宋_GB2312" w:hAnsi="仿宋" w:cs="宋体"/>
                <w:kern w:val="0"/>
                <w:sz w:val="24"/>
                <w:szCs w:val="24"/>
              </w:rPr>
            </w:pPr>
            <w:r w:rsidRPr="00634DDA">
              <w:rPr>
                <w:rFonts w:ascii="仿宋_GB2312" w:eastAsia="仿宋_GB2312" w:hAnsi="仿宋" w:hint="eastAsia"/>
                <w:sz w:val="24"/>
                <w:szCs w:val="24"/>
              </w:rPr>
              <w:t>——</w:t>
            </w:r>
          </w:p>
        </w:tc>
      </w:tr>
    </w:tbl>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规划教材包括经教育部遴选的普通高等教育国家级规划教材（如“十二五”普通高等教育本科国家级规划教材）、国家卫生健康委员会组织编写的规划教材（如国家卫生健康委员会“十三五”规划教材）。</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2.当同一教材的主编或副主编由我校多名教师担任时，非国家级规划教材的主编、副主编分别按照一个名额给予奖励，由排名最前的主编、副主编负责奖金的分配。</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3.奖励范围不包括实验指导、学习指导、习题集等配套教辅教材。</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4.己经获得一次奖励并需要修订再版的教材，学校不再给予奖励。</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5．有总主编的教材，学校奖励额度按照降一档的标准执行。</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第四节  教学比赛奖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经学校组织，教师参加授课比赛、教学技能比赛、教育教学信息化大赛等获奖的，或教师指导学生参加学科竞赛、技能竞赛、“互联网+”大学生创新创业大赛、</w:t>
      </w:r>
      <w:r>
        <w:rPr>
          <w:rFonts w:ascii="仿宋_GB2312" w:eastAsia="仿宋_GB2312" w:hAnsi="仿宋_GB2312" w:cs="仿宋_GB2312"/>
          <w:sz w:val="32"/>
          <w:szCs w:val="32"/>
        </w:rPr>
        <w:t>“挑战杯”</w:t>
      </w:r>
      <w:r>
        <w:rPr>
          <w:rFonts w:ascii="仿宋_GB2312" w:eastAsia="仿宋_GB2312" w:hAnsi="仿宋_GB2312" w:cs="仿宋_GB2312" w:hint="eastAsia"/>
          <w:sz w:val="32"/>
          <w:szCs w:val="32"/>
        </w:rPr>
        <w:t>大学生</w:t>
      </w:r>
      <w:r>
        <w:rPr>
          <w:rFonts w:ascii="仿宋_GB2312" w:eastAsia="仿宋_GB2312" w:hAnsi="仿宋_GB2312" w:cs="仿宋_GB2312"/>
          <w:sz w:val="32"/>
          <w:szCs w:val="32"/>
        </w:rPr>
        <w:t>课外学术科技作品竞赛</w:t>
      </w:r>
      <w:r>
        <w:rPr>
          <w:rFonts w:ascii="仿宋_GB2312" w:eastAsia="仿宋_GB2312" w:hAnsi="仿宋_GB2312" w:cs="仿宋_GB2312" w:hint="eastAsia"/>
          <w:sz w:val="32"/>
          <w:szCs w:val="32"/>
        </w:rPr>
        <w:t>、</w:t>
      </w:r>
      <w:r w:rsidRPr="009B3B66">
        <w:rPr>
          <w:rFonts w:ascii="仿宋_GB2312" w:eastAsia="仿宋_GB2312" w:hAnsi="仿宋_GB2312" w:cs="仿宋_GB2312" w:hint="eastAsia"/>
          <w:sz w:val="32"/>
          <w:szCs w:val="32"/>
        </w:rPr>
        <w:t>“创青春”大学生创业大赛</w:t>
      </w:r>
      <w:r>
        <w:rPr>
          <w:rFonts w:ascii="仿宋_GB2312" w:eastAsia="仿宋_GB2312" w:hAnsi="仿宋_GB2312" w:cs="仿宋_GB2312" w:hint="eastAsia"/>
          <w:sz w:val="32"/>
          <w:szCs w:val="32"/>
        </w:rPr>
        <w:t>、英语竞赛、体育竞赛、大学生艺术展演等获奖的，学校均给予奖励。</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教师竞赛奖励标准(单位：元）：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1985"/>
        <w:gridCol w:w="2410"/>
        <w:gridCol w:w="2693"/>
      </w:tblGrid>
      <w:tr w:rsidR="000D1546" w:rsidTr="00634DDA">
        <w:trPr>
          <w:trHeight w:val="727"/>
          <w:tblHeader/>
          <w:jc w:val="center"/>
        </w:trPr>
        <w:tc>
          <w:tcPr>
            <w:tcW w:w="1784" w:type="dxa"/>
            <w:tcBorders>
              <w:tl2br w:val="single" w:sz="4" w:space="0" w:color="auto"/>
            </w:tcBorders>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 xml:space="preserve">     竞赛组织</w:t>
            </w:r>
          </w:p>
          <w:p w:rsidR="00634DDA" w:rsidRDefault="00634DDA" w:rsidP="00634DDA">
            <w:pPr>
              <w:widowControl/>
              <w:spacing w:line="300" w:lineRule="exact"/>
              <w:jc w:val="left"/>
              <w:rPr>
                <w:rFonts w:ascii="仿宋_GB2312" w:eastAsia="仿宋_GB2312" w:hAnsi="仿宋" w:cs="宋体" w:hint="eastAsia"/>
                <w:kern w:val="0"/>
                <w:sz w:val="24"/>
                <w:szCs w:val="24"/>
              </w:rPr>
            </w:pPr>
          </w:p>
          <w:p w:rsidR="000D1546" w:rsidRPr="00634DDA" w:rsidRDefault="000D1546" w:rsidP="00634DDA">
            <w:pPr>
              <w:widowControl/>
              <w:spacing w:line="300" w:lineRule="exact"/>
              <w:jc w:val="left"/>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获奖等级</w:t>
            </w:r>
          </w:p>
        </w:tc>
        <w:tc>
          <w:tcPr>
            <w:tcW w:w="1985"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教育部或教育部委托部门组织</w:t>
            </w:r>
          </w:p>
        </w:tc>
        <w:tc>
          <w:tcPr>
            <w:tcW w:w="2410"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国家级学会</w:t>
            </w:r>
            <w:proofErr w:type="gramStart"/>
            <w:r w:rsidRPr="00634DDA">
              <w:rPr>
                <w:rFonts w:ascii="仿宋_GB2312" w:eastAsia="仿宋_GB2312" w:hAnsi="仿宋" w:cs="宋体" w:hint="eastAsia"/>
                <w:kern w:val="0"/>
                <w:sz w:val="24"/>
                <w:szCs w:val="24"/>
              </w:rPr>
              <w:t>或教指委</w:t>
            </w:r>
            <w:proofErr w:type="gramEnd"/>
            <w:r w:rsidRPr="00634DDA">
              <w:rPr>
                <w:rFonts w:ascii="仿宋_GB2312" w:eastAsia="仿宋_GB2312" w:hAnsi="仿宋" w:cs="宋体" w:hint="eastAsia"/>
                <w:kern w:val="0"/>
                <w:sz w:val="24"/>
                <w:szCs w:val="24"/>
              </w:rPr>
              <w:t>组织/自治区级</w:t>
            </w:r>
          </w:p>
        </w:tc>
        <w:tc>
          <w:tcPr>
            <w:tcW w:w="2693" w:type="dxa"/>
            <w:vAlign w:val="center"/>
          </w:tcPr>
          <w:p w:rsidR="000D1546" w:rsidRPr="00634DDA" w:rsidRDefault="000D1546" w:rsidP="00634DDA">
            <w:pPr>
              <w:widowControl/>
              <w:spacing w:line="300" w:lineRule="exact"/>
              <w:jc w:val="left"/>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自治区级学会</w:t>
            </w:r>
            <w:proofErr w:type="gramStart"/>
            <w:r w:rsidRPr="00634DDA">
              <w:rPr>
                <w:rFonts w:ascii="仿宋_GB2312" w:eastAsia="仿宋_GB2312" w:hAnsi="仿宋" w:cs="宋体" w:hint="eastAsia"/>
                <w:kern w:val="0"/>
                <w:sz w:val="24"/>
                <w:szCs w:val="24"/>
              </w:rPr>
              <w:t>或教指委</w:t>
            </w:r>
            <w:proofErr w:type="gramEnd"/>
            <w:r w:rsidRPr="00634DDA">
              <w:rPr>
                <w:rFonts w:ascii="仿宋_GB2312" w:eastAsia="仿宋_GB2312" w:hAnsi="仿宋" w:cs="宋体" w:hint="eastAsia"/>
                <w:kern w:val="0"/>
                <w:sz w:val="24"/>
                <w:szCs w:val="24"/>
              </w:rPr>
              <w:t>组织/校级或市级</w:t>
            </w:r>
          </w:p>
        </w:tc>
      </w:tr>
      <w:tr w:rsidR="000D1546" w:rsidTr="00634DDA">
        <w:trPr>
          <w:trHeight w:val="544"/>
          <w:jc w:val="center"/>
        </w:trPr>
        <w:tc>
          <w:tcPr>
            <w:tcW w:w="1784"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特等奖</w:t>
            </w:r>
          </w:p>
        </w:tc>
        <w:tc>
          <w:tcPr>
            <w:tcW w:w="1985"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10000</w:t>
            </w:r>
          </w:p>
        </w:tc>
        <w:tc>
          <w:tcPr>
            <w:tcW w:w="2410"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8000</w:t>
            </w:r>
          </w:p>
        </w:tc>
        <w:tc>
          <w:tcPr>
            <w:tcW w:w="2693"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5000</w:t>
            </w:r>
          </w:p>
        </w:tc>
      </w:tr>
      <w:tr w:rsidR="000D1546" w:rsidTr="00634DDA">
        <w:trPr>
          <w:trHeight w:val="566"/>
          <w:jc w:val="center"/>
        </w:trPr>
        <w:tc>
          <w:tcPr>
            <w:tcW w:w="1784"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一等奖</w:t>
            </w:r>
          </w:p>
        </w:tc>
        <w:tc>
          <w:tcPr>
            <w:tcW w:w="1985"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8000</w:t>
            </w:r>
          </w:p>
        </w:tc>
        <w:tc>
          <w:tcPr>
            <w:tcW w:w="2410"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6000</w:t>
            </w:r>
          </w:p>
        </w:tc>
        <w:tc>
          <w:tcPr>
            <w:tcW w:w="2693"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3000</w:t>
            </w:r>
          </w:p>
        </w:tc>
      </w:tr>
      <w:tr w:rsidR="000D1546" w:rsidTr="00634DDA">
        <w:trPr>
          <w:trHeight w:val="560"/>
          <w:jc w:val="center"/>
        </w:trPr>
        <w:tc>
          <w:tcPr>
            <w:tcW w:w="1784"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二等奖</w:t>
            </w:r>
          </w:p>
        </w:tc>
        <w:tc>
          <w:tcPr>
            <w:tcW w:w="1985"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6000</w:t>
            </w:r>
          </w:p>
        </w:tc>
        <w:tc>
          <w:tcPr>
            <w:tcW w:w="2410"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4000</w:t>
            </w:r>
          </w:p>
        </w:tc>
        <w:tc>
          <w:tcPr>
            <w:tcW w:w="2693"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2000</w:t>
            </w:r>
          </w:p>
        </w:tc>
      </w:tr>
      <w:tr w:rsidR="000D1546" w:rsidTr="00634DDA">
        <w:trPr>
          <w:trHeight w:val="523"/>
          <w:jc w:val="center"/>
        </w:trPr>
        <w:tc>
          <w:tcPr>
            <w:tcW w:w="1784"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三等奖</w:t>
            </w:r>
          </w:p>
        </w:tc>
        <w:tc>
          <w:tcPr>
            <w:tcW w:w="1985"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4000</w:t>
            </w:r>
          </w:p>
        </w:tc>
        <w:tc>
          <w:tcPr>
            <w:tcW w:w="2410"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2000</w:t>
            </w:r>
          </w:p>
        </w:tc>
        <w:tc>
          <w:tcPr>
            <w:tcW w:w="2693" w:type="dxa"/>
            <w:vAlign w:val="center"/>
          </w:tcPr>
          <w:p w:rsidR="000D1546" w:rsidRDefault="000D1546" w:rsidP="007B7418">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1000</w:t>
            </w:r>
          </w:p>
        </w:tc>
      </w:tr>
    </w:tbl>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注：获国家级、自治区级竞赛组织奖的，按三等奖给予奖励。</w:t>
      </w:r>
    </w:p>
    <w:p w:rsidR="00634DDA" w:rsidRDefault="000D1546" w:rsidP="00634DD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第十四条  教师指导学生竞赛奖励标准(单位：元）： </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（一）“互联网+”大学生创新创业大赛、</w:t>
      </w:r>
      <w:r w:rsidRPr="009B3B66">
        <w:rPr>
          <w:rFonts w:ascii="仿宋_GB2312" w:eastAsia="仿宋_GB2312" w:hAnsi="仿宋_GB2312" w:cs="仿宋_GB2312" w:hint="eastAsia"/>
          <w:sz w:val="32"/>
          <w:szCs w:val="32"/>
        </w:rPr>
        <w:t>“挑战杯”大学生课外学术科技作品竞赛、“创青春”大学生创业大赛</w:t>
      </w:r>
    </w:p>
    <w:tbl>
      <w:tblPr>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2835"/>
        <w:gridCol w:w="3402"/>
      </w:tblGrid>
      <w:tr w:rsidR="000D1546" w:rsidTr="00634DDA">
        <w:trPr>
          <w:trHeight w:val="988"/>
        </w:trPr>
        <w:tc>
          <w:tcPr>
            <w:tcW w:w="1242"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级别</w:t>
            </w:r>
          </w:p>
        </w:tc>
        <w:tc>
          <w:tcPr>
            <w:tcW w:w="1276"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获奖等级</w:t>
            </w:r>
          </w:p>
        </w:tc>
        <w:tc>
          <w:tcPr>
            <w:tcW w:w="2835"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指导学生参加“互联网+”大学生创新创业大赛</w:t>
            </w:r>
          </w:p>
        </w:tc>
        <w:tc>
          <w:tcPr>
            <w:tcW w:w="3402" w:type="dxa"/>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指导学生参加“挑战杯”大学生课外学术科技作品竞赛、“创青春”大学生创业大赛</w:t>
            </w:r>
          </w:p>
        </w:tc>
      </w:tr>
      <w:tr w:rsidR="000D1546" w:rsidTr="00634DDA">
        <w:trPr>
          <w:trHeight w:val="546"/>
        </w:trPr>
        <w:tc>
          <w:tcPr>
            <w:tcW w:w="1242" w:type="dxa"/>
            <w:vMerge w:val="restart"/>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w:t>
            </w: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金奖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200000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150000</w:t>
            </w:r>
          </w:p>
        </w:tc>
      </w:tr>
      <w:tr w:rsidR="000D1546" w:rsidTr="00634DDA">
        <w:trPr>
          <w:trHeight w:val="554"/>
        </w:trPr>
        <w:tc>
          <w:tcPr>
            <w:tcW w:w="1242"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银奖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100000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80000</w:t>
            </w:r>
          </w:p>
        </w:tc>
      </w:tr>
      <w:tr w:rsidR="000D1546" w:rsidTr="00634DDA">
        <w:trPr>
          <w:trHeight w:val="562"/>
        </w:trPr>
        <w:tc>
          <w:tcPr>
            <w:tcW w:w="1242"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铜奖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30000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20000</w:t>
            </w:r>
          </w:p>
        </w:tc>
      </w:tr>
      <w:tr w:rsidR="000D1546" w:rsidTr="00634DDA">
        <w:trPr>
          <w:trHeight w:val="556"/>
        </w:trPr>
        <w:tc>
          <w:tcPr>
            <w:tcW w:w="1242" w:type="dxa"/>
            <w:vMerge w:val="restart"/>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自治区级</w:t>
            </w: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金奖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15000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10000</w:t>
            </w:r>
          </w:p>
        </w:tc>
      </w:tr>
      <w:tr w:rsidR="000D1546" w:rsidTr="00634DDA">
        <w:trPr>
          <w:trHeight w:val="564"/>
        </w:trPr>
        <w:tc>
          <w:tcPr>
            <w:tcW w:w="1242"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银奖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8000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6000</w:t>
            </w:r>
          </w:p>
        </w:tc>
      </w:tr>
      <w:tr w:rsidR="000D1546" w:rsidTr="00634DDA">
        <w:trPr>
          <w:trHeight w:val="558"/>
        </w:trPr>
        <w:tc>
          <w:tcPr>
            <w:tcW w:w="1242"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铜奖</w:t>
            </w:r>
          </w:p>
        </w:tc>
        <w:tc>
          <w:tcPr>
            <w:tcW w:w="2835"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4000</w:t>
            </w:r>
          </w:p>
        </w:tc>
        <w:tc>
          <w:tcPr>
            <w:tcW w:w="3402"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hint="eastAsia"/>
                <w:sz w:val="24"/>
                <w:szCs w:val="24"/>
              </w:rPr>
              <w:t>3000</w:t>
            </w:r>
          </w:p>
        </w:tc>
      </w:tr>
    </w:tbl>
    <w:p w:rsidR="000D1546" w:rsidRDefault="000D1546" w:rsidP="00634DDA">
      <w:pPr>
        <w:ind w:firstLine="539"/>
        <w:rPr>
          <w:rFonts w:ascii="仿宋_GB2312" w:eastAsia="仿宋_GB2312" w:hAnsi="仿宋_GB2312" w:cs="仿宋_GB2312"/>
          <w:sz w:val="32"/>
          <w:szCs w:val="32"/>
        </w:rPr>
      </w:pPr>
      <w:r>
        <w:rPr>
          <w:rFonts w:ascii="仿宋_GB2312" w:eastAsia="仿宋_GB2312" w:hAnsi="仿宋_GB2312" w:cs="仿宋_GB2312" w:hint="eastAsia"/>
          <w:sz w:val="32"/>
          <w:szCs w:val="32"/>
        </w:rPr>
        <w:t>（二）医学生临床技能竞赛、英语竞赛及其他学科竞赛与技能竞赛</w:t>
      </w:r>
    </w:p>
    <w:tbl>
      <w:tblPr>
        <w:tblW w:w="8781" w:type="dxa"/>
        <w:jc w:val="center"/>
        <w:tblInd w:w="-63" w:type="dxa"/>
        <w:tblLayout w:type="fixed"/>
        <w:tblLook w:val="04A0" w:firstRow="1" w:lastRow="0" w:firstColumn="1" w:lastColumn="0" w:noHBand="0" w:noVBand="1"/>
      </w:tblPr>
      <w:tblGrid>
        <w:gridCol w:w="1276"/>
        <w:gridCol w:w="1276"/>
        <w:gridCol w:w="2724"/>
        <w:gridCol w:w="1973"/>
        <w:gridCol w:w="1532"/>
      </w:tblGrid>
      <w:tr w:rsidR="000D1546" w:rsidTr="00634DDA">
        <w:trPr>
          <w:trHeight w:val="677"/>
          <w:tblHeader/>
          <w:jc w:val="center"/>
        </w:trPr>
        <w:tc>
          <w:tcPr>
            <w:tcW w:w="255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 xml:space="preserve">　      获奖项目</w:t>
            </w:r>
          </w:p>
          <w:p w:rsidR="000D1546" w:rsidRPr="00634DDA" w:rsidRDefault="000D1546" w:rsidP="00634DDA">
            <w:pPr>
              <w:widowControl/>
              <w:spacing w:line="300" w:lineRule="exact"/>
              <w:jc w:val="left"/>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获奖等级</w:t>
            </w:r>
          </w:p>
        </w:tc>
        <w:tc>
          <w:tcPr>
            <w:tcW w:w="2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指导医学生参加医学生临床技能竞赛</w:t>
            </w:r>
          </w:p>
        </w:tc>
        <w:tc>
          <w:tcPr>
            <w:tcW w:w="35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634DDA">
            <w:pPr>
              <w:widowControl/>
              <w:spacing w:line="300" w:lineRule="exact"/>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指导学生参加英语竞赛及其他学科竞赛与技能竞赛</w:t>
            </w:r>
          </w:p>
        </w:tc>
      </w:tr>
      <w:tr w:rsidR="000D1546" w:rsidTr="00634DDA">
        <w:trPr>
          <w:trHeight w:val="562"/>
          <w:tblHeader/>
          <w:jc w:val="center"/>
        </w:trPr>
        <w:tc>
          <w:tcPr>
            <w:tcW w:w="2552"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272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集体项目</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highlight w:val="lightGray"/>
              </w:rPr>
            </w:pPr>
            <w:r w:rsidRPr="00634DDA">
              <w:rPr>
                <w:rFonts w:ascii="仿宋_GB2312" w:eastAsia="仿宋_GB2312" w:hAnsi="仿宋" w:cs="宋体" w:hint="eastAsia"/>
                <w:kern w:val="0"/>
                <w:sz w:val="24"/>
                <w:szCs w:val="24"/>
              </w:rPr>
              <w:t>个人项目</w:t>
            </w:r>
          </w:p>
        </w:tc>
      </w:tr>
      <w:tr w:rsidR="000D1546" w:rsidTr="00634DDA">
        <w:trPr>
          <w:trHeight w:val="574"/>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国家级(教育部或教育部委托部门组织)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特等奖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5000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8000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6000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r>
      <w:tr w:rsidR="000D1546" w:rsidTr="00634DDA">
        <w:trPr>
          <w:trHeight w:val="574"/>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国家级学会组织或跨省级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特等奖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60000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8000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6000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10000</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w:t>
            </w:r>
          </w:p>
        </w:tc>
      </w:tr>
      <w:tr w:rsidR="000D1546" w:rsidTr="00634DDA">
        <w:trPr>
          <w:trHeight w:val="574"/>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自治区级或全国三级学会</w:t>
            </w:r>
          </w:p>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组织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特等奖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6000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1500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800</w:t>
            </w:r>
          </w:p>
        </w:tc>
      </w:tr>
      <w:tr w:rsidR="000D1546" w:rsidTr="00634DDA">
        <w:trPr>
          <w:trHeight w:val="574"/>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自治区级学会组织/市级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特等奖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3000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1500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2000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1500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800</w:t>
            </w:r>
          </w:p>
        </w:tc>
      </w:tr>
      <w:tr w:rsidR="000D1546" w:rsidTr="00634DDA">
        <w:trPr>
          <w:trHeight w:val="574"/>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2724"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jc w:val="center"/>
              <w:rPr>
                <w:rFonts w:ascii="仿宋_GB2312" w:eastAsia="仿宋_GB2312" w:hAnsi="仿宋"/>
                <w:sz w:val="24"/>
                <w:szCs w:val="24"/>
              </w:rPr>
            </w:pPr>
            <w:r w:rsidRPr="00634DDA">
              <w:rPr>
                <w:rFonts w:ascii="仿宋_GB2312" w:eastAsia="仿宋_GB2312" w:hAnsi="仿宋" w:hint="eastAsia"/>
                <w:sz w:val="24"/>
                <w:szCs w:val="24"/>
              </w:rPr>
              <w:t>——</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1000</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400</w:t>
            </w:r>
          </w:p>
        </w:tc>
      </w:tr>
    </w:tbl>
    <w:p w:rsidR="000D1546" w:rsidRPr="003043B3" w:rsidRDefault="000D1546" w:rsidP="000D1546">
      <w:pPr>
        <w:ind w:firstLine="539"/>
        <w:rPr>
          <w:rFonts w:ascii="仿宋_GB2312" w:eastAsia="仿宋_GB2312" w:hAnsi="仿宋_GB2312" w:cs="仿宋_GB2312"/>
          <w:sz w:val="32"/>
          <w:szCs w:val="32"/>
        </w:rPr>
      </w:pPr>
      <w:r w:rsidRPr="003043B3">
        <w:rPr>
          <w:rFonts w:ascii="仿宋_GB2312" w:eastAsia="仿宋_GB2312" w:hAnsi="仿宋_GB2312" w:cs="仿宋_GB2312" w:hint="eastAsia"/>
          <w:sz w:val="32"/>
          <w:szCs w:val="32"/>
        </w:rPr>
        <w:t>（三）大学生艺术展演活动</w:t>
      </w:r>
    </w:p>
    <w:tbl>
      <w:tblPr>
        <w:tblpPr w:leftFromText="180" w:rightFromText="180" w:vertAnchor="text" w:tblpXSpec="center"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3861"/>
      </w:tblGrid>
      <w:tr w:rsidR="000D1546" w:rsidRPr="003043B3" w:rsidTr="00634DDA">
        <w:trPr>
          <w:trHeight w:val="553"/>
        </w:trPr>
        <w:tc>
          <w:tcPr>
            <w:tcW w:w="1668"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级别</w:t>
            </w: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获奖等级</w:t>
            </w:r>
          </w:p>
        </w:tc>
        <w:tc>
          <w:tcPr>
            <w:tcW w:w="3861"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指导学生参加</w:t>
            </w:r>
            <w:r w:rsidRPr="00634DDA">
              <w:rPr>
                <w:rFonts w:ascii="仿宋_GB2312" w:eastAsia="仿宋_GB2312" w:hAnsi="仿宋_GB2312" w:cs="仿宋_GB2312" w:hint="eastAsia"/>
                <w:sz w:val="24"/>
                <w:szCs w:val="24"/>
              </w:rPr>
              <w:t>大学生艺术展演活动</w:t>
            </w:r>
          </w:p>
        </w:tc>
      </w:tr>
      <w:tr w:rsidR="000D1546" w:rsidRPr="003043B3" w:rsidTr="00634DDA">
        <w:trPr>
          <w:trHeight w:hRule="exact" w:val="583"/>
        </w:trPr>
        <w:tc>
          <w:tcPr>
            <w:tcW w:w="1668" w:type="dxa"/>
            <w:vMerge w:val="restart"/>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国家级</w:t>
            </w: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50000</w:t>
            </w:r>
          </w:p>
        </w:tc>
      </w:tr>
      <w:tr w:rsidR="000D1546" w:rsidRPr="003043B3" w:rsidTr="00634DDA">
        <w:trPr>
          <w:trHeight w:hRule="exact" w:val="563"/>
        </w:trPr>
        <w:tc>
          <w:tcPr>
            <w:tcW w:w="1668"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2</w:t>
            </w:r>
            <w:r w:rsidRPr="00634DDA">
              <w:rPr>
                <w:rFonts w:ascii="仿宋_GB2312" w:eastAsia="仿宋_GB2312" w:hAnsiTheme="minorEastAsia" w:hint="eastAsia"/>
                <w:sz w:val="24"/>
                <w:szCs w:val="24"/>
              </w:rPr>
              <w:t>0000</w:t>
            </w:r>
          </w:p>
        </w:tc>
      </w:tr>
      <w:tr w:rsidR="000D1546" w:rsidRPr="003043B3" w:rsidTr="00634DDA">
        <w:trPr>
          <w:trHeight w:hRule="exact" w:val="557"/>
        </w:trPr>
        <w:tc>
          <w:tcPr>
            <w:tcW w:w="1668"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1</w:t>
            </w:r>
            <w:r w:rsidRPr="00634DDA">
              <w:rPr>
                <w:rFonts w:ascii="仿宋_GB2312" w:eastAsia="仿宋_GB2312" w:hAnsiTheme="minorEastAsia" w:hint="eastAsia"/>
                <w:sz w:val="24"/>
                <w:szCs w:val="24"/>
              </w:rPr>
              <w:t>0000</w:t>
            </w:r>
          </w:p>
        </w:tc>
      </w:tr>
      <w:tr w:rsidR="000D1546" w:rsidRPr="003043B3" w:rsidTr="00634DDA">
        <w:trPr>
          <w:trHeight w:hRule="exact" w:val="565"/>
        </w:trPr>
        <w:tc>
          <w:tcPr>
            <w:tcW w:w="1668" w:type="dxa"/>
            <w:vMerge w:val="restart"/>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自治区级</w:t>
            </w: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一等奖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6000</w:t>
            </w:r>
          </w:p>
        </w:tc>
      </w:tr>
      <w:tr w:rsidR="000D1546" w:rsidRPr="003043B3" w:rsidTr="00634DDA">
        <w:trPr>
          <w:trHeight w:hRule="exact" w:val="559"/>
        </w:trPr>
        <w:tc>
          <w:tcPr>
            <w:tcW w:w="1668"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二等奖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4000</w:t>
            </w:r>
          </w:p>
        </w:tc>
      </w:tr>
      <w:tr w:rsidR="000D1546" w:rsidRPr="003043B3" w:rsidTr="00634DDA">
        <w:trPr>
          <w:trHeight w:hRule="exact" w:val="583"/>
        </w:trPr>
        <w:tc>
          <w:tcPr>
            <w:tcW w:w="1668" w:type="dxa"/>
            <w:vMerge/>
            <w:vAlign w:val="center"/>
          </w:tcPr>
          <w:p w:rsidR="000D1546" w:rsidRPr="00634DDA" w:rsidRDefault="000D1546" w:rsidP="007B7418">
            <w:pPr>
              <w:widowControl/>
              <w:jc w:val="center"/>
              <w:rPr>
                <w:rFonts w:ascii="仿宋_GB2312" w:eastAsia="仿宋_GB2312" w:hAnsi="仿宋" w:cs="宋体"/>
                <w:kern w:val="0"/>
                <w:sz w:val="24"/>
                <w:szCs w:val="24"/>
              </w:rPr>
            </w:pPr>
          </w:p>
        </w:tc>
        <w:tc>
          <w:tcPr>
            <w:tcW w:w="3260" w:type="dxa"/>
            <w:vAlign w:val="center"/>
          </w:tcPr>
          <w:p w:rsidR="000D1546" w:rsidRPr="00634DDA" w:rsidRDefault="000D1546" w:rsidP="007B7418">
            <w:pPr>
              <w:widowControl/>
              <w:jc w:val="center"/>
              <w:rPr>
                <w:rFonts w:ascii="仿宋_GB2312" w:eastAsia="仿宋_GB2312" w:hAnsi="仿宋" w:cs="宋体"/>
                <w:kern w:val="0"/>
                <w:sz w:val="24"/>
                <w:szCs w:val="24"/>
              </w:rPr>
            </w:pPr>
            <w:r w:rsidRPr="00634DDA">
              <w:rPr>
                <w:rFonts w:ascii="仿宋_GB2312" w:eastAsia="仿宋_GB2312" w:hAnsi="仿宋" w:cs="宋体" w:hint="eastAsia"/>
                <w:kern w:val="0"/>
                <w:sz w:val="24"/>
                <w:szCs w:val="24"/>
              </w:rPr>
              <w:t>三等奖</w:t>
            </w:r>
          </w:p>
        </w:tc>
        <w:tc>
          <w:tcPr>
            <w:tcW w:w="3861" w:type="dxa"/>
            <w:vAlign w:val="center"/>
          </w:tcPr>
          <w:p w:rsidR="000D1546" w:rsidRPr="00634DDA" w:rsidRDefault="000D1546" w:rsidP="007B7418">
            <w:pPr>
              <w:jc w:val="center"/>
              <w:rPr>
                <w:rFonts w:ascii="仿宋_GB2312" w:eastAsia="仿宋_GB2312" w:hAnsiTheme="minorEastAsia"/>
                <w:sz w:val="24"/>
                <w:szCs w:val="24"/>
              </w:rPr>
            </w:pPr>
            <w:r w:rsidRPr="00634DDA">
              <w:rPr>
                <w:rFonts w:ascii="仿宋_GB2312" w:eastAsia="仿宋_GB2312" w:hAnsiTheme="minorEastAsia"/>
                <w:sz w:val="24"/>
                <w:szCs w:val="24"/>
              </w:rPr>
              <w:t>2</w:t>
            </w:r>
            <w:r w:rsidRPr="00634DDA">
              <w:rPr>
                <w:rFonts w:ascii="仿宋_GB2312" w:eastAsia="仿宋_GB2312" w:hAnsiTheme="minorEastAsia" w:hint="eastAsia"/>
                <w:sz w:val="24"/>
                <w:szCs w:val="24"/>
              </w:rPr>
              <w:t>000</w:t>
            </w:r>
          </w:p>
        </w:tc>
      </w:tr>
    </w:tbl>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1.教师指导学生竞赛均以项目为单位进行奖励。同一项目同时获得多级别奖项的，按最高奖项予以奖励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已经获得一次奖励的</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再次</w:t>
      </w:r>
      <w:r>
        <w:rPr>
          <w:rFonts w:ascii="仿宋_GB2312" w:eastAsia="仿宋_GB2312" w:hAnsi="仿宋_GB2312" w:cs="仿宋_GB2312"/>
          <w:sz w:val="32"/>
          <w:szCs w:val="32"/>
        </w:rPr>
        <w:t>参赛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获得更高</w:t>
      </w:r>
      <w:r>
        <w:rPr>
          <w:rFonts w:ascii="仿宋_GB2312" w:eastAsia="仿宋_GB2312" w:hAnsi="仿宋_GB2312" w:cs="仿宋_GB2312" w:hint="eastAsia"/>
          <w:sz w:val="32"/>
          <w:szCs w:val="32"/>
        </w:rPr>
        <w:t>等次奖项的</w:t>
      </w:r>
      <w:r>
        <w:rPr>
          <w:rFonts w:ascii="仿宋_GB2312" w:eastAsia="仿宋_GB2312" w:hAnsi="仿宋_GB2312" w:cs="仿宋_GB2312"/>
          <w:sz w:val="32"/>
          <w:szCs w:val="32"/>
        </w:rPr>
        <w:t>可以</w:t>
      </w:r>
      <w:r>
        <w:rPr>
          <w:rFonts w:ascii="仿宋_GB2312" w:eastAsia="仿宋_GB2312" w:hAnsi="仿宋_GB2312" w:cs="仿宋_GB2312" w:hint="eastAsia"/>
          <w:sz w:val="32"/>
          <w:szCs w:val="32"/>
        </w:rPr>
        <w:t>再次</w:t>
      </w:r>
      <w:r>
        <w:rPr>
          <w:rFonts w:ascii="仿宋_GB2312" w:eastAsia="仿宋_GB2312" w:hAnsi="仿宋_GB2312" w:cs="仿宋_GB2312"/>
          <w:sz w:val="32"/>
          <w:szCs w:val="32"/>
        </w:rPr>
        <w:t>奖励,获得相同等次及以下奖项</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不予奖励。</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.荣获国家级、自治区级竞赛组织奖的，</w:t>
      </w:r>
      <w:r>
        <w:rPr>
          <w:rFonts w:ascii="仿宋_GB2312" w:eastAsia="仿宋_GB2312" w:hAnsi="仿宋_GB2312" w:cs="仿宋_GB2312"/>
          <w:sz w:val="32"/>
          <w:szCs w:val="32"/>
        </w:rPr>
        <w:t>学校</w:t>
      </w:r>
      <w:r>
        <w:rPr>
          <w:rFonts w:ascii="仿宋_GB2312" w:eastAsia="仿宋_GB2312" w:hAnsi="仿宋_GB2312" w:cs="仿宋_GB2312" w:hint="eastAsia"/>
          <w:sz w:val="32"/>
          <w:szCs w:val="32"/>
        </w:rPr>
        <w:t>按三等奖（铜奖）给予奖励。</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.指导学生论文获奖为相应等级个人项目奖励标准的一半。</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.全国大学生英语竞赛（广西赛区）和英语翻译竞赛的一等、二等、三等奖实质上为校级初赛产生，集体辅导与个别指导相结合，特等奖奖励总额为个人项目奖金额度的60%，一等奖以集体项目奖励。</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教师指导体育竞赛奖励标准为：</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由学校组织，教师指导学生参加全国、广西区各类体育竞赛，在比赛中获得名次者，按以下标准给予奖励(单位：元)： </w:t>
      </w:r>
    </w:p>
    <w:tbl>
      <w:tblPr>
        <w:tblW w:w="8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1"/>
        <w:gridCol w:w="2022"/>
        <w:gridCol w:w="2022"/>
        <w:gridCol w:w="2022"/>
      </w:tblGrid>
      <w:tr w:rsidR="000D1546" w:rsidTr="007B7418">
        <w:trPr>
          <w:trHeight w:val="648"/>
          <w:tblHeader/>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级别名次</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国家级</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区级</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市级</w:t>
            </w:r>
          </w:p>
        </w:tc>
      </w:tr>
      <w:tr w:rsidR="000D1546" w:rsidTr="00634DDA">
        <w:trPr>
          <w:trHeight w:val="549"/>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第一名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5000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3000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1000</w:t>
            </w:r>
          </w:p>
        </w:tc>
      </w:tr>
      <w:tr w:rsidR="000D1546" w:rsidTr="00634DDA">
        <w:trPr>
          <w:trHeight w:val="557"/>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第二名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4500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2500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800</w:t>
            </w:r>
          </w:p>
        </w:tc>
      </w:tr>
      <w:tr w:rsidR="000D1546" w:rsidTr="00634DDA">
        <w:trPr>
          <w:trHeight w:val="551"/>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第三名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4000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2000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600</w:t>
            </w:r>
          </w:p>
        </w:tc>
      </w:tr>
      <w:tr w:rsidR="000D1546" w:rsidTr="00634DDA">
        <w:trPr>
          <w:trHeight w:val="559"/>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第四名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3000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1500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400</w:t>
            </w:r>
          </w:p>
        </w:tc>
      </w:tr>
      <w:tr w:rsidR="000D1546" w:rsidTr="00634DDA">
        <w:trPr>
          <w:trHeight w:val="567"/>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第五名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2500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1200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300</w:t>
            </w:r>
          </w:p>
        </w:tc>
      </w:tr>
      <w:tr w:rsidR="000D1546" w:rsidTr="00634DDA">
        <w:trPr>
          <w:trHeight w:val="547"/>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第六名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2000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200</w:t>
            </w:r>
          </w:p>
        </w:tc>
      </w:tr>
      <w:tr w:rsidR="000D1546" w:rsidTr="00634DDA">
        <w:trPr>
          <w:trHeight w:val="555"/>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第七名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1500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800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rPr>
              <w:t>——</w:t>
            </w:r>
          </w:p>
        </w:tc>
      </w:tr>
      <w:tr w:rsidR="000D1546" w:rsidTr="00634DDA">
        <w:trPr>
          <w:trHeight w:val="563"/>
          <w:jc w:val="center"/>
        </w:trPr>
        <w:tc>
          <w:tcPr>
            <w:tcW w:w="2021"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第八名</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1000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szCs w:val="28"/>
              </w:rPr>
              <w:t>600</w:t>
            </w:r>
          </w:p>
        </w:tc>
        <w:tc>
          <w:tcPr>
            <w:tcW w:w="2022" w:type="dxa"/>
            <w:vAlign w:val="center"/>
          </w:tcPr>
          <w:p w:rsidR="000D1546" w:rsidRPr="00634DDA" w:rsidRDefault="000D1546" w:rsidP="007B7418">
            <w:pPr>
              <w:jc w:val="center"/>
              <w:rPr>
                <w:rFonts w:ascii="仿宋_GB2312" w:eastAsia="仿宋_GB2312" w:hAnsi="仿宋"/>
                <w:sz w:val="24"/>
                <w:szCs w:val="28"/>
              </w:rPr>
            </w:pPr>
            <w:r w:rsidRPr="00634DDA">
              <w:rPr>
                <w:rFonts w:ascii="仿宋_GB2312" w:eastAsia="仿宋_GB2312" w:hAnsi="仿宋" w:hint="eastAsia"/>
                <w:sz w:val="24"/>
              </w:rPr>
              <w:t>——</w:t>
            </w:r>
          </w:p>
        </w:tc>
      </w:tr>
    </w:tbl>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1.按获奖项目进行奖励，同一获奖项目按最高名次奖励，其他名次不再重复奖励。</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2.集体项目奖金数以双倍计。</w:t>
      </w:r>
    </w:p>
    <w:p w:rsidR="000D1546" w:rsidRPr="00634DDA"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破各级</w:t>
      </w:r>
      <w:proofErr w:type="gramEnd"/>
      <w:r>
        <w:rPr>
          <w:rFonts w:ascii="仿宋_GB2312" w:eastAsia="仿宋_GB2312" w:hAnsi="仿宋_GB2312" w:cs="仿宋_GB2312" w:hint="eastAsia"/>
          <w:sz w:val="32"/>
          <w:szCs w:val="32"/>
        </w:rPr>
        <w:t>比赛纪录者，除根据名次获得奖励外，另给予破纪录奖励：破全国纪录者奖励6000元，破全区纪录者奖励3000元</w:t>
      </w:r>
      <w:r w:rsidRPr="00634DDA">
        <w:rPr>
          <w:rFonts w:ascii="仿宋_GB2312" w:eastAsia="仿宋_GB2312" w:hAnsi="仿宋_GB2312" w:cs="仿宋_GB2312" w:hint="eastAsia"/>
          <w:sz w:val="32"/>
          <w:szCs w:val="32"/>
        </w:rPr>
        <w:t>。</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4.竞赛级别：</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国家级体育竞赛包括全国大学生运动会，教育部、国家体育总局、国务院部委联合发文的竞赛。</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自治区级体育竞赛包括广西区大学生运动会，自治区教育厅、自治区体育局、自治区厅局联合发文的竞赛。</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市级体育竞赛包括桂林市大学生运动会、桂林市政府部门（市教育局、市体育局、市总工会、市团委）发文的竞赛。</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第五节  教学荣誉称号奖</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获教育部表彰的全国教育系统先进集体奖励</w:t>
      </w:r>
      <w:r>
        <w:rPr>
          <w:rFonts w:ascii="仿宋_GB2312" w:eastAsia="仿宋_GB2312" w:hAnsi="仿宋_GB2312" w:cs="仿宋_GB2312"/>
          <w:sz w:val="32"/>
          <w:szCs w:val="32"/>
        </w:rPr>
        <w:t>20万元、全国模范教师（含教学名师）个人奖励10万元、全国教育系统先进工作者个人奖励10万元、全国优秀教师个人奖励10万元、全国优秀教育工作者个人奖励10万元</w:t>
      </w:r>
      <w:r>
        <w:rPr>
          <w:rFonts w:ascii="仿宋_GB2312" w:eastAsia="仿宋_GB2312" w:hAnsi="仿宋_GB2312" w:cs="仿宋_GB2312" w:hint="eastAsia"/>
          <w:sz w:val="32"/>
          <w:szCs w:val="32"/>
        </w:rPr>
        <w:t>；获自治区教育厅表彰的教学管理先进单位奖励</w:t>
      </w:r>
      <w:r>
        <w:rPr>
          <w:rFonts w:ascii="仿宋_GB2312" w:eastAsia="仿宋_GB2312" w:hAnsi="仿宋_GB2312" w:cs="仿宋_GB2312"/>
          <w:sz w:val="32"/>
          <w:szCs w:val="32"/>
        </w:rPr>
        <w:t>5万元、教学名师个人奖励2万元、优秀教师个人奖励2万元、优秀教育工作者个人奖励2万元；</w:t>
      </w:r>
      <w:r>
        <w:rPr>
          <w:rFonts w:ascii="仿宋_GB2312" w:eastAsia="仿宋_GB2312" w:hAnsi="仿宋_GB2312" w:cs="仿宋_GB2312" w:hint="eastAsia"/>
          <w:sz w:val="32"/>
          <w:szCs w:val="32"/>
        </w:rPr>
        <w:t>获学校表彰的教学管理先进集体（</w:t>
      </w:r>
      <w:proofErr w:type="gramStart"/>
      <w:r>
        <w:rPr>
          <w:rFonts w:ascii="仿宋_GB2312" w:eastAsia="仿宋_GB2312" w:hAnsi="仿宋_GB2312" w:cs="仿宋_GB2312" w:hint="eastAsia"/>
          <w:sz w:val="32"/>
          <w:szCs w:val="32"/>
        </w:rPr>
        <w:t>含优秀</w:t>
      </w:r>
      <w:proofErr w:type="gramEnd"/>
      <w:r>
        <w:rPr>
          <w:rFonts w:ascii="仿宋_GB2312" w:eastAsia="仿宋_GB2312" w:hAnsi="仿宋_GB2312" w:cs="仿宋_GB2312" w:hint="eastAsia"/>
          <w:sz w:val="32"/>
          <w:szCs w:val="32"/>
        </w:rPr>
        <w:t>教研室）奖励</w:t>
      </w:r>
      <w:r>
        <w:rPr>
          <w:rFonts w:ascii="仿宋_GB2312" w:eastAsia="仿宋_GB2312" w:hAnsi="仿宋_GB2312" w:cs="仿宋_GB2312"/>
          <w:sz w:val="32"/>
          <w:szCs w:val="32"/>
        </w:rPr>
        <w:t>2000元、优秀教师个人奖励500元，优秀教育工作者个人奖励500元</w:t>
      </w:r>
      <w:r>
        <w:rPr>
          <w:rFonts w:ascii="仿宋_GB2312" w:eastAsia="仿宋_GB2312" w:hAnsi="仿宋_GB2312" w:cs="仿宋_GB2312" w:hint="eastAsia"/>
          <w:sz w:val="32"/>
          <w:szCs w:val="32"/>
        </w:rPr>
        <w:t>；获学校表彰的</w:t>
      </w:r>
      <w:r>
        <w:rPr>
          <w:rFonts w:ascii="仿宋_GB2312" w:eastAsia="仿宋_GB2312" w:hAnsi="仿宋_GB2312" w:cs="仿宋_GB2312"/>
          <w:sz w:val="32"/>
          <w:szCs w:val="32"/>
        </w:rPr>
        <w:t>临床实践教学优秀带教教师及临床实践教学优秀管理工作者</w:t>
      </w:r>
      <w:r>
        <w:rPr>
          <w:rFonts w:ascii="仿宋_GB2312" w:eastAsia="仿宋_GB2312" w:hAnsi="仿宋_GB2312" w:cs="仿宋_GB2312" w:hint="eastAsia"/>
          <w:sz w:val="32"/>
          <w:szCs w:val="32"/>
        </w:rPr>
        <w:t>奖励500元。</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第六节  本科课堂教学改革奖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经学校评审获本科课堂教学</w:t>
      </w:r>
      <w:proofErr w:type="gramStart"/>
      <w:r>
        <w:rPr>
          <w:rFonts w:ascii="仿宋_GB2312" w:eastAsia="仿宋_GB2312" w:hAnsi="仿宋_GB2312" w:cs="仿宋_GB2312" w:hint="eastAsia"/>
          <w:sz w:val="32"/>
          <w:szCs w:val="32"/>
        </w:rPr>
        <w:t>改革奖</w:t>
      </w:r>
      <w:proofErr w:type="gramEnd"/>
      <w:r>
        <w:rPr>
          <w:rFonts w:ascii="仿宋_GB2312" w:eastAsia="仿宋_GB2312" w:hAnsi="仿宋_GB2312" w:cs="仿宋_GB2312" w:hint="eastAsia"/>
          <w:sz w:val="32"/>
          <w:szCs w:val="32"/>
        </w:rPr>
        <w:t>的授课教师，一次性奖励1万元，每年奖励名额不超过20名。</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第七节  本科课堂教学质量奖</w:t>
      </w:r>
    </w:p>
    <w:p w:rsidR="000D1546" w:rsidRDefault="000D1546" w:rsidP="000D15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经学校评审获本科课堂教学质量奖的授课教师，一次性奖励1万元，每年奖励名额不超过30名。</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第八节  育人标兵奖</w:t>
      </w:r>
    </w:p>
    <w:p w:rsidR="000D1546" w:rsidRDefault="000D1546" w:rsidP="000D15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育人标兵奖包括优秀管理育人奖（每年奖励名额不超过10名）、优秀辅导员奖（每年奖励名额不超过8名）、优秀班主任奖（每年奖励名额不超过10名）、优秀大学生班级导师奖（每年奖励名额不超过10名）、优秀</w:t>
      </w:r>
      <w:r w:rsidRPr="00676098">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育人奖（每年奖励名额不超过5名），经学校评审获奖的教师，一次性奖励1万元。</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第九节  教书育人业绩综合奖</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学校</w:t>
      </w:r>
      <w:r>
        <w:rPr>
          <w:rFonts w:ascii="仿宋_GB2312" w:eastAsia="仿宋_GB2312" w:hAnsi="仿宋_GB2312" w:cs="仿宋_GB2312"/>
          <w:sz w:val="32"/>
          <w:szCs w:val="32"/>
        </w:rPr>
        <w:t>评选教书育人业绩综合奖，</w:t>
      </w:r>
      <w:r>
        <w:rPr>
          <w:rFonts w:ascii="仿宋_GB2312" w:eastAsia="仿宋_GB2312" w:hAnsi="仿宋_GB2312" w:cs="仿宋_GB2312" w:hint="eastAsia"/>
          <w:sz w:val="32"/>
          <w:szCs w:val="32"/>
        </w:rPr>
        <w:t>每年评选</w:t>
      </w:r>
      <w:r>
        <w:rPr>
          <w:rFonts w:ascii="仿宋_GB2312" w:eastAsia="仿宋_GB2312" w:hAnsi="仿宋_GB2312" w:cs="仿宋_GB2312"/>
          <w:sz w:val="32"/>
          <w:szCs w:val="32"/>
        </w:rPr>
        <w:t>一等奖</w:t>
      </w:r>
      <w:r>
        <w:rPr>
          <w:rFonts w:ascii="仿宋_GB2312" w:eastAsia="仿宋_GB2312" w:hAnsi="仿宋_GB2312" w:cs="仿宋_GB2312" w:hint="eastAsia"/>
          <w:sz w:val="32"/>
          <w:szCs w:val="32"/>
        </w:rPr>
        <w:t>10名，奖励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二等奖</w:t>
      </w:r>
      <w:r>
        <w:rPr>
          <w:rFonts w:ascii="仿宋_GB2312" w:eastAsia="仿宋_GB2312" w:hAnsi="仿宋_GB2312" w:cs="仿宋_GB2312" w:hint="eastAsia"/>
          <w:sz w:val="32"/>
          <w:szCs w:val="32"/>
        </w:rPr>
        <w:t>20名，奖励0.</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三等奖</w:t>
      </w:r>
      <w:r>
        <w:rPr>
          <w:rFonts w:ascii="仿宋_GB2312" w:eastAsia="仿宋_GB2312" w:hAnsi="仿宋_GB2312" w:cs="仿宋_GB2312" w:hint="eastAsia"/>
          <w:sz w:val="32"/>
          <w:szCs w:val="32"/>
        </w:rPr>
        <w:t>30名，奖励0.3万</w:t>
      </w:r>
      <w:r>
        <w:rPr>
          <w:rFonts w:ascii="仿宋_GB2312" w:eastAsia="仿宋_GB2312" w:hAnsi="仿宋_GB2312" w:cs="仿宋_GB2312"/>
          <w:sz w:val="32"/>
          <w:szCs w:val="32"/>
        </w:rPr>
        <w:t>元。</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第三章  教书育人奖励申报与审核</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  根据奖项设置，由相关职能部门负责组织并受理奖励申报和奖项审定。各二级单位（部门）于每年6月30日前统计、审核好本单位上一年的奖励项目，连同已核查的支撑材料按要求报相关职能部门，</w:t>
      </w:r>
      <w:proofErr w:type="gramStart"/>
      <w:r>
        <w:rPr>
          <w:rFonts w:ascii="仿宋_GB2312" w:eastAsia="仿宋_GB2312" w:hAnsi="仿宋_GB2312" w:cs="仿宋_GB2312" w:hint="eastAsia"/>
          <w:sz w:val="32"/>
          <w:szCs w:val="32"/>
        </w:rPr>
        <w:t>经职能</w:t>
      </w:r>
      <w:proofErr w:type="gramEnd"/>
      <w:r>
        <w:rPr>
          <w:rFonts w:ascii="仿宋_GB2312" w:eastAsia="仿宋_GB2312" w:hAnsi="仿宋_GB2312" w:cs="仿宋_GB2312" w:hint="eastAsia"/>
          <w:sz w:val="32"/>
          <w:szCs w:val="32"/>
        </w:rPr>
        <w:t>部门审核、公示无异议后报学校审批。</w:t>
      </w:r>
      <w:r>
        <w:rPr>
          <w:rFonts w:ascii="仿宋_GB2312" w:eastAsia="仿宋_GB2312" w:hAnsi="仿宋_GB2312" w:cs="仿宋_GB2312"/>
          <w:sz w:val="32"/>
          <w:szCs w:val="32"/>
        </w:rPr>
        <w:t>应提交申请而未提交申请者，逾期不予受理。</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按本办法获奖的项目，分别以教育部、自治区教育厅及学校的文件（或证书)为依据。对不能界定级别和类别的项目或存在争议的事项，由学校教学委员会裁定。</w:t>
      </w:r>
    </w:p>
    <w:p w:rsidR="00634DDA" w:rsidRDefault="00634DDA" w:rsidP="00634DDA">
      <w:pPr>
        <w:jc w:val="center"/>
        <w:rPr>
          <w:rFonts w:ascii="黑体" w:eastAsia="黑体" w:hAnsi="黑体" w:hint="eastAsia"/>
          <w:sz w:val="32"/>
          <w:szCs w:val="30"/>
        </w:rPr>
      </w:pPr>
    </w:p>
    <w:p w:rsidR="000D1546" w:rsidRPr="00634DDA" w:rsidRDefault="000D1546" w:rsidP="00634DDA">
      <w:pPr>
        <w:jc w:val="center"/>
        <w:rPr>
          <w:rFonts w:ascii="黑体" w:eastAsia="黑体" w:hAnsi="黑体"/>
          <w:sz w:val="32"/>
          <w:szCs w:val="30"/>
        </w:rPr>
      </w:pPr>
      <w:r w:rsidRPr="00634DDA">
        <w:rPr>
          <w:rFonts w:ascii="黑体" w:eastAsia="黑体" w:hAnsi="黑体" w:hint="eastAsia"/>
          <w:sz w:val="32"/>
          <w:szCs w:val="30"/>
        </w:rPr>
        <w:t>第四章  附则</w:t>
      </w:r>
    </w:p>
    <w:p w:rsidR="000D1546" w:rsidRDefault="000D1546" w:rsidP="000D15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获各项教书育人奖励者，应在其个人档案中如实记载。有关记载作为考核定级、职称评定及各种评优的依据。如发现有弄虚作假、剽窃、侵夺他人成果，或者以其他不正当手段骗取奖励的，经查明属实，学校给予撤消奖励、收回证书、追缴奖金、通报批评或相应处分。</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各学院可根据本单位的具体情况，制定相应的奖励办法，对为本单位教书育人工作做出贡献者进行奖励，并报相关职能部门备案。</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所有奖励为税前奖金，由项目负责人、通讯作者分配，合作项目由排名第一的人员分配。奖金应按贡献大小进行分配，不搞平均主义。全校性项目（如一流本科专业等）的奖金，由相关职能部门组织有关单位进行研究分配。</w:t>
      </w:r>
    </w:p>
    <w:p w:rsidR="000D1546" w:rsidRDefault="000D1546" w:rsidP="00634DD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本办法自发布之日起</w:t>
      </w:r>
      <w:r>
        <w:rPr>
          <w:rFonts w:ascii="仿宋_GB2312" w:eastAsia="仿宋_GB2312" w:hAnsi="仿宋_GB2312" w:cs="仿宋_GB2312"/>
          <w:sz w:val="32"/>
          <w:szCs w:val="32"/>
        </w:rPr>
        <w:t>开始执行</w:t>
      </w:r>
      <w:r>
        <w:rPr>
          <w:rFonts w:ascii="仿宋_GB2312" w:eastAsia="仿宋_GB2312" w:hAnsi="仿宋_GB2312" w:cs="仿宋_GB2312" w:hint="eastAsia"/>
          <w:sz w:val="32"/>
          <w:szCs w:val="32"/>
        </w:rPr>
        <w:t>，原《桂林医学院教学奖励办法》（</w:t>
      </w:r>
      <w:r w:rsidRPr="006856C3">
        <w:rPr>
          <w:rFonts w:ascii="仿宋_GB2312" w:eastAsia="仿宋_GB2312" w:hAnsi="仿宋_GB2312" w:cs="仿宋_GB2312" w:hint="eastAsia"/>
          <w:sz w:val="32"/>
          <w:szCs w:val="32"/>
        </w:rPr>
        <w:t>桂</w:t>
      </w:r>
      <w:proofErr w:type="gramStart"/>
      <w:r w:rsidRPr="006856C3">
        <w:rPr>
          <w:rFonts w:ascii="仿宋_GB2312" w:eastAsia="仿宋_GB2312" w:hAnsi="仿宋_GB2312" w:cs="仿宋_GB2312" w:hint="eastAsia"/>
          <w:sz w:val="32"/>
          <w:szCs w:val="32"/>
        </w:rPr>
        <w:t>医</w:t>
      </w:r>
      <w:proofErr w:type="gramEnd"/>
      <w:r w:rsidRPr="006856C3">
        <w:rPr>
          <w:rFonts w:ascii="仿宋_GB2312" w:eastAsia="仿宋_GB2312" w:hAnsi="仿宋_GB2312" w:cs="仿宋_GB2312" w:hint="eastAsia"/>
          <w:sz w:val="32"/>
          <w:szCs w:val="32"/>
        </w:rPr>
        <w:t>教</w:t>
      </w:r>
      <w:r w:rsidRPr="00634DDA">
        <w:rPr>
          <w:rFonts w:ascii="仿宋_GB2312" w:eastAsia="仿宋_GB2312" w:hAnsi="仿宋_GB2312" w:cs="仿宋_GB2312" w:hint="eastAsia"/>
          <w:sz w:val="32"/>
          <w:szCs w:val="32"/>
        </w:rPr>
        <w:t>﹝</w:t>
      </w:r>
      <w:r w:rsidRPr="006856C3">
        <w:rPr>
          <w:rFonts w:ascii="仿宋_GB2312" w:eastAsia="仿宋_GB2312" w:hAnsi="仿宋_GB2312" w:cs="仿宋_GB2312" w:hint="eastAsia"/>
          <w:sz w:val="32"/>
          <w:szCs w:val="32"/>
        </w:rPr>
        <w:t>2018</w:t>
      </w:r>
      <w:r w:rsidRPr="00634DDA">
        <w:rPr>
          <w:rFonts w:ascii="仿宋_GB2312" w:eastAsia="仿宋_GB2312" w:hAnsi="仿宋_GB2312" w:cs="仿宋_GB2312" w:hint="eastAsia"/>
          <w:sz w:val="32"/>
          <w:szCs w:val="32"/>
        </w:rPr>
        <w:t>﹞</w:t>
      </w:r>
      <w:r w:rsidRPr="006856C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9号）同时废止；其他规定与本办法不符的，以本办法为准；其他暂未提及的质量工程项目或创优项目等教学建设与改革项目，参照相应项目执行。解释权在学校教务处、教育评价与教师教学发展中心、人事处、学生工作部（处）、团委和创新创业教育学院。</w:t>
      </w:r>
    </w:p>
    <w:bookmarkEnd w:id="2"/>
    <w:p w:rsidR="000D1546" w:rsidRDefault="000D1546" w:rsidP="008427F3">
      <w:pPr>
        <w:ind w:firstLineChars="200" w:firstLine="640"/>
        <w:jc w:val="center"/>
        <w:rPr>
          <w:rFonts w:ascii="仿宋_GB2312" w:eastAsia="仿宋_GB2312" w:hAnsi="仿宋_GB2312" w:cs="仿宋_GB2312" w:hint="eastAsia"/>
          <w:sz w:val="32"/>
          <w:szCs w:val="32"/>
        </w:rPr>
      </w:pPr>
    </w:p>
    <w:p w:rsidR="00634DDA" w:rsidRDefault="00634DDA" w:rsidP="008427F3">
      <w:pPr>
        <w:ind w:firstLineChars="200" w:firstLine="640"/>
        <w:jc w:val="center"/>
        <w:rPr>
          <w:rFonts w:ascii="仿宋_GB2312" w:eastAsia="仿宋_GB2312"/>
          <w:sz w:val="32"/>
          <w:szCs w:val="32"/>
        </w:rPr>
      </w:pPr>
    </w:p>
    <w:p w:rsidR="000D1546" w:rsidRDefault="000D1546" w:rsidP="008427F3">
      <w:pPr>
        <w:ind w:firstLineChars="200" w:firstLine="640"/>
        <w:jc w:val="center"/>
        <w:rPr>
          <w:rFonts w:ascii="仿宋_GB2312" w:eastAsia="仿宋_GB2312"/>
          <w:sz w:val="32"/>
          <w:szCs w:val="32"/>
        </w:rPr>
      </w:pPr>
    </w:p>
    <w:p w:rsidR="000D1546" w:rsidRDefault="000D1546" w:rsidP="008427F3">
      <w:pPr>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宋体" w:hint="eastAsia"/>
          <w:bCs/>
          <w:sz w:val="32"/>
          <w:szCs w:val="32"/>
        </w:rPr>
        <w:t xml:space="preserve">  </w:t>
      </w:r>
      <w:r>
        <w:rPr>
          <w:rFonts w:ascii="仿宋_GB2312" w:eastAsia="仿宋_GB2312" w:hint="eastAsia"/>
          <w:sz w:val="32"/>
          <w:szCs w:val="32"/>
        </w:rPr>
        <w:t xml:space="preserve">    </w:t>
      </w:r>
    </w:p>
    <w:tbl>
      <w:tblPr>
        <w:tblW w:w="0" w:type="auto"/>
        <w:tblLayout w:type="fixed"/>
        <w:tblLook w:val="0000" w:firstRow="0" w:lastRow="0" w:firstColumn="0" w:lastColumn="0" w:noHBand="0" w:noVBand="0"/>
      </w:tblPr>
      <w:tblGrid>
        <w:gridCol w:w="4605"/>
        <w:gridCol w:w="4323"/>
      </w:tblGrid>
      <w:tr w:rsidR="000D1546">
        <w:trPr>
          <w:trHeight w:val="468"/>
        </w:trPr>
        <w:tc>
          <w:tcPr>
            <w:tcW w:w="4605" w:type="dxa"/>
            <w:tcBorders>
              <w:top w:val="single" w:sz="4" w:space="0" w:color="auto"/>
              <w:left w:val="nil"/>
              <w:bottom w:val="single" w:sz="4" w:space="0" w:color="auto"/>
              <w:right w:val="nil"/>
            </w:tcBorders>
          </w:tcPr>
          <w:p w:rsidR="000D1546" w:rsidRDefault="000D1546">
            <w:pPr>
              <w:spacing w:line="560" w:lineRule="exact"/>
              <w:ind w:firstLineChars="100" w:firstLine="268"/>
              <w:rPr>
                <w:rStyle w:val="aa"/>
                <w:sz w:val="28"/>
                <w:szCs w:val="28"/>
              </w:rPr>
            </w:pPr>
            <w:bookmarkStart w:id="3" w:name="印发部门"/>
            <w:bookmarkEnd w:id="3"/>
            <w:r>
              <w:rPr>
                <w:rStyle w:val="aa"/>
                <w:rFonts w:hint="eastAsia"/>
                <w:sz w:val="28"/>
                <w:szCs w:val="28"/>
              </w:rPr>
              <w:t>桂林医学院院长办公室</w:t>
            </w:r>
          </w:p>
        </w:tc>
        <w:tc>
          <w:tcPr>
            <w:tcW w:w="4323" w:type="dxa"/>
            <w:tcBorders>
              <w:top w:val="single" w:sz="4" w:space="0" w:color="auto"/>
              <w:left w:val="nil"/>
              <w:bottom w:val="single" w:sz="4" w:space="0" w:color="auto"/>
              <w:right w:val="nil"/>
            </w:tcBorders>
          </w:tcPr>
          <w:p w:rsidR="000D1546" w:rsidRDefault="000D1546">
            <w:pPr>
              <w:spacing w:line="560" w:lineRule="exact"/>
              <w:ind w:firstLineChars="450" w:firstLine="1206"/>
              <w:rPr>
                <w:rStyle w:val="aa"/>
                <w:sz w:val="28"/>
                <w:szCs w:val="28"/>
              </w:rPr>
            </w:pPr>
            <w:bookmarkStart w:id="4" w:name="印发日期"/>
            <w:bookmarkEnd w:id="4"/>
            <w:r>
              <w:rPr>
                <w:rStyle w:val="aa"/>
                <w:sz w:val="28"/>
                <w:szCs w:val="28"/>
              </w:rPr>
              <w:t>2020年6月10日</w:t>
            </w:r>
            <w:r>
              <w:rPr>
                <w:rStyle w:val="aa"/>
                <w:rFonts w:hint="eastAsia"/>
                <w:sz w:val="28"/>
                <w:szCs w:val="28"/>
              </w:rPr>
              <w:t>印发</w:t>
            </w:r>
          </w:p>
        </w:tc>
      </w:tr>
    </w:tbl>
    <w:p w:rsidR="000D1546" w:rsidRDefault="000D1546">
      <w:pPr>
        <w:spacing w:line="20" w:lineRule="exact"/>
      </w:pPr>
    </w:p>
    <w:sectPr w:rsidR="000D1546" w:rsidSect="000D1546">
      <w:footerReference w:type="even" r:id="rId12"/>
      <w:footerReference w:type="default" r:id="rId13"/>
      <w:pgSz w:w="11906" w:h="16838" w:code="9"/>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6B" w:rsidRDefault="00727B6B">
      <w:r>
        <w:separator/>
      </w:r>
    </w:p>
  </w:endnote>
  <w:endnote w:type="continuationSeparator" w:id="0">
    <w:p w:rsidR="00727B6B" w:rsidRDefault="0072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imesNewRomanPSMT">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09600"/>
      <w:docPartObj>
        <w:docPartGallery w:val="Page Numbers (Bottom of Page)"/>
        <w:docPartUnique/>
      </w:docPartObj>
    </w:sdtPr>
    <w:sdtEndPr>
      <w:rPr>
        <w:rFonts w:asciiTheme="minorEastAsia" w:eastAsiaTheme="minorEastAsia" w:hAnsiTheme="minorEastAsia"/>
        <w:sz w:val="28"/>
      </w:rPr>
    </w:sdtEndPr>
    <w:sdtContent>
      <w:p w:rsidR="000D1546" w:rsidRPr="000D1546" w:rsidRDefault="000D1546">
        <w:pPr>
          <w:pStyle w:val="a5"/>
          <w:rPr>
            <w:rFonts w:asciiTheme="minorEastAsia" w:eastAsiaTheme="minorEastAsia" w:hAnsiTheme="minorEastAsia"/>
            <w:sz w:val="28"/>
          </w:rPr>
        </w:pPr>
        <w:r w:rsidRPr="000D1546">
          <w:rPr>
            <w:rFonts w:asciiTheme="minorEastAsia" w:eastAsiaTheme="minorEastAsia" w:hAnsiTheme="minorEastAsia"/>
            <w:sz w:val="28"/>
          </w:rPr>
          <w:fldChar w:fldCharType="begin"/>
        </w:r>
        <w:r w:rsidRPr="000D1546">
          <w:rPr>
            <w:rFonts w:asciiTheme="minorEastAsia" w:eastAsiaTheme="minorEastAsia" w:hAnsiTheme="minorEastAsia"/>
            <w:sz w:val="28"/>
          </w:rPr>
          <w:instrText>PAGE   \* MERGEFORMAT</w:instrText>
        </w:r>
        <w:r w:rsidRPr="000D1546">
          <w:rPr>
            <w:rFonts w:asciiTheme="minorEastAsia" w:eastAsiaTheme="minorEastAsia" w:hAnsiTheme="minorEastAsia"/>
            <w:sz w:val="28"/>
          </w:rPr>
          <w:fldChar w:fldCharType="separate"/>
        </w:r>
        <w:r w:rsidR="00634DDA" w:rsidRPr="00634DDA">
          <w:rPr>
            <w:rFonts w:asciiTheme="minorEastAsia" w:eastAsiaTheme="minorEastAsia" w:hAnsiTheme="minorEastAsia"/>
            <w:noProof/>
            <w:sz w:val="28"/>
            <w:lang w:val="zh-CN"/>
          </w:rPr>
          <w:t>-</w:t>
        </w:r>
        <w:r w:rsidR="00634DDA">
          <w:rPr>
            <w:rFonts w:asciiTheme="minorEastAsia" w:eastAsiaTheme="minorEastAsia" w:hAnsiTheme="minorEastAsia"/>
            <w:noProof/>
            <w:sz w:val="28"/>
          </w:rPr>
          <w:t xml:space="preserve"> 6 -</w:t>
        </w:r>
        <w:r w:rsidRPr="000D1546">
          <w:rPr>
            <w:rFonts w:asciiTheme="minorEastAsia" w:eastAsiaTheme="minorEastAsia" w:hAnsiTheme="minorEastAsia"/>
            <w:sz w:val="28"/>
          </w:rPr>
          <w:fldChar w:fldCharType="end"/>
        </w:r>
      </w:p>
    </w:sdtContent>
  </w:sdt>
  <w:p w:rsidR="000D1546" w:rsidRDefault="000D15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64647"/>
      <w:docPartObj>
        <w:docPartGallery w:val="Page Numbers (Bottom of Page)"/>
        <w:docPartUnique/>
      </w:docPartObj>
    </w:sdtPr>
    <w:sdtEndPr>
      <w:rPr>
        <w:rFonts w:asciiTheme="minorEastAsia" w:eastAsiaTheme="minorEastAsia" w:hAnsiTheme="minorEastAsia"/>
        <w:sz w:val="28"/>
      </w:rPr>
    </w:sdtEndPr>
    <w:sdtContent>
      <w:p w:rsidR="000D1546" w:rsidRPr="000D1546" w:rsidRDefault="000D1546">
        <w:pPr>
          <w:pStyle w:val="a5"/>
          <w:jc w:val="right"/>
          <w:rPr>
            <w:rFonts w:asciiTheme="minorEastAsia" w:eastAsiaTheme="minorEastAsia" w:hAnsiTheme="minorEastAsia"/>
            <w:sz w:val="28"/>
          </w:rPr>
        </w:pPr>
        <w:r w:rsidRPr="000D1546">
          <w:rPr>
            <w:rFonts w:asciiTheme="minorEastAsia" w:eastAsiaTheme="minorEastAsia" w:hAnsiTheme="minorEastAsia"/>
            <w:sz w:val="28"/>
          </w:rPr>
          <w:fldChar w:fldCharType="begin"/>
        </w:r>
        <w:r w:rsidRPr="000D1546">
          <w:rPr>
            <w:rFonts w:asciiTheme="minorEastAsia" w:eastAsiaTheme="minorEastAsia" w:hAnsiTheme="minorEastAsia"/>
            <w:sz w:val="28"/>
          </w:rPr>
          <w:instrText>PAGE   \* MERGEFORMAT</w:instrText>
        </w:r>
        <w:r w:rsidRPr="000D1546">
          <w:rPr>
            <w:rFonts w:asciiTheme="minorEastAsia" w:eastAsiaTheme="minorEastAsia" w:hAnsiTheme="minorEastAsia"/>
            <w:sz w:val="28"/>
          </w:rPr>
          <w:fldChar w:fldCharType="separate"/>
        </w:r>
        <w:r w:rsidR="00634DDA" w:rsidRPr="00634DDA">
          <w:rPr>
            <w:rFonts w:asciiTheme="minorEastAsia" w:eastAsiaTheme="minorEastAsia" w:hAnsiTheme="minorEastAsia"/>
            <w:noProof/>
            <w:sz w:val="28"/>
            <w:lang w:val="zh-CN"/>
          </w:rPr>
          <w:t>-</w:t>
        </w:r>
        <w:r w:rsidR="00634DDA">
          <w:rPr>
            <w:rFonts w:asciiTheme="minorEastAsia" w:eastAsiaTheme="minorEastAsia" w:hAnsiTheme="minorEastAsia"/>
            <w:noProof/>
            <w:sz w:val="28"/>
          </w:rPr>
          <w:t xml:space="preserve"> 13 -</w:t>
        </w:r>
        <w:r w:rsidRPr="000D1546">
          <w:rPr>
            <w:rFonts w:asciiTheme="minorEastAsia" w:eastAsiaTheme="minorEastAsia" w:hAnsiTheme="minorEastAsia"/>
            <w:sz w:val="28"/>
          </w:rPr>
          <w:fldChar w:fldCharType="end"/>
        </w:r>
      </w:p>
    </w:sdtContent>
  </w:sdt>
  <w:p w:rsidR="00F8642F" w:rsidRDefault="00F86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6B" w:rsidRDefault="00727B6B">
      <w:r>
        <w:separator/>
      </w:r>
    </w:p>
  </w:footnote>
  <w:footnote w:type="continuationSeparator" w:id="0">
    <w:p w:rsidR="00727B6B" w:rsidRDefault="0072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7F84"/>
    <w:multiLevelType w:val="singleLevel"/>
    <w:tmpl w:val="2F127F84"/>
    <w:lvl w:ilvl="0">
      <w:start w:val="3"/>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十八子">
    <w15:presenceInfo w15:providerId="WPS Office" w15:userId="4174451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cn/X6f54sAhyO9uVVmLN2S46yk=" w:salt="+Sd1qw/Ggv169s0qD5TbFw=="/>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5C21"/>
    <w:rsid w:val="00011A08"/>
    <w:rsid w:val="0001312C"/>
    <w:rsid w:val="000154F7"/>
    <w:rsid w:val="000160EA"/>
    <w:rsid w:val="0002311B"/>
    <w:rsid w:val="00023384"/>
    <w:rsid w:val="00030DD8"/>
    <w:rsid w:val="0004396B"/>
    <w:rsid w:val="00044D7E"/>
    <w:rsid w:val="00047A4C"/>
    <w:rsid w:val="000513BF"/>
    <w:rsid w:val="00052FBA"/>
    <w:rsid w:val="00054B42"/>
    <w:rsid w:val="0005562B"/>
    <w:rsid w:val="00055F6B"/>
    <w:rsid w:val="00056F26"/>
    <w:rsid w:val="00064C6C"/>
    <w:rsid w:val="00066056"/>
    <w:rsid w:val="00066E53"/>
    <w:rsid w:val="00076E38"/>
    <w:rsid w:val="00081729"/>
    <w:rsid w:val="0008452E"/>
    <w:rsid w:val="0008636D"/>
    <w:rsid w:val="000908C9"/>
    <w:rsid w:val="0009140F"/>
    <w:rsid w:val="000944E4"/>
    <w:rsid w:val="000B0C9B"/>
    <w:rsid w:val="000B424E"/>
    <w:rsid w:val="000B7435"/>
    <w:rsid w:val="000B7EC2"/>
    <w:rsid w:val="000C663D"/>
    <w:rsid w:val="000D1546"/>
    <w:rsid w:val="000E6300"/>
    <w:rsid w:val="000F0820"/>
    <w:rsid w:val="001032CA"/>
    <w:rsid w:val="00103A6D"/>
    <w:rsid w:val="00106CD6"/>
    <w:rsid w:val="00113EC2"/>
    <w:rsid w:val="001155CB"/>
    <w:rsid w:val="00123AF6"/>
    <w:rsid w:val="00133DD9"/>
    <w:rsid w:val="001353F5"/>
    <w:rsid w:val="001410F1"/>
    <w:rsid w:val="00143D4A"/>
    <w:rsid w:val="00155993"/>
    <w:rsid w:val="001613BA"/>
    <w:rsid w:val="00163586"/>
    <w:rsid w:val="00172A27"/>
    <w:rsid w:val="0017786C"/>
    <w:rsid w:val="00181105"/>
    <w:rsid w:val="001963A7"/>
    <w:rsid w:val="001B2807"/>
    <w:rsid w:val="001B2B10"/>
    <w:rsid w:val="001C161F"/>
    <w:rsid w:val="001C7AD3"/>
    <w:rsid w:val="001D086C"/>
    <w:rsid w:val="001D0F55"/>
    <w:rsid w:val="001E11EF"/>
    <w:rsid w:val="001E2691"/>
    <w:rsid w:val="001F1C0E"/>
    <w:rsid w:val="001F347F"/>
    <w:rsid w:val="001F50C0"/>
    <w:rsid w:val="001F5515"/>
    <w:rsid w:val="002039CE"/>
    <w:rsid w:val="00205607"/>
    <w:rsid w:val="00216203"/>
    <w:rsid w:val="00220276"/>
    <w:rsid w:val="002212A2"/>
    <w:rsid w:val="00222FE3"/>
    <w:rsid w:val="002257C5"/>
    <w:rsid w:val="00230F1C"/>
    <w:rsid w:val="00236B41"/>
    <w:rsid w:val="0024187C"/>
    <w:rsid w:val="00242427"/>
    <w:rsid w:val="00251E49"/>
    <w:rsid w:val="002555A1"/>
    <w:rsid w:val="00256914"/>
    <w:rsid w:val="00261218"/>
    <w:rsid w:val="00270676"/>
    <w:rsid w:val="00270BA2"/>
    <w:rsid w:val="00273131"/>
    <w:rsid w:val="00281409"/>
    <w:rsid w:val="00283A23"/>
    <w:rsid w:val="00285C7A"/>
    <w:rsid w:val="00296689"/>
    <w:rsid w:val="002A7340"/>
    <w:rsid w:val="002B1F89"/>
    <w:rsid w:val="002B4B71"/>
    <w:rsid w:val="002D20CF"/>
    <w:rsid w:val="002D50CA"/>
    <w:rsid w:val="002D6FD2"/>
    <w:rsid w:val="002D7145"/>
    <w:rsid w:val="002E4BDF"/>
    <w:rsid w:val="002E69CB"/>
    <w:rsid w:val="002E7718"/>
    <w:rsid w:val="002F0169"/>
    <w:rsid w:val="002F3C13"/>
    <w:rsid w:val="003000FB"/>
    <w:rsid w:val="00300766"/>
    <w:rsid w:val="00300CC3"/>
    <w:rsid w:val="00301247"/>
    <w:rsid w:val="003043B3"/>
    <w:rsid w:val="00304E1F"/>
    <w:rsid w:val="0031050F"/>
    <w:rsid w:val="003124A9"/>
    <w:rsid w:val="00313C70"/>
    <w:rsid w:val="00320AEB"/>
    <w:rsid w:val="00321BB5"/>
    <w:rsid w:val="00325805"/>
    <w:rsid w:val="00326226"/>
    <w:rsid w:val="003269BE"/>
    <w:rsid w:val="00326AA7"/>
    <w:rsid w:val="00342B5A"/>
    <w:rsid w:val="00344D07"/>
    <w:rsid w:val="00346E77"/>
    <w:rsid w:val="00350056"/>
    <w:rsid w:val="0035335E"/>
    <w:rsid w:val="00357A47"/>
    <w:rsid w:val="003606A0"/>
    <w:rsid w:val="00362478"/>
    <w:rsid w:val="00364EBF"/>
    <w:rsid w:val="00364F6D"/>
    <w:rsid w:val="00365A3E"/>
    <w:rsid w:val="00365A77"/>
    <w:rsid w:val="0037264D"/>
    <w:rsid w:val="00377020"/>
    <w:rsid w:val="00380C9C"/>
    <w:rsid w:val="00390295"/>
    <w:rsid w:val="00391AB4"/>
    <w:rsid w:val="00393838"/>
    <w:rsid w:val="003B38FE"/>
    <w:rsid w:val="003C6F29"/>
    <w:rsid w:val="003D063D"/>
    <w:rsid w:val="003D6C0D"/>
    <w:rsid w:val="003E1751"/>
    <w:rsid w:val="003F6D18"/>
    <w:rsid w:val="004039C8"/>
    <w:rsid w:val="004072CC"/>
    <w:rsid w:val="0041694B"/>
    <w:rsid w:val="00422DB3"/>
    <w:rsid w:val="00425DF4"/>
    <w:rsid w:val="00427B41"/>
    <w:rsid w:val="00427CB8"/>
    <w:rsid w:val="0043055B"/>
    <w:rsid w:val="004318C5"/>
    <w:rsid w:val="00436DA9"/>
    <w:rsid w:val="00446719"/>
    <w:rsid w:val="00466B84"/>
    <w:rsid w:val="0047221F"/>
    <w:rsid w:val="004737DB"/>
    <w:rsid w:val="00475633"/>
    <w:rsid w:val="00477B4A"/>
    <w:rsid w:val="00481E6A"/>
    <w:rsid w:val="00490FF5"/>
    <w:rsid w:val="004929B9"/>
    <w:rsid w:val="004B2300"/>
    <w:rsid w:val="004C3FDA"/>
    <w:rsid w:val="004C5BAA"/>
    <w:rsid w:val="004C6FB8"/>
    <w:rsid w:val="004D4887"/>
    <w:rsid w:val="004E0AF4"/>
    <w:rsid w:val="004E1A48"/>
    <w:rsid w:val="004E29FE"/>
    <w:rsid w:val="004E7981"/>
    <w:rsid w:val="004E7D1E"/>
    <w:rsid w:val="004F19E6"/>
    <w:rsid w:val="004F608D"/>
    <w:rsid w:val="004F6557"/>
    <w:rsid w:val="004F6E9A"/>
    <w:rsid w:val="00504DB1"/>
    <w:rsid w:val="00504E0C"/>
    <w:rsid w:val="0050697B"/>
    <w:rsid w:val="00521885"/>
    <w:rsid w:val="00522EF2"/>
    <w:rsid w:val="0052598A"/>
    <w:rsid w:val="00527BF2"/>
    <w:rsid w:val="00533711"/>
    <w:rsid w:val="00540470"/>
    <w:rsid w:val="00541942"/>
    <w:rsid w:val="005506A1"/>
    <w:rsid w:val="00550977"/>
    <w:rsid w:val="00552DEF"/>
    <w:rsid w:val="005703F7"/>
    <w:rsid w:val="00571119"/>
    <w:rsid w:val="00573F87"/>
    <w:rsid w:val="005741D3"/>
    <w:rsid w:val="00575B04"/>
    <w:rsid w:val="0057632E"/>
    <w:rsid w:val="00576F18"/>
    <w:rsid w:val="005825F7"/>
    <w:rsid w:val="00583044"/>
    <w:rsid w:val="005838E0"/>
    <w:rsid w:val="005863FB"/>
    <w:rsid w:val="005936EB"/>
    <w:rsid w:val="0059760E"/>
    <w:rsid w:val="00597B17"/>
    <w:rsid w:val="005A7EF0"/>
    <w:rsid w:val="005B0DF1"/>
    <w:rsid w:val="005B250D"/>
    <w:rsid w:val="005B77C4"/>
    <w:rsid w:val="005C236B"/>
    <w:rsid w:val="005D57E5"/>
    <w:rsid w:val="005D5CF2"/>
    <w:rsid w:val="005E40DA"/>
    <w:rsid w:val="005F5FA3"/>
    <w:rsid w:val="00610C07"/>
    <w:rsid w:val="00614EFA"/>
    <w:rsid w:val="00630166"/>
    <w:rsid w:val="00630D5C"/>
    <w:rsid w:val="00632AA3"/>
    <w:rsid w:val="00634DDA"/>
    <w:rsid w:val="0064075C"/>
    <w:rsid w:val="00640E53"/>
    <w:rsid w:val="0064391C"/>
    <w:rsid w:val="00654151"/>
    <w:rsid w:val="006543FD"/>
    <w:rsid w:val="00663697"/>
    <w:rsid w:val="00663E09"/>
    <w:rsid w:val="00665A62"/>
    <w:rsid w:val="006750DB"/>
    <w:rsid w:val="00676098"/>
    <w:rsid w:val="00676170"/>
    <w:rsid w:val="00682B1F"/>
    <w:rsid w:val="006856C3"/>
    <w:rsid w:val="006861DD"/>
    <w:rsid w:val="006930C3"/>
    <w:rsid w:val="00695B8E"/>
    <w:rsid w:val="00695F89"/>
    <w:rsid w:val="00696156"/>
    <w:rsid w:val="00696DB3"/>
    <w:rsid w:val="00697C76"/>
    <w:rsid w:val="006A70E6"/>
    <w:rsid w:val="006B5AF3"/>
    <w:rsid w:val="006C405B"/>
    <w:rsid w:val="006C4906"/>
    <w:rsid w:val="006C58EB"/>
    <w:rsid w:val="006C63C1"/>
    <w:rsid w:val="006D169F"/>
    <w:rsid w:val="006D46D3"/>
    <w:rsid w:val="006E0BBE"/>
    <w:rsid w:val="006E610C"/>
    <w:rsid w:val="006E655F"/>
    <w:rsid w:val="006F3530"/>
    <w:rsid w:val="006F79A0"/>
    <w:rsid w:val="00700B0F"/>
    <w:rsid w:val="00706F08"/>
    <w:rsid w:val="0071383C"/>
    <w:rsid w:val="00722091"/>
    <w:rsid w:val="00723F1C"/>
    <w:rsid w:val="00727B6B"/>
    <w:rsid w:val="00732737"/>
    <w:rsid w:val="00733350"/>
    <w:rsid w:val="00737A92"/>
    <w:rsid w:val="00741C78"/>
    <w:rsid w:val="00750486"/>
    <w:rsid w:val="00757081"/>
    <w:rsid w:val="00765F04"/>
    <w:rsid w:val="00766EB8"/>
    <w:rsid w:val="0077178D"/>
    <w:rsid w:val="0077207A"/>
    <w:rsid w:val="007722B8"/>
    <w:rsid w:val="00774D99"/>
    <w:rsid w:val="0077500F"/>
    <w:rsid w:val="0077561D"/>
    <w:rsid w:val="00775CCB"/>
    <w:rsid w:val="007829BE"/>
    <w:rsid w:val="007909E3"/>
    <w:rsid w:val="00797652"/>
    <w:rsid w:val="007A145D"/>
    <w:rsid w:val="007A58D5"/>
    <w:rsid w:val="007A66CE"/>
    <w:rsid w:val="007A7289"/>
    <w:rsid w:val="007A7460"/>
    <w:rsid w:val="007A76AD"/>
    <w:rsid w:val="007A7BDB"/>
    <w:rsid w:val="007B0178"/>
    <w:rsid w:val="007B2114"/>
    <w:rsid w:val="007C3837"/>
    <w:rsid w:val="007D3467"/>
    <w:rsid w:val="007D60F9"/>
    <w:rsid w:val="007E0F62"/>
    <w:rsid w:val="007E2337"/>
    <w:rsid w:val="007E4047"/>
    <w:rsid w:val="007F579A"/>
    <w:rsid w:val="00811E99"/>
    <w:rsid w:val="008129AD"/>
    <w:rsid w:val="008137FE"/>
    <w:rsid w:val="00814E9A"/>
    <w:rsid w:val="0082291C"/>
    <w:rsid w:val="00823B2C"/>
    <w:rsid w:val="00825D03"/>
    <w:rsid w:val="00827C19"/>
    <w:rsid w:val="008368FC"/>
    <w:rsid w:val="00841B03"/>
    <w:rsid w:val="008533E7"/>
    <w:rsid w:val="00855FDF"/>
    <w:rsid w:val="008666C6"/>
    <w:rsid w:val="008740B7"/>
    <w:rsid w:val="00876090"/>
    <w:rsid w:val="00880CA9"/>
    <w:rsid w:val="00886B2B"/>
    <w:rsid w:val="0089521B"/>
    <w:rsid w:val="00895F10"/>
    <w:rsid w:val="008A5A09"/>
    <w:rsid w:val="008C7C50"/>
    <w:rsid w:val="008D245B"/>
    <w:rsid w:val="008D3742"/>
    <w:rsid w:val="008D4C88"/>
    <w:rsid w:val="008D5E05"/>
    <w:rsid w:val="008D751A"/>
    <w:rsid w:val="008E135C"/>
    <w:rsid w:val="008E3F28"/>
    <w:rsid w:val="008E4541"/>
    <w:rsid w:val="008E6896"/>
    <w:rsid w:val="008F2A14"/>
    <w:rsid w:val="008F34BA"/>
    <w:rsid w:val="0090181C"/>
    <w:rsid w:val="0091658E"/>
    <w:rsid w:val="00917EED"/>
    <w:rsid w:val="00923F6E"/>
    <w:rsid w:val="00926547"/>
    <w:rsid w:val="00931368"/>
    <w:rsid w:val="0094172B"/>
    <w:rsid w:val="00943E07"/>
    <w:rsid w:val="00971314"/>
    <w:rsid w:val="00977AAF"/>
    <w:rsid w:val="00982ECE"/>
    <w:rsid w:val="009A26BA"/>
    <w:rsid w:val="009A4D57"/>
    <w:rsid w:val="009B3B66"/>
    <w:rsid w:val="009B6989"/>
    <w:rsid w:val="009C0F59"/>
    <w:rsid w:val="009C148D"/>
    <w:rsid w:val="009C1A9C"/>
    <w:rsid w:val="009C4953"/>
    <w:rsid w:val="009C5415"/>
    <w:rsid w:val="009D51C6"/>
    <w:rsid w:val="009D6CD0"/>
    <w:rsid w:val="00A006BF"/>
    <w:rsid w:val="00A114F4"/>
    <w:rsid w:val="00A1220C"/>
    <w:rsid w:val="00A135FD"/>
    <w:rsid w:val="00A177E6"/>
    <w:rsid w:val="00A27047"/>
    <w:rsid w:val="00A273F5"/>
    <w:rsid w:val="00A30107"/>
    <w:rsid w:val="00A33DB2"/>
    <w:rsid w:val="00A37210"/>
    <w:rsid w:val="00A50FA6"/>
    <w:rsid w:val="00A52AB8"/>
    <w:rsid w:val="00A53CF1"/>
    <w:rsid w:val="00A7135E"/>
    <w:rsid w:val="00A7482D"/>
    <w:rsid w:val="00A75960"/>
    <w:rsid w:val="00A81870"/>
    <w:rsid w:val="00A82290"/>
    <w:rsid w:val="00AA4DF4"/>
    <w:rsid w:val="00AA5212"/>
    <w:rsid w:val="00AB2A54"/>
    <w:rsid w:val="00AB2F80"/>
    <w:rsid w:val="00AB341F"/>
    <w:rsid w:val="00AB49BE"/>
    <w:rsid w:val="00AB65E8"/>
    <w:rsid w:val="00AC1A80"/>
    <w:rsid w:val="00AC34F8"/>
    <w:rsid w:val="00AC3AE7"/>
    <w:rsid w:val="00AC52F7"/>
    <w:rsid w:val="00AC6BAC"/>
    <w:rsid w:val="00AD1FCB"/>
    <w:rsid w:val="00AD6AE8"/>
    <w:rsid w:val="00AE0B7C"/>
    <w:rsid w:val="00AE10EB"/>
    <w:rsid w:val="00AE19D1"/>
    <w:rsid w:val="00AF4E4E"/>
    <w:rsid w:val="00B03694"/>
    <w:rsid w:val="00B070E4"/>
    <w:rsid w:val="00B135FC"/>
    <w:rsid w:val="00B211C0"/>
    <w:rsid w:val="00B26F28"/>
    <w:rsid w:val="00B31EA8"/>
    <w:rsid w:val="00B33F4F"/>
    <w:rsid w:val="00B42E1E"/>
    <w:rsid w:val="00B46C23"/>
    <w:rsid w:val="00B5188C"/>
    <w:rsid w:val="00B6295B"/>
    <w:rsid w:val="00B62D47"/>
    <w:rsid w:val="00B654B1"/>
    <w:rsid w:val="00B66F56"/>
    <w:rsid w:val="00B75708"/>
    <w:rsid w:val="00B80A66"/>
    <w:rsid w:val="00BA11C9"/>
    <w:rsid w:val="00BA266D"/>
    <w:rsid w:val="00BA572E"/>
    <w:rsid w:val="00BB4C62"/>
    <w:rsid w:val="00BB769C"/>
    <w:rsid w:val="00BC2983"/>
    <w:rsid w:val="00BD435D"/>
    <w:rsid w:val="00BE05C6"/>
    <w:rsid w:val="00BE1ACF"/>
    <w:rsid w:val="00BE4B28"/>
    <w:rsid w:val="00BF06D4"/>
    <w:rsid w:val="00BF1FB6"/>
    <w:rsid w:val="00C0359F"/>
    <w:rsid w:val="00C05169"/>
    <w:rsid w:val="00C10F35"/>
    <w:rsid w:val="00C1289A"/>
    <w:rsid w:val="00C216B3"/>
    <w:rsid w:val="00C21DF1"/>
    <w:rsid w:val="00C242CC"/>
    <w:rsid w:val="00C3196B"/>
    <w:rsid w:val="00C34E88"/>
    <w:rsid w:val="00C35C49"/>
    <w:rsid w:val="00C42215"/>
    <w:rsid w:val="00C4765D"/>
    <w:rsid w:val="00C51858"/>
    <w:rsid w:val="00C5220A"/>
    <w:rsid w:val="00C56639"/>
    <w:rsid w:val="00C578B2"/>
    <w:rsid w:val="00C614FC"/>
    <w:rsid w:val="00C62587"/>
    <w:rsid w:val="00C721CA"/>
    <w:rsid w:val="00C72FA5"/>
    <w:rsid w:val="00C76E19"/>
    <w:rsid w:val="00C840EF"/>
    <w:rsid w:val="00C87D66"/>
    <w:rsid w:val="00C93DBF"/>
    <w:rsid w:val="00CA6B70"/>
    <w:rsid w:val="00CA6D0B"/>
    <w:rsid w:val="00CA77AF"/>
    <w:rsid w:val="00CB1688"/>
    <w:rsid w:val="00CB294B"/>
    <w:rsid w:val="00CB7F52"/>
    <w:rsid w:val="00CC47E8"/>
    <w:rsid w:val="00CC7B79"/>
    <w:rsid w:val="00CD0867"/>
    <w:rsid w:val="00CD17E7"/>
    <w:rsid w:val="00CD249C"/>
    <w:rsid w:val="00CD5CA5"/>
    <w:rsid w:val="00CE3DB8"/>
    <w:rsid w:val="00CE4328"/>
    <w:rsid w:val="00CE504E"/>
    <w:rsid w:val="00CF0DA7"/>
    <w:rsid w:val="00CF4C4F"/>
    <w:rsid w:val="00D02635"/>
    <w:rsid w:val="00D06144"/>
    <w:rsid w:val="00D109BE"/>
    <w:rsid w:val="00D1217C"/>
    <w:rsid w:val="00D12F64"/>
    <w:rsid w:val="00D13696"/>
    <w:rsid w:val="00D13BDC"/>
    <w:rsid w:val="00D160F1"/>
    <w:rsid w:val="00D2494D"/>
    <w:rsid w:val="00D37A11"/>
    <w:rsid w:val="00D542F8"/>
    <w:rsid w:val="00D57288"/>
    <w:rsid w:val="00D7219E"/>
    <w:rsid w:val="00D74991"/>
    <w:rsid w:val="00D84FB6"/>
    <w:rsid w:val="00D85C46"/>
    <w:rsid w:val="00D90380"/>
    <w:rsid w:val="00D910A3"/>
    <w:rsid w:val="00DA2CF5"/>
    <w:rsid w:val="00DA6B6C"/>
    <w:rsid w:val="00DB1777"/>
    <w:rsid w:val="00DB61D2"/>
    <w:rsid w:val="00DD2EDC"/>
    <w:rsid w:val="00DD4F0E"/>
    <w:rsid w:val="00DE0C40"/>
    <w:rsid w:val="00DE5866"/>
    <w:rsid w:val="00DF0D1C"/>
    <w:rsid w:val="00DF193B"/>
    <w:rsid w:val="00DF5945"/>
    <w:rsid w:val="00E01108"/>
    <w:rsid w:val="00E01984"/>
    <w:rsid w:val="00E01D62"/>
    <w:rsid w:val="00E1283E"/>
    <w:rsid w:val="00E24716"/>
    <w:rsid w:val="00E419FE"/>
    <w:rsid w:val="00E471C1"/>
    <w:rsid w:val="00E55C91"/>
    <w:rsid w:val="00E6336D"/>
    <w:rsid w:val="00E739C3"/>
    <w:rsid w:val="00E83FB2"/>
    <w:rsid w:val="00E84E56"/>
    <w:rsid w:val="00E850BA"/>
    <w:rsid w:val="00E85865"/>
    <w:rsid w:val="00E86328"/>
    <w:rsid w:val="00E900DB"/>
    <w:rsid w:val="00EA12E9"/>
    <w:rsid w:val="00EA1F95"/>
    <w:rsid w:val="00EA4308"/>
    <w:rsid w:val="00EA4A5C"/>
    <w:rsid w:val="00EA6ED5"/>
    <w:rsid w:val="00ED5303"/>
    <w:rsid w:val="00EE5B33"/>
    <w:rsid w:val="00EF0D5F"/>
    <w:rsid w:val="00F01562"/>
    <w:rsid w:val="00F01BAE"/>
    <w:rsid w:val="00F04F6C"/>
    <w:rsid w:val="00F20449"/>
    <w:rsid w:val="00F20474"/>
    <w:rsid w:val="00F3204F"/>
    <w:rsid w:val="00F358AC"/>
    <w:rsid w:val="00F36EBB"/>
    <w:rsid w:val="00F40936"/>
    <w:rsid w:val="00F43316"/>
    <w:rsid w:val="00F45575"/>
    <w:rsid w:val="00F46792"/>
    <w:rsid w:val="00F50A9D"/>
    <w:rsid w:val="00F53CEB"/>
    <w:rsid w:val="00F543DF"/>
    <w:rsid w:val="00F55620"/>
    <w:rsid w:val="00F57A07"/>
    <w:rsid w:val="00F64794"/>
    <w:rsid w:val="00F672A7"/>
    <w:rsid w:val="00F8118F"/>
    <w:rsid w:val="00F82328"/>
    <w:rsid w:val="00F8642F"/>
    <w:rsid w:val="00F9060B"/>
    <w:rsid w:val="00FA359F"/>
    <w:rsid w:val="00FB7193"/>
    <w:rsid w:val="00FC04B9"/>
    <w:rsid w:val="00FC142E"/>
    <w:rsid w:val="00FC3FF5"/>
    <w:rsid w:val="00FC4675"/>
    <w:rsid w:val="00FD57DE"/>
    <w:rsid w:val="00FE2A0F"/>
    <w:rsid w:val="00FE3674"/>
    <w:rsid w:val="00FE7BA0"/>
    <w:rsid w:val="00FF03A1"/>
    <w:rsid w:val="016F2F84"/>
    <w:rsid w:val="076E52DB"/>
    <w:rsid w:val="097D6E54"/>
    <w:rsid w:val="0BDC646C"/>
    <w:rsid w:val="0CB142BB"/>
    <w:rsid w:val="0D607110"/>
    <w:rsid w:val="0F781FB0"/>
    <w:rsid w:val="143A0720"/>
    <w:rsid w:val="168E17DB"/>
    <w:rsid w:val="1EC14B2D"/>
    <w:rsid w:val="21FB3A13"/>
    <w:rsid w:val="23E915DE"/>
    <w:rsid w:val="2AED4239"/>
    <w:rsid w:val="2F58565B"/>
    <w:rsid w:val="333679D9"/>
    <w:rsid w:val="34127C97"/>
    <w:rsid w:val="351C6334"/>
    <w:rsid w:val="377B4771"/>
    <w:rsid w:val="37F42B81"/>
    <w:rsid w:val="39191A8E"/>
    <w:rsid w:val="3B182AAB"/>
    <w:rsid w:val="42537C68"/>
    <w:rsid w:val="48024F4F"/>
    <w:rsid w:val="49AE3AF5"/>
    <w:rsid w:val="49C250D8"/>
    <w:rsid w:val="4A863825"/>
    <w:rsid w:val="4DB55460"/>
    <w:rsid w:val="4FC07380"/>
    <w:rsid w:val="56054FF3"/>
    <w:rsid w:val="57E460A9"/>
    <w:rsid w:val="58FA0808"/>
    <w:rsid w:val="64595AA5"/>
    <w:rsid w:val="65DB6D28"/>
    <w:rsid w:val="69642FCC"/>
    <w:rsid w:val="6AF856EF"/>
    <w:rsid w:val="6F766CB3"/>
    <w:rsid w:val="788E5DE9"/>
    <w:rsid w:val="7C3A3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7B"/>
    <w:pPr>
      <w:widowControl w:val="0"/>
      <w:jc w:val="both"/>
    </w:pPr>
    <w:rPr>
      <w:rFonts w:ascii="等线" w:eastAsia="等线" w:hAnsi="等线"/>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50697B"/>
    <w:pPr>
      <w:jc w:val="left"/>
    </w:pPr>
  </w:style>
  <w:style w:type="paragraph" w:styleId="a4">
    <w:name w:val="Balloon Text"/>
    <w:basedOn w:val="a"/>
    <w:link w:val="Char0"/>
    <w:uiPriority w:val="99"/>
    <w:semiHidden/>
    <w:unhideWhenUsed/>
    <w:qFormat/>
    <w:rsid w:val="0050697B"/>
    <w:rPr>
      <w:sz w:val="18"/>
      <w:szCs w:val="18"/>
    </w:rPr>
  </w:style>
  <w:style w:type="paragraph" w:styleId="a5">
    <w:name w:val="footer"/>
    <w:basedOn w:val="a"/>
    <w:link w:val="Char1"/>
    <w:uiPriority w:val="99"/>
    <w:unhideWhenUsed/>
    <w:qFormat/>
    <w:rsid w:val="0050697B"/>
    <w:pPr>
      <w:tabs>
        <w:tab w:val="center" w:pos="4153"/>
        <w:tab w:val="right" w:pos="8306"/>
      </w:tabs>
      <w:snapToGrid w:val="0"/>
      <w:jc w:val="left"/>
    </w:pPr>
    <w:rPr>
      <w:sz w:val="18"/>
      <w:szCs w:val="18"/>
    </w:rPr>
  </w:style>
  <w:style w:type="paragraph" w:styleId="a6">
    <w:name w:val="header"/>
    <w:basedOn w:val="a"/>
    <w:link w:val="Char10"/>
    <w:uiPriority w:val="99"/>
    <w:unhideWhenUsed/>
    <w:qFormat/>
    <w:rsid w:val="0050697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uiPriority w:val="99"/>
    <w:semiHidden/>
    <w:unhideWhenUsed/>
    <w:qFormat/>
    <w:rsid w:val="0050697B"/>
    <w:rPr>
      <w:b/>
      <w:bCs/>
    </w:rPr>
  </w:style>
  <w:style w:type="table" w:styleId="a8">
    <w:name w:val="Table Grid"/>
    <w:basedOn w:val="a1"/>
    <w:uiPriority w:val="59"/>
    <w:qFormat/>
    <w:rsid w:val="0050697B"/>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uiPriority w:val="99"/>
    <w:semiHidden/>
    <w:unhideWhenUsed/>
    <w:qFormat/>
    <w:rsid w:val="0050697B"/>
    <w:rPr>
      <w:sz w:val="21"/>
      <w:szCs w:val="21"/>
    </w:rPr>
  </w:style>
  <w:style w:type="character" w:customStyle="1" w:styleId="Char10">
    <w:name w:val="页眉 Char1"/>
    <w:link w:val="a6"/>
    <w:uiPriority w:val="99"/>
    <w:qFormat/>
    <w:rsid w:val="0050697B"/>
    <w:rPr>
      <w:rFonts w:ascii="等线" w:eastAsia="等线" w:hAnsi="等线"/>
      <w:kern w:val="2"/>
      <w:sz w:val="18"/>
      <w:szCs w:val="18"/>
    </w:rPr>
  </w:style>
  <w:style w:type="character" w:customStyle="1" w:styleId="Char3">
    <w:name w:val="页眉 Char"/>
    <w:link w:val="1"/>
    <w:qFormat/>
    <w:rsid w:val="0050697B"/>
    <w:rPr>
      <w:sz w:val="18"/>
      <w:szCs w:val="18"/>
    </w:rPr>
  </w:style>
  <w:style w:type="paragraph" w:customStyle="1" w:styleId="1">
    <w:name w:val="页眉1"/>
    <w:basedOn w:val="a"/>
    <w:link w:val="Char3"/>
    <w:qFormat/>
    <w:rsid w:val="0050697B"/>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4">
    <w:name w:val="页脚 Char"/>
    <w:link w:val="10"/>
    <w:uiPriority w:val="99"/>
    <w:qFormat/>
    <w:rsid w:val="0050697B"/>
    <w:rPr>
      <w:sz w:val="18"/>
      <w:szCs w:val="18"/>
    </w:rPr>
  </w:style>
  <w:style w:type="paragraph" w:customStyle="1" w:styleId="10">
    <w:name w:val="页脚1"/>
    <w:basedOn w:val="a"/>
    <w:link w:val="Char4"/>
    <w:uiPriority w:val="99"/>
    <w:qFormat/>
    <w:rsid w:val="0050697B"/>
    <w:pPr>
      <w:tabs>
        <w:tab w:val="center" w:pos="4153"/>
        <w:tab w:val="right" w:pos="8306"/>
      </w:tabs>
      <w:snapToGrid w:val="0"/>
      <w:jc w:val="left"/>
    </w:pPr>
    <w:rPr>
      <w:rFonts w:ascii="Times New Roman" w:eastAsia="宋体" w:hAnsi="Times New Roman"/>
      <w:kern w:val="0"/>
      <w:sz w:val="18"/>
      <w:szCs w:val="18"/>
    </w:rPr>
  </w:style>
  <w:style w:type="character" w:customStyle="1" w:styleId="fontstyle21">
    <w:name w:val="fontstyle21"/>
    <w:qFormat/>
    <w:rsid w:val="0050697B"/>
    <w:rPr>
      <w:rFonts w:ascii="TimesNewRomanPSMT" w:hAnsi="TimesNewRomanPSMT" w:hint="default"/>
      <w:color w:val="000000"/>
      <w:sz w:val="32"/>
      <w:szCs w:val="32"/>
    </w:rPr>
  </w:style>
  <w:style w:type="character" w:customStyle="1" w:styleId="Char1">
    <w:name w:val="页脚 Char1"/>
    <w:link w:val="a5"/>
    <w:uiPriority w:val="99"/>
    <w:semiHidden/>
    <w:qFormat/>
    <w:rsid w:val="0050697B"/>
    <w:rPr>
      <w:rFonts w:ascii="等线" w:eastAsia="等线" w:hAnsi="等线"/>
      <w:kern w:val="2"/>
      <w:sz w:val="18"/>
      <w:szCs w:val="18"/>
    </w:rPr>
  </w:style>
  <w:style w:type="character" w:customStyle="1" w:styleId="fontstyle01">
    <w:name w:val="fontstyle01"/>
    <w:qFormat/>
    <w:rsid w:val="0050697B"/>
    <w:rPr>
      <w:rFonts w:ascii="仿宋_GB2312" w:eastAsia="仿宋_GB2312" w:hint="eastAsia"/>
      <w:color w:val="000000"/>
      <w:sz w:val="32"/>
      <w:szCs w:val="32"/>
    </w:rPr>
  </w:style>
  <w:style w:type="character" w:customStyle="1" w:styleId="fontstyle31">
    <w:name w:val="fontstyle31"/>
    <w:qFormat/>
    <w:rsid w:val="0050697B"/>
    <w:rPr>
      <w:rFonts w:ascii="宋体" w:eastAsia="宋体" w:hAnsi="宋体" w:hint="eastAsia"/>
      <w:color w:val="000000"/>
      <w:sz w:val="28"/>
      <w:szCs w:val="28"/>
    </w:rPr>
  </w:style>
  <w:style w:type="paragraph" w:customStyle="1" w:styleId="p0">
    <w:name w:val="p0"/>
    <w:basedOn w:val="a"/>
    <w:qFormat/>
    <w:rsid w:val="0050697B"/>
    <w:pPr>
      <w:widowControl/>
      <w:spacing w:before="100" w:beforeAutospacing="1" w:after="100" w:afterAutospacing="1"/>
      <w:jc w:val="left"/>
    </w:pPr>
    <w:rPr>
      <w:rFonts w:ascii="ˎ̥" w:eastAsia="宋体" w:hAnsi="ˎ̥" w:cs="宋体"/>
      <w:kern w:val="0"/>
      <w:sz w:val="18"/>
      <w:szCs w:val="18"/>
    </w:rPr>
  </w:style>
  <w:style w:type="paragraph" w:customStyle="1" w:styleId="11">
    <w:name w:val="列出段落1"/>
    <w:basedOn w:val="a"/>
    <w:qFormat/>
    <w:rsid w:val="0050697B"/>
    <w:pPr>
      <w:ind w:firstLineChars="200" w:firstLine="420"/>
    </w:pPr>
  </w:style>
  <w:style w:type="character" w:customStyle="1" w:styleId="Char">
    <w:name w:val="批注文字 Char"/>
    <w:link w:val="a3"/>
    <w:uiPriority w:val="99"/>
    <w:semiHidden/>
    <w:qFormat/>
    <w:rsid w:val="0050697B"/>
    <w:rPr>
      <w:rFonts w:ascii="等线" w:eastAsia="等线" w:hAnsi="等线"/>
      <w:kern w:val="2"/>
      <w:sz w:val="21"/>
      <w:szCs w:val="22"/>
    </w:rPr>
  </w:style>
  <w:style w:type="character" w:customStyle="1" w:styleId="Char11">
    <w:name w:val="批注文字 Char1"/>
    <w:basedOn w:val="a0"/>
    <w:uiPriority w:val="99"/>
    <w:qFormat/>
    <w:rsid w:val="0050697B"/>
    <w:rPr>
      <w:rFonts w:ascii="等线" w:eastAsia="等线" w:hAnsi="等线"/>
      <w:kern w:val="2"/>
      <w:sz w:val="21"/>
      <w:szCs w:val="22"/>
    </w:rPr>
  </w:style>
  <w:style w:type="character" w:customStyle="1" w:styleId="Char2">
    <w:name w:val="批注主题 Char"/>
    <w:basedOn w:val="Char11"/>
    <w:link w:val="a7"/>
    <w:uiPriority w:val="99"/>
    <w:semiHidden/>
    <w:qFormat/>
    <w:rsid w:val="0050697B"/>
    <w:rPr>
      <w:rFonts w:ascii="等线" w:eastAsia="等线" w:hAnsi="等线"/>
      <w:b/>
      <w:bCs/>
      <w:kern w:val="2"/>
      <w:sz w:val="21"/>
      <w:szCs w:val="22"/>
    </w:rPr>
  </w:style>
  <w:style w:type="character" w:customStyle="1" w:styleId="Char0">
    <w:name w:val="批注框文本 Char"/>
    <w:basedOn w:val="a0"/>
    <w:link w:val="a4"/>
    <w:uiPriority w:val="99"/>
    <w:semiHidden/>
    <w:qFormat/>
    <w:rsid w:val="0050697B"/>
    <w:rPr>
      <w:rFonts w:ascii="等线" w:eastAsia="等线" w:hAnsi="等线"/>
      <w:kern w:val="2"/>
      <w:sz w:val="18"/>
      <w:szCs w:val="18"/>
    </w:rPr>
  </w:style>
  <w:style w:type="paragraph" w:customStyle="1" w:styleId="12">
    <w:name w:val="修订1"/>
    <w:hidden/>
    <w:uiPriority w:val="99"/>
    <w:unhideWhenUsed/>
    <w:qFormat/>
    <w:rsid w:val="0050697B"/>
    <w:rPr>
      <w:rFonts w:ascii="等线" w:eastAsia="等线" w:hAnsi="等线"/>
      <w:kern w:val="2"/>
      <w:sz w:val="21"/>
      <w:szCs w:val="22"/>
      <w:lang w:bidi="ar-SA"/>
    </w:rPr>
  </w:style>
  <w:style w:type="character" w:customStyle="1" w:styleId="aa">
    <w:name w:val="公文正文"/>
    <w:basedOn w:val="a0"/>
    <w:qFormat/>
    <w:rsid w:val="0050697B"/>
    <w:rPr>
      <w:rFonts w:ascii="仿宋_GB2312" w:eastAsia="仿宋_GB2312"/>
      <w:spacing w:val="-6"/>
      <w:sz w:val="32"/>
      <w:szCs w:val="32"/>
    </w:rPr>
  </w:style>
  <w:style w:type="paragraph" w:styleId="ab">
    <w:name w:val="List Paragraph"/>
    <w:basedOn w:val="a"/>
    <w:uiPriority w:val="34"/>
    <w:qFormat/>
    <w:rsid w:val="0050697B"/>
    <w:pPr>
      <w:widowControl/>
      <w:adjustRightInd w:val="0"/>
      <w:snapToGrid w:val="0"/>
      <w:spacing w:after="200"/>
      <w:ind w:firstLineChars="200" w:firstLine="420"/>
      <w:jc w:val="left"/>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uiPriority w:val="99"/>
    <w:semiHidden/>
    <w:unhideWhenUsed/>
    <w:qFormat/>
    <w:rPr>
      <w:b/>
      <w:bCs/>
    </w:rPr>
  </w:style>
  <w:style w:type="table" w:styleId="a8">
    <w:name w:val="Table Grid"/>
    <w:basedOn w:val="a1"/>
    <w:uiPriority w:val="59"/>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annotation reference"/>
    <w:uiPriority w:val="99"/>
    <w:semiHidden/>
    <w:unhideWhenUsed/>
    <w:qFormat/>
    <w:rPr>
      <w:sz w:val="21"/>
      <w:szCs w:val="21"/>
    </w:rPr>
  </w:style>
  <w:style w:type="character" w:customStyle="1" w:styleId="Char10">
    <w:name w:val="页眉 Char1"/>
    <w:link w:val="a6"/>
    <w:uiPriority w:val="99"/>
    <w:qFormat/>
    <w:rPr>
      <w:rFonts w:ascii="等线" w:eastAsia="等线" w:hAnsi="等线"/>
      <w:kern w:val="2"/>
      <w:sz w:val="18"/>
      <w:szCs w:val="18"/>
    </w:rPr>
  </w:style>
  <w:style w:type="character" w:customStyle="1" w:styleId="Char3">
    <w:name w:val="页眉 Char"/>
    <w:link w:val="1"/>
    <w:qFormat/>
    <w:rPr>
      <w:sz w:val="18"/>
      <w:szCs w:val="18"/>
    </w:rPr>
  </w:style>
  <w:style w:type="paragraph" w:customStyle="1" w:styleId="1">
    <w:name w:val="页眉1"/>
    <w:basedOn w:val="a"/>
    <w:link w:val="Char3"/>
    <w:qFormat/>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4">
    <w:name w:val="页脚 Char"/>
    <w:link w:val="10"/>
    <w:uiPriority w:val="99"/>
    <w:qFormat/>
    <w:rPr>
      <w:sz w:val="18"/>
      <w:szCs w:val="18"/>
    </w:rPr>
  </w:style>
  <w:style w:type="paragraph" w:customStyle="1" w:styleId="10">
    <w:name w:val="页脚1"/>
    <w:basedOn w:val="a"/>
    <w:link w:val="Char4"/>
    <w:uiPriority w:val="99"/>
    <w:qFormat/>
    <w:pPr>
      <w:tabs>
        <w:tab w:val="center" w:pos="4153"/>
        <w:tab w:val="right" w:pos="8306"/>
      </w:tabs>
      <w:snapToGrid w:val="0"/>
      <w:jc w:val="left"/>
    </w:pPr>
    <w:rPr>
      <w:rFonts w:ascii="Times New Roman" w:eastAsia="宋体" w:hAnsi="Times New Roman"/>
      <w:kern w:val="0"/>
      <w:sz w:val="18"/>
      <w:szCs w:val="18"/>
    </w:rPr>
  </w:style>
  <w:style w:type="character" w:customStyle="1" w:styleId="fontstyle21">
    <w:name w:val="fontstyle21"/>
    <w:qFormat/>
    <w:rPr>
      <w:rFonts w:ascii="TimesNewRomanPSMT" w:hAnsi="TimesNewRomanPSMT" w:hint="default"/>
      <w:color w:val="000000"/>
      <w:sz w:val="32"/>
      <w:szCs w:val="32"/>
    </w:rPr>
  </w:style>
  <w:style w:type="character" w:customStyle="1" w:styleId="Char1">
    <w:name w:val="页脚 Char1"/>
    <w:link w:val="a5"/>
    <w:uiPriority w:val="99"/>
    <w:semiHidden/>
    <w:qFormat/>
    <w:rPr>
      <w:rFonts w:ascii="等线" w:eastAsia="等线" w:hAnsi="等线"/>
      <w:kern w:val="2"/>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fontstyle31">
    <w:name w:val="fontstyle31"/>
    <w:qFormat/>
    <w:rPr>
      <w:rFonts w:ascii="宋体" w:eastAsia="宋体" w:hAnsi="宋体" w:hint="eastAsia"/>
      <w:color w:val="000000"/>
      <w:sz w:val="28"/>
      <w:szCs w:val="28"/>
    </w:rPr>
  </w:style>
  <w:style w:type="paragraph" w:customStyle="1" w:styleId="p0">
    <w:name w:val="p0"/>
    <w:basedOn w:val="a"/>
    <w:qFormat/>
    <w:pPr>
      <w:widowControl/>
      <w:spacing w:before="100" w:beforeAutospacing="1" w:after="100" w:afterAutospacing="1"/>
      <w:jc w:val="left"/>
    </w:pPr>
    <w:rPr>
      <w:rFonts w:ascii="ˎ̥" w:eastAsia="宋体" w:hAnsi="ˎ̥" w:cs="宋体"/>
      <w:kern w:val="0"/>
      <w:sz w:val="18"/>
      <w:szCs w:val="18"/>
    </w:rPr>
  </w:style>
  <w:style w:type="paragraph" w:customStyle="1" w:styleId="11">
    <w:name w:val="列出段落1"/>
    <w:basedOn w:val="a"/>
    <w:qFormat/>
    <w:pPr>
      <w:ind w:firstLineChars="200" w:firstLine="420"/>
    </w:pPr>
  </w:style>
  <w:style w:type="character" w:customStyle="1" w:styleId="Char">
    <w:name w:val="批注文字 Char"/>
    <w:link w:val="a3"/>
    <w:uiPriority w:val="99"/>
    <w:semiHidden/>
    <w:qFormat/>
    <w:rPr>
      <w:rFonts w:ascii="等线" w:eastAsia="等线" w:hAnsi="等线"/>
      <w:kern w:val="2"/>
      <w:sz w:val="21"/>
      <w:szCs w:val="22"/>
    </w:rPr>
  </w:style>
  <w:style w:type="character" w:customStyle="1" w:styleId="Char11">
    <w:name w:val="批注文字 Char1"/>
    <w:basedOn w:val="a0"/>
    <w:uiPriority w:val="99"/>
    <w:qFormat/>
    <w:rPr>
      <w:rFonts w:ascii="等线" w:eastAsia="等线" w:hAnsi="等线"/>
      <w:kern w:val="2"/>
      <w:sz w:val="21"/>
      <w:szCs w:val="22"/>
    </w:rPr>
  </w:style>
  <w:style w:type="character" w:customStyle="1" w:styleId="Char2">
    <w:name w:val="批注主题 Char"/>
    <w:basedOn w:val="Char11"/>
    <w:link w:val="a7"/>
    <w:uiPriority w:val="99"/>
    <w:semiHidden/>
    <w:qFormat/>
    <w:rPr>
      <w:rFonts w:ascii="等线" w:eastAsia="等线" w:hAnsi="等线"/>
      <w:b/>
      <w:bCs/>
      <w:kern w:val="2"/>
      <w:sz w:val="21"/>
      <w:szCs w:val="22"/>
    </w:rPr>
  </w:style>
  <w:style w:type="character" w:customStyle="1" w:styleId="Char0">
    <w:name w:val="批注框文本 Char"/>
    <w:basedOn w:val="a0"/>
    <w:link w:val="a4"/>
    <w:uiPriority w:val="99"/>
    <w:semiHidden/>
    <w:qFormat/>
    <w:rPr>
      <w:rFonts w:ascii="等线" w:eastAsia="等线" w:hAnsi="等线"/>
      <w:kern w:val="2"/>
      <w:sz w:val="18"/>
      <w:szCs w:val="18"/>
    </w:rPr>
  </w:style>
  <w:style w:type="paragraph" w:customStyle="1" w:styleId="12">
    <w:name w:val="修订1"/>
    <w:hidden/>
    <w:uiPriority w:val="99"/>
    <w:unhideWhenUsed/>
    <w:qFormat/>
    <w:rPr>
      <w:rFonts w:ascii="等线" w:eastAsia="等线" w:hAnsi="等线"/>
      <w:kern w:val="2"/>
      <w:sz w:val="21"/>
      <w:szCs w:val="22"/>
      <w:lang w:bidi="ar-SA"/>
    </w:rPr>
  </w:style>
  <w:style w:type="character" w:customStyle="1" w:styleId="aa">
    <w:name w:val="公文正文"/>
    <w:basedOn w:val="a0"/>
    <w:qFormat/>
    <w:rPr>
      <w:rFonts w:ascii="仿宋_GB2312" w:eastAsia="仿宋_GB2312"/>
      <w:spacing w:val="-6"/>
      <w:sz w:val="32"/>
      <w:szCs w:val="32"/>
    </w:rPr>
  </w:style>
  <w:style w:type="paragraph" w:styleId="ab">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DBB4C-B83A-4241-86F2-783673A0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769</Words>
  <Characters>4385</Characters>
  <Application>Microsoft Office Word</Application>
  <DocSecurity>0</DocSecurity>
  <Lines>36</Lines>
  <Paragraphs>10</Paragraphs>
  <ScaleCrop>false</ScaleCrop>
  <Company>Sky123.Org</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桂林医学院教学工作奖励办法</dc:title>
  <dc:creator>Administrator</dc:creator>
  <cp:lastModifiedBy>张凯惠</cp:lastModifiedBy>
  <cp:revision>3</cp:revision>
  <cp:lastPrinted>2020-04-26T01:45:00Z</cp:lastPrinted>
  <dcterms:created xsi:type="dcterms:W3CDTF">2020-06-08T08:05:00Z</dcterms:created>
  <dcterms:modified xsi:type="dcterms:W3CDTF">2020-06-10T02:07:00Z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